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9" w:lineRule="exact"/>
        <w:jc w:val="center"/>
        <w:rPr>
          <w:rFonts w:eastAsia="方正小标宋_GBK"/>
          <w:sz w:val="44"/>
          <w:szCs w:val="44"/>
        </w:rPr>
      </w:pPr>
      <w:r>
        <w:rPr>
          <w:rFonts w:hint="eastAsia" w:eastAsia="方正小标宋_GBK"/>
          <w:sz w:val="44"/>
          <w:szCs w:val="44"/>
        </w:rPr>
        <w:t>盐边县新九乡人民政府</w:t>
      </w:r>
    </w:p>
    <w:p>
      <w:pPr>
        <w:spacing w:line="579" w:lineRule="exact"/>
        <w:jc w:val="center"/>
        <w:rPr>
          <w:rFonts w:eastAsia="方正小标宋_GBK"/>
          <w:sz w:val="44"/>
          <w:szCs w:val="44"/>
        </w:rPr>
      </w:pPr>
      <w:r>
        <w:rPr>
          <w:rFonts w:hint="eastAsia" w:eastAsia="方正小标宋_GBK"/>
          <w:sz w:val="44"/>
          <w:szCs w:val="44"/>
        </w:rPr>
        <w:t>2019年部门预算公开目录</w:t>
      </w:r>
    </w:p>
    <w:p>
      <w:pPr>
        <w:spacing w:line="579" w:lineRule="exact"/>
        <w:jc w:val="center"/>
        <w:rPr>
          <w:rFonts w:eastAsia="方正小标宋_GBK"/>
          <w:sz w:val="44"/>
          <w:szCs w:val="44"/>
        </w:rPr>
      </w:pPr>
    </w:p>
    <w:p>
      <w:pPr>
        <w:numPr>
          <w:ilvl w:val="0"/>
          <w:numId w:val="1"/>
        </w:numPr>
        <w:spacing w:line="560" w:lineRule="exact"/>
        <w:rPr>
          <w:rFonts w:ascii="黑体" w:hAnsi="宋体" w:eastAsia="黑体"/>
          <w:b/>
          <w:color w:val="000000"/>
          <w:sz w:val="32"/>
          <w:szCs w:val="32"/>
        </w:rPr>
      </w:pPr>
      <w:r>
        <w:rPr>
          <w:rFonts w:hint="eastAsia" w:ascii="黑体" w:hAnsi="宋体" w:eastAsia="黑体"/>
          <w:b/>
          <w:sz w:val="32"/>
          <w:szCs w:val="32"/>
        </w:rPr>
        <w:t>分  盐边县新九乡人民政府</w:t>
      </w:r>
      <w:r>
        <w:rPr>
          <w:rFonts w:hint="eastAsia" w:ascii="黑体" w:hAnsi="宋体" w:eastAsia="黑体"/>
          <w:b/>
          <w:color w:val="000000"/>
          <w:sz w:val="32"/>
          <w:szCs w:val="32"/>
        </w:rPr>
        <w:t>2019年部门预算编制说明</w:t>
      </w:r>
    </w:p>
    <w:p>
      <w:pPr>
        <w:pStyle w:val="6"/>
        <w:tabs>
          <w:tab w:val="right" w:leader="dot" w:pos="8844"/>
        </w:tabs>
        <w:rPr>
          <w:sz w:val="32"/>
          <w:szCs w:val="32"/>
        </w:rPr>
      </w:pPr>
      <w:r>
        <w:rPr>
          <w:rFonts w:eastAsia="仿宋_GB2312"/>
          <w:sz w:val="32"/>
          <w:szCs w:val="32"/>
        </w:rPr>
        <w:fldChar w:fldCharType="begin"/>
      </w:r>
      <w:r>
        <w:rPr>
          <w:rFonts w:eastAsia="仿宋_GB2312"/>
          <w:sz w:val="32"/>
          <w:szCs w:val="32"/>
        </w:rPr>
        <w:instrText xml:space="preserve">TOC \o "1-3" \h \u </w:instrText>
      </w:r>
      <w:r>
        <w:rPr>
          <w:rFonts w:eastAsia="仿宋_GB2312"/>
          <w:sz w:val="32"/>
          <w:szCs w:val="32"/>
        </w:rPr>
        <w:fldChar w:fldCharType="separate"/>
      </w:r>
      <w:r>
        <w:fldChar w:fldCharType="begin"/>
      </w:r>
      <w:r>
        <w:instrText xml:space="preserve"> HYPERLINK \l "_Toc21303" </w:instrText>
      </w:r>
      <w:r>
        <w:fldChar w:fldCharType="separate"/>
      </w:r>
      <w:r>
        <w:rPr>
          <w:rFonts w:hint="eastAsia" w:ascii="黑体" w:hAnsi="黑体" w:eastAsia="黑体" w:cs="黑体"/>
          <w:bCs/>
          <w:sz w:val="32"/>
          <w:szCs w:val="32"/>
        </w:rPr>
        <w:t>一、主要职责</w:t>
      </w:r>
      <w:r>
        <w:rPr>
          <w:sz w:val="32"/>
          <w:szCs w:val="32"/>
        </w:rPr>
        <w:tab/>
      </w:r>
      <w:r>
        <w:rPr>
          <w:sz w:val="32"/>
          <w:szCs w:val="32"/>
        </w:rPr>
        <w:fldChar w:fldCharType="begin"/>
      </w:r>
      <w:r>
        <w:rPr>
          <w:sz w:val="32"/>
          <w:szCs w:val="32"/>
        </w:rPr>
        <w:instrText xml:space="preserve"> PAGEREF _Toc21303 </w:instrText>
      </w:r>
      <w:r>
        <w:rPr>
          <w:sz w:val="32"/>
          <w:szCs w:val="32"/>
        </w:rPr>
        <w:fldChar w:fldCharType="separate"/>
      </w:r>
      <w:r>
        <w:rPr>
          <w:sz w:val="32"/>
          <w:szCs w:val="32"/>
        </w:rPr>
        <w:t>- 2 -</w:t>
      </w:r>
      <w:r>
        <w:rPr>
          <w:sz w:val="32"/>
          <w:szCs w:val="32"/>
        </w:rPr>
        <w:fldChar w:fldCharType="end"/>
      </w:r>
      <w:r>
        <w:rPr>
          <w:sz w:val="32"/>
          <w:szCs w:val="32"/>
        </w:rPr>
        <w:fldChar w:fldCharType="end"/>
      </w:r>
    </w:p>
    <w:p>
      <w:pPr>
        <w:pStyle w:val="6"/>
        <w:tabs>
          <w:tab w:val="right" w:leader="dot" w:pos="8844"/>
        </w:tabs>
        <w:rPr>
          <w:sz w:val="32"/>
          <w:szCs w:val="32"/>
        </w:rPr>
      </w:pPr>
      <w:r>
        <w:fldChar w:fldCharType="begin"/>
      </w:r>
      <w:r>
        <w:instrText xml:space="preserve"> HYPERLINK \l "_Toc14508" </w:instrText>
      </w:r>
      <w:r>
        <w:fldChar w:fldCharType="separate"/>
      </w:r>
      <w:r>
        <w:rPr>
          <w:rFonts w:hint="eastAsia" w:ascii="黑体" w:hAnsi="黑体" w:eastAsia="黑体" w:cs="黑体"/>
          <w:bCs/>
          <w:sz w:val="32"/>
          <w:szCs w:val="32"/>
        </w:rPr>
        <w:t>二、基本情况</w:t>
      </w:r>
      <w:r>
        <w:rPr>
          <w:sz w:val="32"/>
          <w:szCs w:val="32"/>
        </w:rPr>
        <w:tab/>
      </w:r>
      <w:r>
        <w:rPr>
          <w:sz w:val="32"/>
          <w:szCs w:val="32"/>
        </w:rPr>
        <w:fldChar w:fldCharType="begin"/>
      </w:r>
      <w:r>
        <w:rPr>
          <w:sz w:val="32"/>
          <w:szCs w:val="32"/>
        </w:rPr>
        <w:instrText xml:space="preserve"> PAGEREF _Toc14508 </w:instrText>
      </w:r>
      <w:r>
        <w:rPr>
          <w:sz w:val="32"/>
          <w:szCs w:val="32"/>
        </w:rPr>
        <w:fldChar w:fldCharType="separate"/>
      </w:r>
      <w:r>
        <w:rPr>
          <w:sz w:val="32"/>
          <w:szCs w:val="32"/>
        </w:rPr>
        <w:t>- 3 -</w:t>
      </w:r>
      <w:r>
        <w:rPr>
          <w:sz w:val="32"/>
          <w:szCs w:val="32"/>
        </w:rPr>
        <w:fldChar w:fldCharType="end"/>
      </w:r>
      <w:r>
        <w:rPr>
          <w:sz w:val="32"/>
          <w:szCs w:val="32"/>
        </w:rPr>
        <w:fldChar w:fldCharType="end"/>
      </w:r>
    </w:p>
    <w:p>
      <w:pPr>
        <w:pStyle w:val="6"/>
        <w:tabs>
          <w:tab w:val="right" w:leader="dot" w:pos="8844"/>
        </w:tabs>
        <w:rPr>
          <w:sz w:val="32"/>
          <w:szCs w:val="32"/>
        </w:rPr>
      </w:pPr>
      <w:r>
        <w:fldChar w:fldCharType="begin"/>
      </w:r>
      <w:r>
        <w:instrText xml:space="preserve"> HYPERLINK \l "_Toc3614" </w:instrText>
      </w:r>
      <w:r>
        <w:fldChar w:fldCharType="separate"/>
      </w:r>
      <w:r>
        <w:rPr>
          <w:rFonts w:hint="eastAsia" w:ascii="黑体" w:hAnsi="黑体" w:eastAsia="黑体" w:cs="黑体"/>
          <w:bCs/>
          <w:sz w:val="32"/>
          <w:szCs w:val="32"/>
        </w:rPr>
        <w:t>三、2019年主要工作任务</w:t>
      </w:r>
      <w:r>
        <w:rPr>
          <w:sz w:val="32"/>
          <w:szCs w:val="32"/>
        </w:rPr>
        <w:tab/>
      </w:r>
      <w:r>
        <w:rPr>
          <w:sz w:val="32"/>
          <w:szCs w:val="32"/>
        </w:rPr>
        <w:fldChar w:fldCharType="begin"/>
      </w:r>
      <w:r>
        <w:rPr>
          <w:sz w:val="32"/>
          <w:szCs w:val="32"/>
        </w:rPr>
        <w:instrText xml:space="preserve"> PAGEREF _Toc3614 </w:instrText>
      </w:r>
      <w:r>
        <w:rPr>
          <w:sz w:val="32"/>
          <w:szCs w:val="32"/>
        </w:rPr>
        <w:fldChar w:fldCharType="separate"/>
      </w:r>
      <w:r>
        <w:rPr>
          <w:sz w:val="32"/>
          <w:szCs w:val="32"/>
        </w:rPr>
        <w:t>- 3 -</w:t>
      </w:r>
      <w:r>
        <w:rPr>
          <w:sz w:val="32"/>
          <w:szCs w:val="32"/>
        </w:rPr>
        <w:fldChar w:fldCharType="end"/>
      </w:r>
      <w:r>
        <w:rPr>
          <w:sz w:val="32"/>
          <w:szCs w:val="32"/>
        </w:rPr>
        <w:fldChar w:fldCharType="end"/>
      </w:r>
    </w:p>
    <w:p>
      <w:pPr>
        <w:pStyle w:val="6"/>
        <w:tabs>
          <w:tab w:val="right" w:leader="dot" w:pos="8844"/>
        </w:tabs>
        <w:rPr>
          <w:sz w:val="32"/>
          <w:szCs w:val="32"/>
        </w:rPr>
      </w:pPr>
      <w:r>
        <w:fldChar w:fldCharType="begin"/>
      </w:r>
      <w:r>
        <w:instrText xml:space="preserve"> HYPERLINK \l "_Toc26180" </w:instrText>
      </w:r>
      <w:r>
        <w:fldChar w:fldCharType="separate"/>
      </w:r>
      <w:r>
        <w:rPr>
          <w:rFonts w:hint="eastAsia" w:ascii="黑体" w:hAnsi="黑体" w:eastAsia="黑体" w:cs="黑体"/>
          <w:bCs/>
          <w:sz w:val="32"/>
          <w:szCs w:val="32"/>
        </w:rPr>
        <w:t>四、收支预算总体情况</w:t>
      </w:r>
      <w:r>
        <w:rPr>
          <w:sz w:val="32"/>
          <w:szCs w:val="32"/>
        </w:rPr>
        <w:tab/>
      </w:r>
      <w:r>
        <w:rPr>
          <w:sz w:val="32"/>
          <w:szCs w:val="32"/>
        </w:rPr>
        <w:fldChar w:fldCharType="begin"/>
      </w:r>
      <w:r>
        <w:rPr>
          <w:sz w:val="32"/>
          <w:szCs w:val="32"/>
        </w:rPr>
        <w:instrText xml:space="preserve"> PAGEREF _Toc26180 </w:instrText>
      </w:r>
      <w:r>
        <w:rPr>
          <w:sz w:val="32"/>
          <w:szCs w:val="32"/>
        </w:rPr>
        <w:fldChar w:fldCharType="separate"/>
      </w:r>
      <w:r>
        <w:rPr>
          <w:sz w:val="32"/>
          <w:szCs w:val="32"/>
        </w:rPr>
        <w:t xml:space="preserve">- </w:t>
      </w:r>
      <w:r>
        <w:rPr>
          <w:rFonts w:hint="eastAsia"/>
          <w:sz w:val="32"/>
          <w:szCs w:val="32"/>
        </w:rPr>
        <w:t>3</w:t>
      </w:r>
      <w:r>
        <w:rPr>
          <w:sz w:val="32"/>
          <w:szCs w:val="32"/>
        </w:rPr>
        <w:t xml:space="preserve"> -</w:t>
      </w:r>
      <w:r>
        <w:rPr>
          <w:sz w:val="32"/>
          <w:szCs w:val="32"/>
        </w:rPr>
        <w:fldChar w:fldCharType="end"/>
      </w:r>
      <w:r>
        <w:rPr>
          <w:sz w:val="32"/>
          <w:szCs w:val="32"/>
        </w:rPr>
        <w:fldChar w:fldCharType="end"/>
      </w:r>
    </w:p>
    <w:p>
      <w:pPr>
        <w:pStyle w:val="7"/>
        <w:tabs>
          <w:tab w:val="right" w:leader="dot" w:pos="8844"/>
        </w:tabs>
        <w:rPr>
          <w:sz w:val="32"/>
          <w:szCs w:val="32"/>
        </w:rPr>
      </w:pPr>
      <w:r>
        <w:fldChar w:fldCharType="begin"/>
      </w:r>
      <w:r>
        <w:instrText xml:space="preserve"> HYPERLINK \l "_Toc22160" </w:instrText>
      </w:r>
      <w:r>
        <w:fldChar w:fldCharType="separate"/>
      </w:r>
      <w:r>
        <w:rPr>
          <w:rFonts w:hint="eastAsia" w:ascii="楷体_GB2312" w:hAnsi="楷体_GB2312" w:eastAsia="楷体_GB2312" w:cs="楷体_GB2312"/>
          <w:sz w:val="32"/>
          <w:szCs w:val="32"/>
        </w:rPr>
        <w:t>预算收支增减变化情况说明</w:t>
      </w:r>
      <w:r>
        <w:rPr>
          <w:sz w:val="32"/>
          <w:szCs w:val="32"/>
        </w:rPr>
        <w:tab/>
      </w:r>
      <w:r>
        <w:rPr>
          <w:sz w:val="32"/>
          <w:szCs w:val="32"/>
        </w:rPr>
        <w:fldChar w:fldCharType="begin"/>
      </w:r>
      <w:r>
        <w:rPr>
          <w:sz w:val="32"/>
          <w:szCs w:val="32"/>
        </w:rPr>
        <w:instrText xml:space="preserve"> PAGEREF _Toc22160 </w:instrText>
      </w:r>
      <w:r>
        <w:rPr>
          <w:sz w:val="32"/>
          <w:szCs w:val="32"/>
        </w:rPr>
        <w:fldChar w:fldCharType="separate"/>
      </w:r>
      <w:r>
        <w:rPr>
          <w:sz w:val="32"/>
          <w:szCs w:val="32"/>
        </w:rPr>
        <w:t xml:space="preserve">- </w:t>
      </w:r>
      <w:r>
        <w:rPr>
          <w:rFonts w:hint="eastAsia"/>
          <w:sz w:val="32"/>
          <w:szCs w:val="32"/>
        </w:rPr>
        <w:t>3</w:t>
      </w:r>
      <w:r>
        <w:rPr>
          <w:sz w:val="32"/>
          <w:szCs w:val="32"/>
        </w:rPr>
        <w:t xml:space="preserve"> -</w:t>
      </w:r>
      <w:r>
        <w:rPr>
          <w:sz w:val="32"/>
          <w:szCs w:val="32"/>
        </w:rPr>
        <w:fldChar w:fldCharType="end"/>
      </w:r>
      <w:r>
        <w:rPr>
          <w:sz w:val="32"/>
          <w:szCs w:val="32"/>
        </w:rPr>
        <w:fldChar w:fldCharType="end"/>
      </w:r>
    </w:p>
    <w:p>
      <w:pPr>
        <w:pStyle w:val="6"/>
        <w:tabs>
          <w:tab w:val="right" w:leader="dot" w:pos="8844"/>
        </w:tabs>
        <w:rPr>
          <w:rFonts w:eastAsia="仿宋_GB2312"/>
          <w:sz w:val="32"/>
          <w:szCs w:val="32"/>
        </w:rPr>
      </w:pPr>
      <w:r>
        <w:fldChar w:fldCharType="begin"/>
      </w:r>
      <w:r>
        <w:instrText xml:space="preserve"> HYPERLINK \l "_Toc21726" </w:instrText>
      </w:r>
      <w:r>
        <w:fldChar w:fldCharType="separate"/>
      </w:r>
      <w:r>
        <w:rPr>
          <w:rFonts w:hint="eastAsia" w:ascii="黑体" w:hAnsi="黑体" w:eastAsia="黑体" w:cs="黑体"/>
          <w:bCs/>
          <w:sz w:val="32"/>
          <w:szCs w:val="32"/>
        </w:rPr>
        <w:t>五、财政拨款支出预算安排情况</w:t>
      </w:r>
      <w:r>
        <w:rPr>
          <w:sz w:val="32"/>
          <w:szCs w:val="32"/>
        </w:rPr>
        <w:tab/>
      </w:r>
      <w:r>
        <w:rPr>
          <w:sz w:val="32"/>
          <w:szCs w:val="32"/>
        </w:rPr>
        <w:fldChar w:fldCharType="begin"/>
      </w:r>
      <w:r>
        <w:rPr>
          <w:sz w:val="32"/>
          <w:szCs w:val="32"/>
        </w:rPr>
        <w:instrText xml:space="preserve"> PAGEREF _Toc21726 </w:instrText>
      </w:r>
      <w:r>
        <w:rPr>
          <w:sz w:val="32"/>
          <w:szCs w:val="32"/>
        </w:rPr>
        <w:fldChar w:fldCharType="separate"/>
      </w:r>
      <w:r>
        <w:rPr>
          <w:sz w:val="32"/>
          <w:szCs w:val="32"/>
        </w:rPr>
        <w:t xml:space="preserve">- </w:t>
      </w:r>
      <w:r>
        <w:rPr>
          <w:rFonts w:hint="eastAsia"/>
          <w:sz w:val="32"/>
          <w:szCs w:val="32"/>
        </w:rPr>
        <w:t>4</w:t>
      </w:r>
      <w:r>
        <w:rPr>
          <w:sz w:val="32"/>
          <w:szCs w:val="32"/>
        </w:rPr>
        <w:t>-</w:t>
      </w:r>
      <w:r>
        <w:rPr>
          <w:sz w:val="32"/>
          <w:szCs w:val="32"/>
        </w:rPr>
        <w:fldChar w:fldCharType="end"/>
      </w:r>
      <w:r>
        <w:rPr>
          <w:sz w:val="32"/>
          <w:szCs w:val="32"/>
        </w:rPr>
        <w:fldChar w:fldCharType="end"/>
      </w:r>
    </w:p>
    <w:p>
      <w:pPr>
        <w:ind w:firstLine="420" w:firstLineChars="200"/>
      </w:pPr>
      <w:r>
        <w:rPr>
          <w:rFonts w:hint="eastAsia"/>
        </w:rPr>
        <w:t>（一）、基本支出方面的经费安排情况</w:t>
      </w:r>
      <w:r>
        <w:tab/>
      </w:r>
      <w:r>
        <w:t>………………………………………………</w:t>
      </w:r>
      <w:r>
        <w:fldChar w:fldCharType="begin"/>
      </w:r>
      <w:r>
        <w:instrText xml:space="preserve"> PAGEREF _Toc21726 </w:instrText>
      </w:r>
      <w:r>
        <w:fldChar w:fldCharType="separate"/>
      </w:r>
      <w:r>
        <w:t xml:space="preserve">- </w:t>
      </w:r>
      <w:r>
        <w:rPr>
          <w:rFonts w:hint="eastAsia"/>
        </w:rPr>
        <w:t>4</w:t>
      </w:r>
      <w:r>
        <w:t>-</w:t>
      </w:r>
      <w:r>
        <w:fldChar w:fldCharType="end"/>
      </w:r>
    </w:p>
    <w:p>
      <w:pPr>
        <w:ind w:firstLine="420" w:firstLineChars="200"/>
      </w:pPr>
      <w:r>
        <w:rPr>
          <w:rFonts w:hint="eastAsia"/>
        </w:rPr>
        <w:t>（二）日常公用经费安排情况</w:t>
      </w:r>
      <w:r>
        <w:t>……………………………………………………………</w:t>
      </w:r>
      <w:r>
        <w:rPr>
          <w:rFonts w:hint="eastAsia"/>
        </w:rPr>
        <w:t>.-.5-</w:t>
      </w:r>
    </w:p>
    <w:p>
      <w:pPr>
        <w:pStyle w:val="6"/>
        <w:tabs>
          <w:tab w:val="right" w:leader="dot" w:pos="8844"/>
        </w:tabs>
        <w:rPr>
          <w:sz w:val="32"/>
          <w:szCs w:val="32"/>
        </w:rPr>
      </w:pPr>
      <w:r>
        <w:fldChar w:fldCharType="begin"/>
      </w:r>
      <w:r>
        <w:instrText xml:space="preserve"> HYPERLINK \l "_Toc18" </w:instrText>
      </w:r>
      <w:r>
        <w:fldChar w:fldCharType="separate"/>
      </w:r>
      <w:r>
        <w:rPr>
          <w:rFonts w:hint="eastAsia" w:ascii="黑体" w:hAnsi="黑体" w:eastAsia="黑体" w:cs="黑体"/>
          <w:bCs/>
          <w:sz w:val="32"/>
          <w:szCs w:val="32"/>
        </w:rPr>
        <w:t>六、“三公”经费财政拨款预算安排情况</w:t>
      </w:r>
      <w:r>
        <w:rPr>
          <w:sz w:val="32"/>
          <w:szCs w:val="32"/>
        </w:rPr>
        <w:tab/>
      </w:r>
      <w:r>
        <w:rPr>
          <w:sz w:val="32"/>
          <w:szCs w:val="32"/>
        </w:rPr>
        <w:fldChar w:fldCharType="begin"/>
      </w:r>
      <w:r>
        <w:rPr>
          <w:sz w:val="32"/>
          <w:szCs w:val="32"/>
        </w:rPr>
        <w:instrText xml:space="preserve"> PAGEREF _Toc18 </w:instrText>
      </w:r>
      <w:r>
        <w:rPr>
          <w:sz w:val="32"/>
          <w:szCs w:val="32"/>
        </w:rPr>
        <w:fldChar w:fldCharType="separate"/>
      </w:r>
      <w:r>
        <w:rPr>
          <w:sz w:val="32"/>
          <w:szCs w:val="32"/>
        </w:rPr>
        <w:t>- 8 -</w:t>
      </w:r>
      <w:r>
        <w:rPr>
          <w:sz w:val="32"/>
          <w:szCs w:val="32"/>
        </w:rPr>
        <w:fldChar w:fldCharType="end"/>
      </w:r>
      <w:r>
        <w:rPr>
          <w:sz w:val="32"/>
          <w:szCs w:val="32"/>
        </w:rPr>
        <w:fldChar w:fldCharType="end"/>
      </w:r>
    </w:p>
    <w:p>
      <w:pPr>
        <w:pStyle w:val="7"/>
        <w:tabs>
          <w:tab w:val="right" w:leader="dot" w:pos="8844"/>
        </w:tabs>
        <w:rPr>
          <w:sz w:val="32"/>
          <w:szCs w:val="32"/>
        </w:rPr>
      </w:pPr>
      <w:r>
        <w:fldChar w:fldCharType="begin"/>
      </w:r>
      <w:r>
        <w:instrText xml:space="preserve"> HYPERLINK \l "_Toc4369" </w:instrText>
      </w:r>
      <w:r>
        <w:fldChar w:fldCharType="separate"/>
      </w:r>
      <w:r>
        <w:rPr>
          <w:rFonts w:hint="eastAsia" w:ascii="楷体_GB2312" w:hAnsi="楷体_GB2312" w:eastAsia="楷体_GB2312" w:cs="楷体_GB2312"/>
          <w:sz w:val="32"/>
          <w:szCs w:val="32"/>
        </w:rPr>
        <w:t>（一）因公出国（境）经费</w:t>
      </w:r>
      <w:r>
        <w:rPr>
          <w:sz w:val="32"/>
          <w:szCs w:val="32"/>
        </w:rPr>
        <w:tab/>
      </w:r>
      <w:r>
        <w:rPr>
          <w:sz w:val="32"/>
          <w:szCs w:val="32"/>
        </w:rPr>
        <w:fldChar w:fldCharType="begin"/>
      </w:r>
      <w:r>
        <w:rPr>
          <w:sz w:val="32"/>
          <w:szCs w:val="32"/>
        </w:rPr>
        <w:instrText xml:space="preserve"> PAGEREF _Toc4369 </w:instrText>
      </w:r>
      <w:r>
        <w:rPr>
          <w:sz w:val="32"/>
          <w:szCs w:val="32"/>
        </w:rPr>
        <w:fldChar w:fldCharType="separate"/>
      </w:r>
      <w:r>
        <w:rPr>
          <w:sz w:val="32"/>
          <w:szCs w:val="32"/>
        </w:rPr>
        <w:t>- 8 -</w:t>
      </w:r>
      <w:r>
        <w:rPr>
          <w:sz w:val="32"/>
          <w:szCs w:val="32"/>
        </w:rPr>
        <w:fldChar w:fldCharType="end"/>
      </w:r>
      <w:r>
        <w:rPr>
          <w:sz w:val="32"/>
          <w:szCs w:val="32"/>
        </w:rPr>
        <w:fldChar w:fldCharType="end"/>
      </w:r>
    </w:p>
    <w:p>
      <w:pPr>
        <w:pStyle w:val="7"/>
        <w:tabs>
          <w:tab w:val="right" w:leader="dot" w:pos="8844"/>
        </w:tabs>
        <w:rPr>
          <w:sz w:val="32"/>
          <w:szCs w:val="32"/>
        </w:rPr>
      </w:pPr>
      <w:r>
        <w:fldChar w:fldCharType="begin"/>
      </w:r>
      <w:r>
        <w:instrText xml:space="preserve"> HYPERLINK \l "_Toc22389" </w:instrText>
      </w:r>
      <w:r>
        <w:fldChar w:fldCharType="separate"/>
      </w:r>
      <w:r>
        <w:rPr>
          <w:rFonts w:hint="eastAsia" w:ascii="楷体_GB2312" w:hAnsi="楷体_GB2312" w:eastAsia="楷体_GB2312" w:cs="楷体_GB2312"/>
          <w:sz w:val="32"/>
          <w:szCs w:val="32"/>
        </w:rPr>
        <w:t>（二）公务接待费</w:t>
      </w:r>
      <w:r>
        <w:rPr>
          <w:sz w:val="32"/>
          <w:szCs w:val="32"/>
        </w:rPr>
        <w:tab/>
      </w:r>
      <w:r>
        <w:rPr>
          <w:sz w:val="32"/>
          <w:szCs w:val="32"/>
        </w:rPr>
        <w:fldChar w:fldCharType="begin"/>
      </w:r>
      <w:r>
        <w:rPr>
          <w:sz w:val="32"/>
          <w:szCs w:val="32"/>
        </w:rPr>
        <w:instrText xml:space="preserve"> PAGEREF _Toc22389 </w:instrText>
      </w:r>
      <w:r>
        <w:rPr>
          <w:sz w:val="32"/>
          <w:szCs w:val="32"/>
        </w:rPr>
        <w:fldChar w:fldCharType="separate"/>
      </w:r>
      <w:r>
        <w:rPr>
          <w:sz w:val="32"/>
          <w:szCs w:val="32"/>
        </w:rPr>
        <w:t>- 8 -</w:t>
      </w:r>
      <w:r>
        <w:rPr>
          <w:sz w:val="32"/>
          <w:szCs w:val="32"/>
        </w:rPr>
        <w:fldChar w:fldCharType="end"/>
      </w:r>
      <w:r>
        <w:rPr>
          <w:sz w:val="32"/>
          <w:szCs w:val="32"/>
        </w:rPr>
        <w:fldChar w:fldCharType="end"/>
      </w:r>
    </w:p>
    <w:p>
      <w:pPr>
        <w:pStyle w:val="7"/>
        <w:tabs>
          <w:tab w:val="right" w:leader="dot" w:pos="8844"/>
        </w:tabs>
        <w:rPr>
          <w:sz w:val="32"/>
          <w:szCs w:val="32"/>
        </w:rPr>
      </w:pPr>
      <w:r>
        <w:fldChar w:fldCharType="begin"/>
      </w:r>
      <w:r>
        <w:instrText xml:space="preserve"> HYPERLINK \l "_Toc17559" </w:instrText>
      </w:r>
      <w:r>
        <w:fldChar w:fldCharType="separate"/>
      </w:r>
      <w:r>
        <w:rPr>
          <w:rFonts w:hint="eastAsia" w:ascii="楷体_GB2312" w:hAnsi="楷体_GB2312" w:eastAsia="楷体_GB2312" w:cs="楷体_GB2312"/>
          <w:sz w:val="32"/>
          <w:szCs w:val="32"/>
        </w:rPr>
        <w:t>（三）公务用车购置及运行维护费</w:t>
      </w:r>
      <w:r>
        <w:rPr>
          <w:sz w:val="32"/>
          <w:szCs w:val="32"/>
        </w:rPr>
        <w:tab/>
      </w:r>
      <w:r>
        <w:rPr>
          <w:sz w:val="32"/>
          <w:szCs w:val="32"/>
        </w:rPr>
        <w:fldChar w:fldCharType="begin"/>
      </w:r>
      <w:r>
        <w:rPr>
          <w:sz w:val="32"/>
          <w:szCs w:val="32"/>
        </w:rPr>
        <w:instrText xml:space="preserve"> PAGEREF _Toc17559 </w:instrText>
      </w:r>
      <w:r>
        <w:rPr>
          <w:sz w:val="32"/>
          <w:szCs w:val="32"/>
        </w:rPr>
        <w:fldChar w:fldCharType="separate"/>
      </w:r>
      <w:r>
        <w:rPr>
          <w:sz w:val="32"/>
          <w:szCs w:val="32"/>
        </w:rPr>
        <w:t xml:space="preserve">- </w:t>
      </w:r>
      <w:r>
        <w:rPr>
          <w:rFonts w:hint="eastAsia"/>
          <w:sz w:val="32"/>
          <w:szCs w:val="32"/>
        </w:rPr>
        <w:t>8</w:t>
      </w:r>
      <w:r>
        <w:rPr>
          <w:sz w:val="32"/>
          <w:szCs w:val="32"/>
        </w:rPr>
        <w:t xml:space="preserve"> -</w:t>
      </w:r>
      <w:r>
        <w:rPr>
          <w:sz w:val="32"/>
          <w:szCs w:val="32"/>
        </w:rPr>
        <w:fldChar w:fldCharType="end"/>
      </w:r>
      <w:r>
        <w:rPr>
          <w:sz w:val="32"/>
          <w:szCs w:val="32"/>
        </w:rPr>
        <w:fldChar w:fldCharType="end"/>
      </w:r>
    </w:p>
    <w:p>
      <w:pPr>
        <w:pStyle w:val="6"/>
        <w:tabs>
          <w:tab w:val="right" w:leader="dot" w:pos="8844"/>
        </w:tabs>
        <w:rPr>
          <w:sz w:val="32"/>
          <w:szCs w:val="32"/>
        </w:rPr>
      </w:pPr>
      <w:r>
        <w:fldChar w:fldCharType="begin"/>
      </w:r>
      <w:r>
        <w:instrText xml:space="preserve"> HYPERLINK \l "_Toc30450" </w:instrText>
      </w:r>
      <w:r>
        <w:fldChar w:fldCharType="separate"/>
      </w:r>
      <w:r>
        <w:rPr>
          <w:rFonts w:hint="eastAsia" w:ascii="黑体" w:hAnsi="黑体" w:eastAsia="黑体" w:cs="黑体"/>
          <w:bCs/>
          <w:sz w:val="32"/>
          <w:szCs w:val="32"/>
        </w:rPr>
        <w:t>七、其他重要事项的情况说明</w:t>
      </w:r>
      <w:r>
        <w:rPr>
          <w:sz w:val="32"/>
          <w:szCs w:val="32"/>
        </w:rPr>
        <w:tab/>
      </w:r>
      <w:r>
        <w:rPr>
          <w:sz w:val="32"/>
          <w:szCs w:val="32"/>
        </w:rPr>
        <w:fldChar w:fldCharType="begin"/>
      </w:r>
      <w:r>
        <w:rPr>
          <w:sz w:val="32"/>
          <w:szCs w:val="32"/>
        </w:rPr>
        <w:instrText xml:space="preserve"> PAGEREF _Toc30450 </w:instrText>
      </w:r>
      <w:r>
        <w:rPr>
          <w:sz w:val="32"/>
          <w:szCs w:val="32"/>
        </w:rPr>
        <w:fldChar w:fldCharType="separate"/>
      </w:r>
      <w:r>
        <w:rPr>
          <w:sz w:val="32"/>
          <w:szCs w:val="32"/>
        </w:rPr>
        <w:t>- 9 -</w:t>
      </w:r>
      <w:r>
        <w:rPr>
          <w:sz w:val="32"/>
          <w:szCs w:val="32"/>
        </w:rPr>
        <w:fldChar w:fldCharType="end"/>
      </w:r>
      <w:r>
        <w:rPr>
          <w:sz w:val="32"/>
          <w:szCs w:val="32"/>
        </w:rPr>
        <w:fldChar w:fldCharType="end"/>
      </w:r>
    </w:p>
    <w:p>
      <w:pPr>
        <w:pStyle w:val="7"/>
        <w:tabs>
          <w:tab w:val="right" w:leader="dot" w:pos="8844"/>
        </w:tabs>
        <w:rPr>
          <w:sz w:val="32"/>
          <w:szCs w:val="32"/>
        </w:rPr>
      </w:pPr>
      <w:r>
        <w:fldChar w:fldCharType="begin"/>
      </w:r>
      <w:r>
        <w:instrText xml:space="preserve"> HYPERLINK \l "_Toc648" </w:instrText>
      </w:r>
      <w:r>
        <w:fldChar w:fldCharType="separate"/>
      </w:r>
      <w:r>
        <w:rPr>
          <w:rFonts w:hint="eastAsia" w:ascii="楷体_GB2312" w:hAnsi="楷体_GB2312" w:eastAsia="楷体_GB2312" w:cs="楷体_GB2312"/>
          <w:sz w:val="32"/>
          <w:szCs w:val="32"/>
        </w:rPr>
        <w:t>（一）机关运行经费安排情况</w:t>
      </w:r>
      <w:r>
        <w:rPr>
          <w:sz w:val="32"/>
          <w:szCs w:val="32"/>
        </w:rPr>
        <w:tab/>
      </w:r>
      <w:r>
        <w:rPr>
          <w:sz w:val="32"/>
          <w:szCs w:val="32"/>
        </w:rPr>
        <w:fldChar w:fldCharType="begin"/>
      </w:r>
      <w:r>
        <w:rPr>
          <w:sz w:val="32"/>
          <w:szCs w:val="32"/>
        </w:rPr>
        <w:instrText xml:space="preserve"> PAGEREF _Toc648 </w:instrText>
      </w:r>
      <w:r>
        <w:rPr>
          <w:sz w:val="32"/>
          <w:szCs w:val="32"/>
        </w:rPr>
        <w:fldChar w:fldCharType="separate"/>
      </w:r>
      <w:r>
        <w:rPr>
          <w:sz w:val="32"/>
          <w:szCs w:val="32"/>
        </w:rPr>
        <w:t>- 9 -</w:t>
      </w:r>
      <w:r>
        <w:rPr>
          <w:sz w:val="32"/>
          <w:szCs w:val="32"/>
        </w:rPr>
        <w:fldChar w:fldCharType="end"/>
      </w:r>
      <w:r>
        <w:rPr>
          <w:sz w:val="32"/>
          <w:szCs w:val="32"/>
        </w:rPr>
        <w:fldChar w:fldCharType="end"/>
      </w:r>
    </w:p>
    <w:p>
      <w:pPr>
        <w:pStyle w:val="7"/>
        <w:tabs>
          <w:tab w:val="right" w:leader="dot" w:pos="8844"/>
        </w:tabs>
        <w:rPr>
          <w:sz w:val="32"/>
          <w:szCs w:val="32"/>
        </w:rPr>
      </w:pPr>
      <w:r>
        <w:fldChar w:fldCharType="begin"/>
      </w:r>
      <w:r>
        <w:instrText xml:space="preserve"> HYPERLINK \l "_Toc2053" </w:instrText>
      </w:r>
      <w:r>
        <w:fldChar w:fldCharType="separate"/>
      </w:r>
      <w:r>
        <w:rPr>
          <w:rFonts w:hint="eastAsia" w:ascii="楷体_GB2312" w:hAnsi="楷体_GB2312" w:eastAsia="楷体_GB2312" w:cs="楷体_GB2312"/>
          <w:sz w:val="32"/>
          <w:szCs w:val="32"/>
        </w:rPr>
        <w:t>（二）国有资产占有使用情况</w:t>
      </w:r>
      <w:r>
        <w:rPr>
          <w:sz w:val="32"/>
          <w:szCs w:val="32"/>
        </w:rPr>
        <w:tab/>
      </w:r>
      <w:r>
        <w:rPr>
          <w:sz w:val="32"/>
          <w:szCs w:val="32"/>
        </w:rPr>
        <w:fldChar w:fldCharType="begin"/>
      </w:r>
      <w:r>
        <w:rPr>
          <w:sz w:val="32"/>
          <w:szCs w:val="32"/>
        </w:rPr>
        <w:instrText xml:space="preserve"> PAGEREF _Toc2053 </w:instrText>
      </w:r>
      <w:r>
        <w:rPr>
          <w:sz w:val="32"/>
          <w:szCs w:val="32"/>
        </w:rPr>
        <w:fldChar w:fldCharType="separate"/>
      </w:r>
      <w:r>
        <w:rPr>
          <w:sz w:val="32"/>
          <w:szCs w:val="32"/>
        </w:rPr>
        <w:t xml:space="preserve">- </w:t>
      </w:r>
      <w:r>
        <w:rPr>
          <w:rFonts w:hint="eastAsia"/>
          <w:sz w:val="32"/>
          <w:szCs w:val="32"/>
        </w:rPr>
        <w:t>9</w:t>
      </w:r>
      <w:r>
        <w:rPr>
          <w:sz w:val="32"/>
          <w:szCs w:val="32"/>
        </w:rPr>
        <w:t xml:space="preserve"> -</w:t>
      </w:r>
      <w:r>
        <w:rPr>
          <w:sz w:val="32"/>
          <w:szCs w:val="32"/>
        </w:rPr>
        <w:fldChar w:fldCharType="end"/>
      </w:r>
      <w:r>
        <w:rPr>
          <w:sz w:val="32"/>
          <w:szCs w:val="32"/>
        </w:rPr>
        <w:fldChar w:fldCharType="end"/>
      </w:r>
    </w:p>
    <w:p>
      <w:pPr>
        <w:pStyle w:val="7"/>
        <w:tabs>
          <w:tab w:val="right" w:leader="dot" w:pos="8844"/>
        </w:tabs>
        <w:rPr>
          <w:sz w:val="32"/>
          <w:szCs w:val="32"/>
        </w:rPr>
      </w:pPr>
      <w:r>
        <w:fldChar w:fldCharType="begin"/>
      </w:r>
      <w:r>
        <w:instrText xml:space="preserve"> HYPERLINK \l "_Toc3654" </w:instrText>
      </w:r>
      <w:r>
        <w:fldChar w:fldCharType="separate"/>
      </w:r>
      <w:r>
        <w:rPr>
          <w:rFonts w:hint="eastAsia" w:ascii="楷体_GB2312" w:hAnsi="楷体_GB2312" w:eastAsia="楷体_GB2312" w:cs="楷体_GB2312"/>
          <w:sz w:val="32"/>
          <w:szCs w:val="32"/>
        </w:rPr>
        <w:t>（三）绩效目标设置情况</w:t>
      </w:r>
      <w:r>
        <w:rPr>
          <w:sz w:val="32"/>
          <w:szCs w:val="32"/>
        </w:rPr>
        <w:tab/>
      </w:r>
      <w:r>
        <w:rPr>
          <w:sz w:val="32"/>
          <w:szCs w:val="32"/>
        </w:rPr>
        <w:fldChar w:fldCharType="begin"/>
      </w:r>
      <w:r>
        <w:rPr>
          <w:sz w:val="32"/>
          <w:szCs w:val="32"/>
        </w:rPr>
        <w:instrText xml:space="preserve"> PAGEREF _Toc3654 </w:instrText>
      </w:r>
      <w:r>
        <w:rPr>
          <w:sz w:val="32"/>
          <w:szCs w:val="32"/>
        </w:rPr>
        <w:fldChar w:fldCharType="separate"/>
      </w:r>
      <w:r>
        <w:rPr>
          <w:sz w:val="32"/>
          <w:szCs w:val="32"/>
        </w:rPr>
        <w:t xml:space="preserve">- </w:t>
      </w:r>
      <w:r>
        <w:rPr>
          <w:rFonts w:hint="eastAsia"/>
          <w:sz w:val="32"/>
          <w:szCs w:val="32"/>
        </w:rPr>
        <w:t>9</w:t>
      </w:r>
      <w:r>
        <w:rPr>
          <w:sz w:val="32"/>
          <w:szCs w:val="32"/>
        </w:rPr>
        <w:t xml:space="preserve"> -</w:t>
      </w:r>
      <w:r>
        <w:rPr>
          <w:sz w:val="32"/>
          <w:szCs w:val="32"/>
        </w:rPr>
        <w:fldChar w:fldCharType="end"/>
      </w:r>
      <w:r>
        <w:rPr>
          <w:sz w:val="32"/>
          <w:szCs w:val="32"/>
        </w:rPr>
        <w:fldChar w:fldCharType="end"/>
      </w:r>
    </w:p>
    <w:p>
      <w:pPr>
        <w:pStyle w:val="7"/>
        <w:tabs>
          <w:tab w:val="right" w:leader="dot" w:pos="8844"/>
        </w:tabs>
        <w:rPr>
          <w:sz w:val="32"/>
          <w:szCs w:val="32"/>
        </w:rPr>
      </w:pPr>
      <w:r>
        <w:fldChar w:fldCharType="begin"/>
      </w:r>
      <w:r>
        <w:instrText xml:space="preserve"> HYPERLINK \l "_Toc18696" </w:instrText>
      </w:r>
      <w:r>
        <w:fldChar w:fldCharType="separate"/>
      </w:r>
      <w:r>
        <w:rPr>
          <w:rFonts w:hint="eastAsia" w:ascii="楷体_GB2312" w:hAnsi="楷体_GB2312" w:eastAsia="楷体_GB2312" w:cs="楷体_GB2312"/>
          <w:sz w:val="32"/>
          <w:szCs w:val="32"/>
        </w:rPr>
        <w:t>（四）政府采购安排情况</w:t>
      </w:r>
      <w:r>
        <w:rPr>
          <w:sz w:val="32"/>
          <w:szCs w:val="32"/>
        </w:rPr>
        <w:tab/>
      </w:r>
      <w:r>
        <w:rPr>
          <w:sz w:val="32"/>
          <w:szCs w:val="32"/>
        </w:rPr>
        <w:fldChar w:fldCharType="begin"/>
      </w:r>
      <w:r>
        <w:rPr>
          <w:sz w:val="32"/>
          <w:szCs w:val="32"/>
        </w:rPr>
        <w:instrText xml:space="preserve"> PAGEREF _Toc18696 </w:instrText>
      </w:r>
      <w:r>
        <w:rPr>
          <w:sz w:val="32"/>
          <w:szCs w:val="32"/>
        </w:rPr>
        <w:fldChar w:fldCharType="separate"/>
      </w:r>
      <w:r>
        <w:rPr>
          <w:sz w:val="32"/>
          <w:szCs w:val="32"/>
        </w:rPr>
        <w:t xml:space="preserve">- </w:t>
      </w:r>
      <w:r>
        <w:rPr>
          <w:rFonts w:hint="eastAsia"/>
          <w:sz w:val="32"/>
          <w:szCs w:val="32"/>
        </w:rPr>
        <w:t>9</w:t>
      </w:r>
      <w:r>
        <w:rPr>
          <w:sz w:val="32"/>
          <w:szCs w:val="32"/>
        </w:rPr>
        <w:t xml:space="preserve"> -</w:t>
      </w:r>
      <w:r>
        <w:rPr>
          <w:sz w:val="32"/>
          <w:szCs w:val="32"/>
        </w:rPr>
        <w:fldChar w:fldCharType="end"/>
      </w:r>
      <w:r>
        <w:rPr>
          <w:sz w:val="32"/>
          <w:szCs w:val="32"/>
        </w:rPr>
        <w:fldChar w:fldCharType="end"/>
      </w:r>
    </w:p>
    <w:p>
      <w:pPr>
        <w:pStyle w:val="6"/>
        <w:tabs>
          <w:tab w:val="right" w:leader="dot" w:pos="8844"/>
        </w:tabs>
      </w:pPr>
      <w:r>
        <w:fldChar w:fldCharType="begin"/>
      </w:r>
      <w:r>
        <w:instrText xml:space="preserve"> HYPERLINK \l "_Toc15136" </w:instrText>
      </w:r>
      <w:r>
        <w:fldChar w:fldCharType="separate"/>
      </w:r>
      <w:r>
        <w:rPr>
          <w:rFonts w:hint="eastAsia" w:ascii="黑体" w:hAnsi="黑体" w:eastAsia="黑体" w:cs="黑体"/>
          <w:bCs/>
          <w:sz w:val="32"/>
          <w:szCs w:val="32"/>
        </w:rPr>
        <w:t>八、名词解释</w:t>
      </w:r>
      <w:r>
        <w:rPr>
          <w:sz w:val="32"/>
          <w:szCs w:val="32"/>
        </w:rPr>
        <w:tab/>
      </w:r>
      <w:r>
        <w:rPr>
          <w:sz w:val="32"/>
          <w:szCs w:val="32"/>
        </w:rPr>
        <w:fldChar w:fldCharType="begin"/>
      </w:r>
      <w:r>
        <w:rPr>
          <w:sz w:val="32"/>
          <w:szCs w:val="32"/>
        </w:rPr>
        <w:instrText xml:space="preserve"> PAGEREF _Toc15136 </w:instrText>
      </w:r>
      <w:r>
        <w:rPr>
          <w:sz w:val="32"/>
          <w:szCs w:val="32"/>
        </w:rPr>
        <w:fldChar w:fldCharType="separate"/>
      </w:r>
      <w:r>
        <w:rPr>
          <w:sz w:val="32"/>
          <w:szCs w:val="32"/>
        </w:rPr>
        <w:t xml:space="preserve">- </w:t>
      </w:r>
      <w:r>
        <w:rPr>
          <w:rFonts w:hint="eastAsia"/>
          <w:sz w:val="32"/>
          <w:szCs w:val="32"/>
        </w:rPr>
        <w:t>9</w:t>
      </w:r>
      <w:r>
        <w:rPr>
          <w:sz w:val="32"/>
          <w:szCs w:val="32"/>
        </w:rPr>
        <w:t xml:space="preserve"> -</w:t>
      </w:r>
      <w:r>
        <w:rPr>
          <w:sz w:val="32"/>
          <w:szCs w:val="32"/>
        </w:rPr>
        <w:fldChar w:fldCharType="end"/>
      </w:r>
      <w:r>
        <w:rPr>
          <w:sz w:val="32"/>
          <w:szCs w:val="32"/>
        </w:rPr>
        <w:fldChar w:fldCharType="end"/>
      </w:r>
      <w:r>
        <w:rPr>
          <w:rFonts w:eastAsia="仿宋_GB2312"/>
          <w:sz w:val="32"/>
          <w:szCs w:val="32"/>
        </w:rPr>
        <w:br w:type="page"/>
      </w:r>
    </w:p>
    <w:p>
      <w:pPr>
        <w:rPr>
          <w:rFonts w:ascii="黑体" w:hAnsi="黑体" w:eastAsia="黑体" w:cs="黑体"/>
          <w:b/>
          <w:color w:val="000000"/>
          <w:sz w:val="32"/>
          <w:szCs w:val="32"/>
        </w:rPr>
      </w:pPr>
      <w:r>
        <w:rPr>
          <w:rFonts w:eastAsia="仿宋_GB2312"/>
          <w:szCs w:val="32"/>
        </w:rPr>
        <w:fldChar w:fldCharType="end"/>
      </w:r>
      <w:r>
        <w:rPr>
          <w:rFonts w:hint="eastAsia" w:ascii="黑体" w:hAnsi="黑体" w:eastAsia="黑体" w:cs="黑体"/>
          <w:b/>
          <w:sz w:val="32"/>
          <w:szCs w:val="32"/>
        </w:rPr>
        <w:t>第二部分  盐边县新九乡人民政府</w:t>
      </w:r>
      <w:r>
        <w:rPr>
          <w:rFonts w:hint="eastAsia" w:ascii="黑体" w:hAnsi="黑体" w:eastAsia="黑体" w:cs="黑体"/>
          <w:b/>
          <w:color w:val="000000"/>
          <w:sz w:val="32"/>
          <w:szCs w:val="32"/>
        </w:rPr>
        <w:t>2019年部门预算公开表</w:t>
      </w:r>
    </w:p>
    <w:p>
      <w:pPr>
        <w:rPr>
          <w:rFonts w:ascii="黑体" w:hAnsi="黑体" w:eastAsia="黑体" w:cs="黑体"/>
          <w:sz w:val="32"/>
          <w:szCs w:val="32"/>
        </w:rPr>
      </w:pPr>
      <w:r>
        <w:rPr>
          <w:rFonts w:hint="eastAsia" w:ascii="黑体" w:hAnsi="黑体" w:eastAsia="黑体" w:cs="黑体"/>
          <w:sz w:val="32"/>
          <w:szCs w:val="32"/>
        </w:rPr>
        <w:t>公开01表  收支总表</w:t>
      </w:r>
    </w:p>
    <w:p>
      <w:pPr>
        <w:rPr>
          <w:rFonts w:ascii="黑体" w:hAnsi="黑体" w:eastAsia="黑体" w:cs="黑体"/>
          <w:sz w:val="32"/>
          <w:szCs w:val="32"/>
        </w:rPr>
      </w:pPr>
      <w:r>
        <w:rPr>
          <w:rFonts w:hint="eastAsia" w:ascii="黑体" w:hAnsi="黑体" w:eastAsia="黑体" w:cs="黑体"/>
          <w:sz w:val="32"/>
          <w:szCs w:val="32"/>
        </w:rPr>
        <w:t>公开02表  收入总表</w:t>
      </w:r>
    </w:p>
    <w:p>
      <w:pPr>
        <w:rPr>
          <w:rFonts w:ascii="黑体" w:hAnsi="黑体" w:eastAsia="黑体" w:cs="黑体"/>
          <w:sz w:val="32"/>
          <w:szCs w:val="32"/>
        </w:rPr>
      </w:pPr>
      <w:r>
        <w:rPr>
          <w:rFonts w:hint="eastAsia" w:ascii="黑体" w:hAnsi="黑体" w:eastAsia="黑体" w:cs="黑体"/>
          <w:sz w:val="32"/>
          <w:szCs w:val="32"/>
        </w:rPr>
        <w:t>公开03表  支出总表</w:t>
      </w:r>
    </w:p>
    <w:p>
      <w:pPr>
        <w:rPr>
          <w:rFonts w:ascii="黑体" w:hAnsi="黑体" w:eastAsia="黑体" w:cs="黑体"/>
          <w:sz w:val="32"/>
          <w:szCs w:val="32"/>
        </w:rPr>
      </w:pPr>
      <w:r>
        <w:rPr>
          <w:rFonts w:hint="eastAsia" w:ascii="黑体" w:hAnsi="黑体" w:eastAsia="黑体" w:cs="黑体"/>
          <w:sz w:val="32"/>
          <w:szCs w:val="32"/>
        </w:rPr>
        <w:t>公开04表  财政拨款收支预算表</w:t>
      </w:r>
    </w:p>
    <w:p>
      <w:pPr>
        <w:rPr>
          <w:rFonts w:ascii="黑体" w:hAnsi="黑体" w:eastAsia="黑体" w:cs="黑体"/>
          <w:sz w:val="32"/>
          <w:szCs w:val="32"/>
        </w:rPr>
      </w:pPr>
      <w:r>
        <w:rPr>
          <w:rFonts w:hint="eastAsia" w:ascii="黑体" w:hAnsi="黑体" w:eastAsia="黑体" w:cs="黑体"/>
          <w:sz w:val="32"/>
          <w:szCs w:val="32"/>
        </w:rPr>
        <w:t>公开05表  一般公共预算支出预算表</w:t>
      </w:r>
    </w:p>
    <w:p>
      <w:pPr>
        <w:rPr>
          <w:rFonts w:ascii="黑体" w:hAnsi="黑体" w:eastAsia="黑体" w:cs="黑体"/>
          <w:sz w:val="32"/>
          <w:szCs w:val="32"/>
        </w:rPr>
      </w:pPr>
      <w:r>
        <w:rPr>
          <w:rFonts w:hint="eastAsia" w:ascii="黑体" w:hAnsi="黑体" w:eastAsia="黑体" w:cs="黑体"/>
          <w:sz w:val="32"/>
          <w:szCs w:val="32"/>
        </w:rPr>
        <w:t>公开06表  一般公共预算基本支出预算表</w:t>
      </w:r>
    </w:p>
    <w:p>
      <w:pPr>
        <w:rPr>
          <w:rFonts w:ascii="黑体" w:hAnsi="黑体" w:eastAsia="黑体" w:cs="黑体"/>
          <w:sz w:val="32"/>
          <w:szCs w:val="32"/>
        </w:rPr>
      </w:pPr>
      <w:r>
        <w:rPr>
          <w:rFonts w:hint="eastAsia" w:ascii="黑体" w:hAnsi="黑体" w:eastAsia="黑体" w:cs="黑体"/>
          <w:sz w:val="32"/>
          <w:szCs w:val="32"/>
        </w:rPr>
        <w:t>公开07表  一般公共预算项目支出预算表</w:t>
      </w:r>
    </w:p>
    <w:p>
      <w:pPr>
        <w:rPr>
          <w:rFonts w:ascii="黑体" w:hAnsi="黑体" w:eastAsia="黑体" w:cs="黑体"/>
          <w:sz w:val="32"/>
          <w:szCs w:val="32"/>
        </w:rPr>
      </w:pPr>
      <w:r>
        <w:rPr>
          <w:rFonts w:hint="eastAsia" w:ascii="黑体" w:hAnsi="黑体" w:eastAsia="黑体" w:cs="黑体"/>
          <w:sz w:val="32"/>
          <w:szCs w:val="32"/>
        </w:rPr>
        <w:t>公开08表  一般公共预算三公经费预算表</w:t>
      </w:r>
    </w:p>
    <w:p>
      <w:pPr>
        <w:rPr>
          <w:rFonts w:ascii="黑体" w:hAnsi="黑体" w:eastAsia="黑体" w:cs="黑体"/>
          <w:sz w:val="32"/>
          <w:szCs w:val="32"/>
        </w:rPr>
      </w:pPr>
      <w:r>
        <w:rPr>
          <w:rFonts w:hint="eastAsia" w:ascii="黑体" w:hAnsi="黑体" w:eastAsia="黑体" w:cs="黑体"/>
          <w:sz w:val="32"/>
          <w:szCs w:val="32"/>
        </w:rPr>
        <w:t>公开09表  政府性基金支出预算表</w:t>
      </w:r>
    </w:p>
    <w:p>
      <w:pPr>
        <w:rPr>
          <w:rFonts w:ascii="黑体" w:hAnsi="黑体" w:eastAsia="黑体" w:cs="黑体"/>
          <w:sz w:val="32"/>
          <w:szCs w:val="32"/>
        </w:rPr>
      </w:pPr>
      <w:r>
        <w:rPr>
          <w:rFonts w:hint="eastAsia" w:ascii="黑体" w:hAnsi="黑体" w:eastAsia="黑体" w:cs="黑体"/>
          <w:sz w:val="32"/>
          <w:szCs w:val="32"/>
        </w:rPr>
        <w:t>公开10表  政府基金预算三公经费预算表</w:t>
      </w:r>
    </w:p>
    <w:p>
      <w:pPr>
        <w:rPr>
          <w:rFonts w:ascii="黑体" w:hAnsi="黑体" w:eastAsia="黑体" w:cs="黑体"/>
          <w:sz w:val="32"/>
          <w:szCs w:val="32"/>
        </w:rPr>
      </w:pPr>
      <w:r>
        <w:rPr>
          <w:rFonts w:hint="eastAsia" w:ascii="黑体" w:hAnsi="黑体" w:eastAsia="黑体" w:cs="黑体"/>
          <w:sz w:val="32"/>
          <w:szCs w:val="32"/>
        </w:rPr>
        <w:t>公开11表  国有资本经营预算表</w:t>
      </w:r>
    </w:p>
    <w:p>
      <w:pPr>
        <w:spacing w:line="579" w:lineRule="exact"/>
        <w:jc w:val="center"/>
        <w:rPr>
          <w:rFonts w:ascii="方正小标宋简体" w:hAnsi="宋体" w:eastAsia="方正小标宋简体"/>
          <w:color w:val="000000"/>
          <w:sz w:val="36"/>
          <w:szCs w:val="36"/>
        </w:rPr>
      </w:pPr>
    </w:p>
    <w:p>
      <w:pPr>
        <w:spacing w:line="579" w:lineRule="exact"/>
        <w:jc w:val="center"/>
        <w:rPr>
          <w:rFonts w:hint="eastAsia" w:ascii="方正小标宋简体" w:hAnsi="宋体" w:eastAsia="方正小标宋简体"/>
          <w:color w:val="000000"/>
          <w:sz w:val="36"/>
          <w:szCs w:val="36"/>
        </w:rPr>
      </w:pPr>
      <w:r>
        <w:rPr>
          <w:rFonts w:hint="eastAsia" w:ascii="方正小标宋简体" w:hAnsi="宋体" w:eastAsia="方正小标宋简体"/>
          <w:color w:val="000000"/>
          <w:sz w:val="36"/>
          <w:szCs w:val="36"/>
        </w:rPr>
        <w:t xml:space="preserve"> 盐边县新九乡人民政府2019年部门预算说明</w:t>
      </w:r>
    </w:p>
    <w:p>
      <w:pPr>
        <w:spacing w:line="579" w:lineRule="exact"/>
        <w:ind w:firstLine="640" w:firstLineChars="200"/>
        <w:rPr>
          <w:rFonts w:eastAsia="仿宋_GB2312"/>
          <w:sz w:val="32"/>
          <w:szCs w:val="32"/>
        </w:rPr>
      </w:pPr>
      <w:r>
        <w:rPr>
          <w:rFonts w:hint="eastAsia" w:eastAsia="仿宋_GB2312"/>
          <w:sz w:val="32"/>
          <w:szCs w:val="32"/>
        </w:rPr>
        <w:t>根据</w:t>
      </w:r>
      <w:r>
        <w:rPr>
          <w:rFonts w:hint="eastAsia" w:eastAsia="仿宋_GB2312"/>
          <w:color w:val="000000"/>
          <w:sz w:val="32"/>
          <w:szCs w:val="32"/>
        </w:rPr>
        <w:t>县</w:t>
      </w:r>
      <w:r>
        <w:rPr>
          <w:rFonts w:eastAsia="仿宋_GB2312"/>
          <w:color w:val="000000"/>
          <w:sz w:val="32"/>
          <w:szCs w:val="32"/>
        </w:rPr>
        <w:t>十</w:t>
      </w:r>
      <w:r>
        <w:rPr>
          <w:rFonts w:hint="eastAsia" w:eastAsia="仿宋_GB2312"/>
          <w:color w:val="000000"/>
          <w:sz w:val="32"/>
          <w:szCs w:val="32"/>
        </w:rPr>
        <w:t>八</w:t>
      </w:r>
      <w:r>
        <w:rPr>
          <w:rFonts w:eastAsia="仿宋_GB2312"/>
          <w:color w:val="000000"/>
          <w:sz w:val="32"/>
          <w:szCs w:val="32"/>
        </w:rPr>
        <w:t>届人民代表大会第</w:t>
      </w:r>
      <w:r>
        <w:rPr>
          <w:rFonts w:hint="eastAsia" w:eastAsia="仿宋_GB2312"/>
          <w:color w:val="000000"/>
          <w:sz w:val="32"/>
          <w:szCs w:val="32"/>
        </w:rPr>
        <w:t>四</w:t>
      </w:r>
      <w:r>
        <w:rPr>
          <w:rFonts w:eastAsia="仿宋_GB2312"/>
          <w:color w:val="000000"/>
          <w:sz w:val="32"/>
          <w:szCs w:val="32"/>
        </w:rPr>
        <w:t>次</w:t>
      </w:r>
      <w:r>
        <w:rPr>
          <w:rFonts w:eastAsia="仿宋_GB2312"/>
          <w:sz w:val="32"/>
          <w:szCs w:val="32"/>
        </w:rPr>
        <w:t>会议</w:t>
      </w:r>
      <w:r>
        <w:rPr>
          <w:rFonts w:hint="eastAsia" w:eastAsia="仿宋_GB2312"/>
          <w:sz w:val="32"/>
          <w:szCs w:val="32"/>
        </w:rPr>
        <w:t>批准的盐边县2019年财政收支预算，2019年1月28日县财政局以《盐边县财政局关于印发2019年部门预算批复的通知》（盐边财政〔2019〕8号）批复了2019年县级部门预算，并对2019年部门预算公开作了明确要求。现</w:t>
      </w:r>
      <w:r>
        <w:rPr>
          <w:rFonts w:eastAsia="仿宋_GB2312"/>
          <w:sz w:val="32"/>
          <w:szCs w:val="32"/>
        </w:rPr>
        <w:t>按照《</w:t>
      </w:r>
      <w:r>
        <w:rPr>
          <w:rFonts w:hint="eastAsia" w:eastAsia="仿宋_GB2312"/>
          <w:sz w:val="32"/>
          <w:szCs w:val="32"/>
        </w:rPr>
        <w:t>中华人民共和国</w:t>
      </w:r>
      <w:r>
        <w:rPr>
          <w:rFonts w:eastAsia="仿宋_GB2312"/>
          <w:sz w:val="32"/>
          <w:szCs w:val="32"/>
        </w:rPr>
        <w:t>预算法》</w:t>
      </w:r>
      <w:r>
        <w:rPr>
          <w:rFonts w:hint="eastAsia" w:eastAsia="仿宋_GB2312"/>
          <w:sz w:val="32"/>
          <w:szCs w:val="32"/>
        </w:rPr>
        <w:t>相关规定</w:t>
      </w:r>
      <w:r>
        <w:rPr>
          <w:rFonts w:eastAsia="仿宋_GB2312"/>
          <w:sz w:val="32"/>
          <w:szCs w:val="32"/>
        </w:rPr>
        <w:t>，我乡于</w:t>
      </w:r>
      <w:r>
        <w:rPr>
          <w:rFonts w:hint="eastAsia" w:eastAsia="仿宋_GB2312"/>
          <w:sz w:val="32"/>
          <w:szCs w:val="32"/>
        </w:rPr>
        <w:t>2019年4月26日开了新九乡人民代表大会，现</w:t>
      </w:r>
      <w:r>
        <w:rPr>
          <w:rFonts w:eastAsia="仿宋_GB2312"/>
          <w:sz w:val="32"/>
          <w:szCs w:val="32"/>
        </w:rPr>
        <w:t>将我单位201</w:t>
      </w:r>
      <w:r>
        <w:rPr>
          <w:rFonts w:hint="eastAsia" w:eastAsia="仿宋_GB2312"/>
          <w:sz w:val="32"/>
          <w:szCs w:val="32"/>
        </w:rPr>
        <w:t>9</w:t>
      </w:r>
      <w:r>
        <w:rPr>
          <w:rFonts w:eastAsia="仿宋_GB2312"/>
          <w:sz w:val="32"/>
          <w:szCs w:val="32"/>
        </w:rPr>
        <w:t>年部门预算说明如下:</w:t>
      </w:r>
    </w:p>
    <w:p>
      <w:pPr>
        <w:spacing w:line="600" w:lineRule="exact"/>
        <w:ind w:firstLine="640" w:firstLineChars="200"/>
        <w:rPr>
          <w:rFonts w:ascii="黑体" w:eastAsia="黑体"/>
          <w:color w:val="000000"/>
          <w:sz w:val="32"/>
          <w:szCs w:val="32"/>
        </w:rPr>
      </w:pPr>
      <w:r>
        <w:rPr>
          <w:rFonts w:hint="eastAsia" w:ascii="黑体" w:eastAsia="黑体"/>
          <w:color w:val="000000"/>
          <w:sz w:val="32"/>
          <w:szCs w:val="32"/>
        </w:rPr>
        <w:t>一、基本职能</w:t>
      </w:r>
    </w:p>
    <w:p>
      <w:pPr>
        <w:pStyle w:val="3"/>
        <w:adjustRightInd w:val="0"/>
        <w:snapToGrid w:val="0"/>
        <w:spacing w:before="93" w:line="600" w:lineRule="exact"/>
        <w:ind w:firstLine="672" w:firstLineChars="210"/>
        <w:rPr>
          <w:bCs/>
          <w:sz w:val="32"/>
          <w:szCs w:val="32"/>
        </w:rPr>
      </w:pPr>
      <w:r>
        <w:rPr>
          <w:rFonts w:hint="eastAsia"/>
          <w:bCs/>
          <w:color w:val="000000"/>
          <w:sz w:val="32"/>
          <w:szCs w:val="32"/>
        </w:rPr>
        <w:t>（一）</w:t>
      </w:r>
      <w:r>
        <w:rPr>
          <w:rFonts w:hint="eastAsia"/>
          <w:bCs/>
          <w:sz w:val="32"/>
          <w:szCs w:val="32"/>
        </w:rPr>
        <w:t>按照盐边县政府批准的三定方案；2019年我乡人员编制数41人，其中：公务员21人、机关工勤人员2人、事业编制18人，实有在职工人数39人，行政事业退休13人、遗嘱补助4人。</w:t>
      </w:r>
    </w:p>
    <w:p>
      <w:pPr>
        <w:spacing w:line="600" w:lineRule="exact"/>
        <w:ind w:firstLine="640" w:firstLineChars="200"/>
        <w:rPr>
          <w:rFonts w:ascii="黑体" w:eastAsia="黑体"/>
          <w:color w:val="000000"/>
          <w:sz w:val="32"/>
          <w:szCs w:val="32"/>
        </w:rPr>
      </w:pPr>
      <w:r>
        <w:rPr>
          <w:rFonts w:hint="eastAsia" w:ascii="黑体" w:eastAsia="黑体"/>
          <w:color w:val="000000"/>
          <w:sz w:val="32"/>
          <w:szCs w:val="32"/>
        </w:rPr>
        <w:t>二、部门概况</w:t>
      </w:r>
    </w:p>
    <w:p>
      <w:pPr>
        <w:pStyle w:val="3"/>
        <w:adjustRightInd w:val="0"/>
        <w:snapToGrid w:val="0"/>
        <w:spacing w:before="93" w:line="600" w:lineRule="exact"/>
        <w:ind w:firstLine="672" w:firstLineChars="210"/>
        <w:rPr>
          <w:color w:val="000000"/>
          <w:sz w:val="32"/>
          <w:szCs w:val="32"/>
        </w:rPr>
      </w:pPr>
      <w:r>
        <w:rPr>
          <w:rFonts w:hint="eastAsia"/>
          <w:color w:val="000000"/>
          <w:sz w:val="32"/>
          <w:szCs w:val="32"/>
        </w:rPr>
        <w:t>新九乡人民政府下属二级单位1个，其中行政单位1个，参照公务员法管理的事业单位</w:t>
      </w:r>
      <w:r>
        <w:rPr>
          <w:rFonts w:hint="eastAsia"/>
          <w:bCs/>
          <w:color w:val="000000"/>
          <w:sz w:val="32"/>
          <w:szCs w:val="32"/>
        </w:rPr>
        <w:t>0</w:t>
      </w:r>
      <w:r>
        <w:rPr>
          <w:rFonts w:hint="eastAsia"/>
          <w:color w:val="000000"/>
          <w:sz w:val="32"/>
          <w:szCs w:val="32"/>
        </w:rPr>
        <w:t>个，其他事业单位0个。</w:t>
      </w:r>
    </w:p>
    <w:p>
      <w:pPr>
        <w:ind w:firstLine="580"/>
        <w:rPr>
          <w:rFonts w:ascii="黑体" w:eastAsia="黑体"/>
          <w:sz w:val="32"/>
          <w:szCs w:val="32"/>
        </w:rPr>
      </w:pPr>
      <w:r>
        <w:rPr>
          <w:rFonts w:hint="eastAsia" w:ascii="黑体" w:eastAsia="黑体"/>
          <w:sz w:val="32"/>
          <w:szCs w:val="32"/>
        </w:rPr>
        <w:t>三、2019年主要任务工作</w:t>
      </w:r>
    </w:p>
    <w:p>
      <w:pPr>
        <w:pStyle w:val="3"/>
        <w:adjustRightInd w:val="0"/>
        <w:snapToGrid w:val="0"/>
        <w:spacing w:before="93" w:line="600" w:lineRule="exact"/>
        <w:ind w:firstLine="672" w:firstLineChars="210"/>
        <w:rPr>
          <w:bCs/>
          <w:color w:val="000000"/>
          <w:sz w:val="32"/>
          <w:szCs w:val="32"/>
        </w:rPr>
      </w:pPr>
      <w:r>
        <w:rPr>
          <w:rFonts w:hint="eastAsia"/>
          <w:bCs/>
          <w:color w:val="000000"/>
          <w:sz w:val="32"/>
          <w:szCs w:val="32"/>
        </w:rPr>
        <w:t>2019年度重点工作开展情况：</w:t>
      </w:r>
      <w:r>
        <w:rPr>
          <w:rFonts w:hint="eastAsia"/>
          <w:bCs/>
          <w:sz w:val="32"/>
          <w:szCs w:val="32"/>
        </w:rPr>
        <w:t>严格预算收支管理，认真落实国家政策，促进区域内经济发展，努力提高公共服务水平</w:t>
      </w:r>
      <w:r>
        <w:rPr>
          <w:rFonts w:hint="eastAsia"/>
          <w:bCs/>
          <w:color w:val="000000"/>
          <w:sz w:val="32"/>
          <w:szCs w:val="32"/>
        </w:rPr>
        <w:t>。</w:t>
      </w:r>
    </w:p>
    <w:p>
      <w:pPr>
        <w:ind w:firstLine="640" w:firstLineChars="200"/>
        <w:rPr>
          <w:rFonts w:ascii="黑体" w:eastAsia="黑体"/>
          <w:sz w:val="32"/>
          <w:szCs w:val="32"/>
        </w:rPr>
      </w:pPr>
      <w:r>
        <w:rPr>
          <w:rFonts w:hint="eastAsia" w:ascii="黑体" w:eastAsia="黑体"/>
          <w:sz w:val="32"/>
          <w:szCs w:val="32"/>
        </w:rPr>
        <w:t>四、收支预算总体情况</w:t>
      </w:r>
    </w:p>
    <w:p>
      <w:pPr>
        <w:pStyle w:val="8"/>
        <w:shd w:val="clear" w:color="auto" w:fill="FFFFFF"/>
        <w:spacing w:before="0" w:beforeAutospacing="0" w:after="0" w:afterAutospacing="0" w:line="579" w:lineRule="exact"/>
        <w:ind w:firstLine="660" w:firstLineChars="200"/>
        <w:jc w:val="both"/>
        <w:rPr>
          <w:rFonts w:hint="eastAsia" w:eastAsia="仿宋_GB2312"/>
          <w:bCs/>
          <w:color w:val="000000"/>
          <w:sz w:val="32"/>
          <w:szCs w:val="32"/>
        </w:rPr>
      </w:pPr>
      <w:r>
        <w:rPr>
          <w:rFonts w:ascii="Times New Roman" w:hAnsi="Times New Roman" w:eastAsia="方正仿宋简体" w:cs="Times New Roman"/>
          <w:sz w:val="33"/>
          <w:szCs w:val="33"/>
        </w:rPr>
        <w:t>按照预算管理有关规定，</w:t>
      </w:r>
      <w:r>
        <w:rPr>
          <w:rFonts w:ascii="Times New Roman" w:hAnsi="Times New Roman" w:eastAsia="仿宋_GB2312" w:cs="Times New Roman"/>
          <w:sz w:val="32"/>
          <w:szCs w:val="32"/>
        </w:rPr>
        <w:t>目前部门预算的编制实行综合预算制度，即全部收入和支出都反映在预算中。201</w:t>
      </w:r>
      <w:r>
        <w:rPr>
          <w:rFonts w:hint="eastAsia" w:ascii="Times New Roman" w:hAnsi="Times New Roman" w:eastAsia="仿宋_GB2312" w:cs="Times New Roman"/>
          <w:sz w:val="32"/>
          <w:szCs w:val="32"/>
        </w:rPr>
        <w:t>9</w:t>
      </w:r>
      <w:r>
        <w:rPr>
          <w:rFonts w:ascii="Times New Roman" w:hAnsi="Times New Roman" w:eastAsia="仿宋_GB2312" w:cs="Times New Roman"/>
          <w:sz w:val="32"/>
          <w:szCs w:val="32"/>
        </w:rPr>
        <w:t>年</w:t>
      </w:r>
      <w:r>
        <w:rPr>
          <w:rFonts w:hint="eastAsia" w:eastAsia="仿宋_GB2312"/>
          <w:sz w:val="32"/>
          <w:szCs w:val="32"/>
        </w:rPr>
        <w:t>新九乡人民政府</w:t>
      </w:r>
      <w:r>
        <w:rPr>
          <w:rFonts w:ascii="Times New Roman" w:hAnsi="Times New Roman" w:eastAsia="仿宋_GB2312" w:cs="Times New Roman"/>
          <w:sz w:val="32"/>
          <w:szCs w:val="32"/>
        </w:rPr>
        <w:t>收入预算总额为</w:t>
      </w:r>
      <w:r>
        <w:rPr>
          <w:rFonts w:hint="eastAsia" w:ascii="仿宋_GB2312" w:eastAsia="仿宋_GB2312"/>
          <w:sz w:val="32"/>
          <w:szCs w:val="32"/>
        </w:rPr>
        <w:t>884.74412</w:t>
      </w:r>
      <w:r>
        <w:rPr>
          <w:rFonts w:ascii="Times New Roman" w:hAnsi="Times New Roman" w:eastAsia="仿宋_GB2312" w:cs="Times New Roman"/>
          <w:sz w:val="32"/>
          <w:szCs w:val="32"/>
        </w:rPr>
        <w:t>万元，其中：当年财政拨款收入</w:t>
      </w:r>
      <w:r>
        <w:rPr>
          <w:rFonts w:hint="eastAsia" w:ascii="仿宋_GB2312" w:eastAsia="仿宋_GB2312"/>
          <w:sz w:val="32"/>
          <w:szCs w:val="32"/>
        </w:rPr>
        <w:t>806.6722</w:t>
      </w:r>
      <w:r>
        <w:rPr>
          <w:rFonts w:ascii="Times New Roman" w:hAnsi="Times New Roman" w:eastAsia="仿宋_GB2312" w:cs="Times New Roman"/>
          <w:sz w:val="32"/>
          <w:szCs w:val="32"/>
        </w:rPr>
        <w:t>万元，上年结转收入</w:t>
      </w:r>
      <w:r>
        <w:rPr>
          <w:rFonts w:hint="eastAsia" w:ascii="仿宋_GB2312" w:hAnsi="仿宋_GB2312" w:eastAsia="仿宋_GB2312" w:cs="仿宋_GB2312"/>
          <w:sz w:val="32"/>
          <w:szCs w:val="32"/>
        </w:rPr>
        <w:t>78.07193</w:t>
      </w:r>
      <w:r>
        <w:rPr>
          <w:rFonts w:ascii="Times New Roman" w:hAnsi="Times New Roman" w:eastAsia="仿宋_GB2312" w:cs="Times New Roman"/>
          <w:sz w:val="32"/>
          <w:szCs w:val="32"/>
        </w:rPr>
        <w:t>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相应安排支出预算</w:t>
      </w:r>
      <w:r>
        <w:rPr>
          <w:rFonts w:hint="eastAsia" w:ascii="仿宋_GB2312" w:eastAsia="仿宋_GB2312"/>
          <w:sz w:val="32"/>
          <w:szCs w:val="32"/>
        </w:rPr>
        <w:t>806.6722</w:t>
      </w:r>
      <w:r>
        <w:rPr>
          <w:rFonts w:ascii="Times New Roman" w:hAnsi="Times New Roman" w:eastAsia="仿宋_GB2312" w:cs="Times New Roman"/>
          <w:sz w:val="32"/>
          <w:szCs w:val="32"/>
        </w:rPr>
        <w:t>万元，</w:t>
      </w:r>
      <w:r>
        <w:rPr>
          <w:rFonts w:hint="eastAsia" w:ascii="仿宋_GB2312" w:hAnsi="仿宋_GB2312" w:eastAsia="仿宋_GB2312" w:cs="仿宋_GB2312"/>
          <w:sz w:val="32"/>
          <w:szCs w:val="32"/>
        </w:rPr>
        <w:t>其中：工资福利支出</w:t>
      </w:r>
      <w:r>
        <w:rPr>
          <w:rFonts w:ascii="仿宋_GB2312" w:hAnsi="仿宋_GB2312" w:eastAsia="仿宋_GB2312" w:cs="仿宋_GB2312"/>
          <w:sz w:val="32"/>
          <w:szCs w:val="32"/>
        </w:rPr>
        <w:t>496</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4412</w:t>
      </w:r>
      <w:r>
        <w:rPr>
          <w:rFonts w:hint="eastAsia" w:ascii="仿宋_GB2312" w:hAnsi="仿宋_GB2312" w:eastAsia="仿宋_GB2312" w:cs="仿宋_GB2312"/>
          <w:sz w:val="32"/>
          <w:szCs w:val="32"/>
        </w:rPr>
        <w:t>万元，日常公用支出</w:t>
      </w:r>
      <w:r>
        <w:rPr>
          <w:rFonts w:ascii="仿宋_GB2312" w:hAnsi="仿宋_GB2312" w:eastAsia="仿宋_GB2312" w:cs="仿宋_GB2312"/>
          <w:sz w:val="32"/>
          <w:szCs w:val="32"/>
        </w:rPr>
        <w:t>73</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0879</w:t>
      </w:r>
      <w:r>
        <w:rPr>
          <w:rFonts w:hint="eastAsia" w:ascii="仿宋_GB2312" w:hAnsi="仿宋_GB2312" w:eastAsia="仿宋_GB2312" w:cs="仿宋_GB2312"/>
          <w:sz w:val="32"/>
          <w:szCs w:val="32"/>
        </w:rPr>
        <w:t>万元，对个人和家庭的补助支出</w:t>
      </w:r>
      <w:r>
        <w:rPr>
          <w:rFonts w:ascii="仿宋_GB2312" w:hAnsi="仿宋_GB2312" w:eastAsia="仿宋_GB2312" w:cs="仿宋_GB2312"/>
          <w:sz w:val="32"/>
          <w:szCs w:val="32"/>
        </w:rPr>
        <w:t>8</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6288</w:t>
      </w:r>
      <w:r>
        <w:rPr>
          <w:rFonts w:hint="eastAsia" w:ascii="仿宋_GB2312" w:hAnsi="仿宋_GB2312" w:eastAsia="仿宋_GB2312" w:cs="仿宋_GB2312"/>
          <w:sz w:val="32"/>
          <w:szCs w:val="32"/>
        </w:rPr>
        <w:t>万元，项目支出</w:t>
      </w:r>
      <w:r>
        <w:rPr>
          <w:rFonts w:ascii="仿宋_GB2312" w:hAnsi="仿宋_GB2312" w:eastAsia="仿宋_GB2312" w:cs="仿宋_GB2312"/>
          <w:sz w:val="32"/>
          <w:szCs w:val="32"/>
        </w:rPr>
        <w:t>278</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047732</w:t>
      </w:r>
      <w:r>
        <w:rPr>
          <w:rFonts w:hint="eastAsia" w:ascii="仿宋_GB2312" w:hAnsi="仿宋_GB2312" w:eastAsia="仿宋_GB2312" w:cs="仿宋_GB2312"/>
          <w:sz w:val="32"/>
          <w:szCs w:val="32"/>
        </w:rPr>
        <w:t>万元</w:t>
      </w:r>
      <w:r>
        <w:rPr>
          <w:rFonts w:ascii="Times New Roman" w:hAnsi="Times New Roman" w:eastAsia="仿宋_GB2312" w:cs="Times New Roman"/>
          <w:sz w:val="32"/>
          <w:szCs w:val="32"/>
        </w:rPr>
        <w:t>。</w:t>
      </w:r>
      <w:r>
        <w:rPr>
          <w:rFonts w:hint="eastAsia" w:eastAsia="仿宋_GB2312"/>
          <w:bCs/>
          <w:color w:val="000000"/>
          <w:sz w:val="32"/>
          <w:szCs w:val="32"/>
        </w:rPr>
        <w:t>2019年新九乡总预备费8.1万元，年初预留20.4385万元</w:t>
      </w:r>
      <w:bookmarkStart w:id="0" w:name="_Toc22160"/>
      <w:r>
        <w:rPr>
          <w:rFonts w:hint="eastAsia" w:eastAsia="仿宋_GB2312"/>
          <w:bCs/>
          <w:color w:val="000000"/>
          <w:sz w:val="32"/>
          <w:szCs w:val="32"/>
        </w:rPr>
        <w:t>.</w:t>
      </w:r>
    </w:p>
    <w:p>
      <w:pPr>
        <w:pStyle w:val="8"/>
        <w:shd w:val="clear" w:color="auto" w:fill="FFFFFF"/>
        <w:spacing w:before="0" w:beforeAutospacing="0" w:after="0" w:afterAutospacing="0" w:line="579" w:lineRule="exact"/>
        <w:ind w:firstLine="640" w:firstLineChars="200"/>
        <w:jc w:val="both"/>
        <w:rPr>
          <w:rFonts w:ascii="Times New Roman" w:hAnsi="Times New Roman" w:eastAsia="仿宋_GB2312" w:cs="Times New Roman"/>
          <w:sz w:val="32"/>
          <w:szCs w:val="32"/>
        </w:rPr>
      </w:pPr>
      <w:r>
        <w:rPr>
          <w:rFonts w:hint="eastAsia" w:ascii="楷体_GB2312" w:hAnsi="楷体_GB2312" w:eastAsia="楷体_GB2312" w:cs="楷体_GB2312"/>
          <w:sz w:val="32"/>
          <w:szCs w:val="32"/>
        </w:rPr>
        <w:t>预算收支增减变化情况说明</w:t>
      </w:r>
      <w:bookmarkEnd w:id="0"/>
    </w:p>
    <w:p>
      <w:pPr>
        <w:pStyle w:val="8"/>
        <w:shd w:val="clear" w:color="auto" w:fill="FFFFFF"/>
        <w:spacing w:before="0" w:beforeAutospacing="0" w:after="0" w:afterAutospacing="0" w:line="579" w:lineRule="exact"/>
        <w:ind w:firstLine="640" w:firstLineChars="200"/>
        <w:jc w:val="both"/>
        <w:rPr>
          <w:rFonts w:hint="eastAsia" w:eastAsia="仿宋_GB2312"/>
          <w:bCs/>
          <w:color w:val="000000"/>
          <w:sz w:val="32"/>
          <w:szCs w:val="32"/>
        </w:rPr>
      </w:pPr>
      <w:r>
        <w:rPr>
          <w:rFonts w:ascii="Times New Roman" w:hAnsi="Times New Roman" w:eastAsia="仿宋_GB2312" w:cs="Times New Roman"/>
          <w:sz w:val="32"/>
          <w:szCs w:val="32"/>
        </w:rPr>
        <w:t>201</w:t>
      </w:r>
      <w:r>
        <w:rPr>
          <w:rFonts w:hint="eastAsia" w:ascii="Times New Roman" w:hAnsi="Times New Roman" w:eastAsia="仿宋_GB2312" w:cs="Times New Roman"/>
          <w:sz w:val="32"/>
          <w:szCs w:val="32"/>
        </w:rPr>
        <w:t>9</w:t>
      </w:r>
      <w:r>
        <w:rPr>
          <w:rFonts w:ascii="Times New Roman" w:hAnsi="Times New Roman" w:eastAsia="仿宋_GB2312" w:cs="Times New Roman"/>
          <w:sz w:val="32"/>
          <w:szCs w:val="32"/>
        </w:rPr>
        <w:t>年</w:t>
      </w:r>
      <w:r>
        <w:rPr>
          <w:rFonts w:hint="eastAsia" w:eastAsia="仿宋_GB2312"/>
          <w:sz w:val="32"/>
          <w:szCs w:val="32"/>
        </w:rPr>
        <w:t>新九乡人民政府</w:t>
      </w:r>
      <w:r>
        <w:rPr>
          <w:rFonts w:ascii="Times New Roman" w:hAnsi="Times New Roman" w:eastAsia="仿宋_GB2312" w:cs="Times New Roman"/>
          <w:sz w:val="32"/>
          <w:szCs w:val="32"/>
        </w:rPr>
        <w:t>收入预算总额为</w:t>
      </w:r>
      <w:r>
        <w:rPr>
          <w:rFonts w:hint="eastAsia" w:ascii="仿宋_GB2312" w:eastAsia="仿宋_GB2312"/>
          <w:sz w:val="32"/>
          <w:szCs w:val="32"/>
        </w:rPr>
        <w:t>884.74412</w:t>
      </w:r>
      <w:r>
        <w:rPr>
          <w:rFonts w:ascii="Times New Roman" w:hAnsi="Times New Roman" w:eastAsia="仿宋_GB2312" w:cs="Times New Roman"/>
          <w:sz w:val="32"/>
          <w:szCs w:val="32"/>
        </w:rPr>
        <w:t>万元，其中：当年财政拨款收入</w:t>
      </w:r>
      <w:r>
        <w:rPr>
          <w:rFonts w:hint="eastAsia" w:ascii="仿宋_GB2312" w:eastAsia="仿宋_GB2312"/>
          <w:sz w:val="32"/>
          <w:szCs w:val="32"/>
        </w:rPr>
        <w:t>806.6722</w:t>
      </w:r>
      <w:r>
        <w:rPr>
          <w:rFonts w:ascii="Times New Roman" w:hAnsi="Times New Roman" w:eastAsia="仿宋_GB2312" w:cs="Times New Roman"/>
          <w:sz w:val="32"/>
          <w:szCs w:val="32"/>
        </w:rPr>
        <w:t>万元，上年结转收入</w:t>
      </w:r>
      <w:r>
        <w:rPr>
          <w:rFonts w:hint="eastAsia" w:ascii="仿宋_GB2312" w:hAnsi="仿宋_GB2312" w:eastAsia="仿宋_GB2312" w:cs="仿宋_GB2312"/>
          <w:sz w:val="32"/>
          <w:szCs w:val="32"/>
        </w:rPr>
        <w:t>78.07193</w:t>
      </w:r>
      <w:r>
        <w:rPr>
          <w:rFonts w:ascii="Times New Roman" w:hAnsi="Times New Roman" w:eastAsia="仿宋_GB2312" w:cs="Times New Roman"/>
          <w:sz w:val="32"/>
          <w:szCs w:val="32"/>
        </w:rPr>
        <w:t>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相应安排支出预算</w:t>
      </w:r>
      <w:r>
        <w:rPr>
          <w:rFonts w:hint="eastAsia" w:ascii="仿宋_GB2312" w:eastAsia="仿宋_GB2312"/>
          <w:sz w:val="32"/>
          <w:szCs w:val="32"/>
        </w:rPr>
        <w:t>806.6722</w:t>
      </w:r>
      <w:r>
        <w:rPr>
          <w:rFonts w:ascii="Times New Roman" w:hAnsi="Times New Roman" w:eastAsia="仿宋_GB2312" w:cs="Times New Roman"/>
          <w:sz w:val="32"/>
          <w:szCs w:val="32"/>
        </w:rPr>
        <w:t>万元，</w:t>
      </w:r>
      <w:r>
        <w:rPr>
          <w:rFonts w:hint="eastAsia" w:ascii="仿宋_GB2312" w:hAnsi="仿宋_GB2312" w:eastAsia="仿宋_GB2312" w:cs="仿宋_GB2312"/>
          <w:sz w:val="32"/>
          <w:szCs w:val="32"/>
        </w:rPr>
        <w:t>其中：工资福利支出</w:t>
      </w:r>
      <w:r>
        <w:rPr>
          <w:rFonts w:ascii="仿宋_GB2312" w:hAnsi="仿宋_GB2312" w:eastAsia="仿宋_GB2312" w:cs="仿宋_GB2312"/>
          <w:sz w:val="32"/>
          <w:szCs w:val="32"/>
        </w:rPr>
        <w:t>496</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4412</w:t>
      </w:r>
      <w:r>
        <w:rPr>
          <w:rFonts w:hint="eastAsia" w:ascii="仿宋_GB2312" w:hAnsi="仿宋_GB2312" w:eastAsia="仿宋_GB2312" w:cs="仿宋_GB2312"/>
          <w:sz w:val="32"/>
          <w:szCs w:val="32"/>
        </w:rPr>
        <w:t>万元，日常公用支出</w:t>
      </w:r>
      <w:r>
        <w:rPr>
          <w:rFonts w:ascii="仿宋_GB2312" w:hAnsi="仿宋_GB2312" w:eastAsia="仿宋_GB2312" w:cs="仿宋_GB2312"/>
          <w:sz w:val="32"/>
          <w:szCs w:val="32"/>
        </w:rPr>
        <w:t>73</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0879</w:t>
      </w:r>
      <w:r>
        <w:rPr>
          <w:rFonts w:hint="eastAsia" w:ascii="仿宋_GB2312" w:hAnsi="仿宋_GB2312" w:eastAsia="仿宋_GB2312" w:cs="仿宋_GB2312"/>
          <w:sz w:val="32"/>
          <w:szCs w:val="32"/>
        </w:rPr>
        <w:t>万元，对个人和家庭的补助支出</w:t>
      </w:r>
      <w:r>
        <w:rPr>
          <w:rFonts w:ascii="仿宋_GB2312" w:hAnsi="仿宋_GB2312" w:eastAsia="仿宋_GB2312" w:cs="仿宋_GB2312"/>
          <w:sz w:val="32"/>
          <w:szCs w:val="32"/>
        </w:rPr>
        <w:t>8</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6288</w:t>
      </w:r>
      <w:r>
        <w:rPr>
          <w:rFonts w:hint="eastAsia" w:ascii="仿宋_GB2312" w:hAnsi="仿宋_GB2312" w:eastAsia="仿宋_GB2312" w:cs="仿宋_GB2312"/>
          <w:sz w:val="32"/>
          <w:szCs w:val="32"/>
        </w:rPr>
        <w:t>万元，项目支出</w:t>
      </w:r>
      <w:r>
        <w:rPr>
          <w:rFonts w:ascii="仿宋_GB2312" w:hAnsi="仿宋_GB2312" w:eastAsia="仿宋_GB2312" w:cs="仿宋_GB2312"/>
          <w:sz w:val="32"/>
          <w:szCs w:val="32"/>
        </w:rPr>
        <w:t>278</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047732</w:t>
      </w:r>
      <w:r>
        <w:rPr>
          <w:rFonts w:hint="eastAsia" w:ascii="仿宋_GB2312" w:hAnsi="仿宋_GB2312" w:eastAsia="仿宋_GB2312" w:cs="仿宋_GB2312"/>
          <w:sz w:val="32"/>
          <w:szCs w:val="32"/>
        </w:rPr>
        <w:t>万元</w:t>
      </w:r>
      <w:r>
        <w:rPr>
          <w:rFonts w:ascii="Times New Roman" w:hAnsi="Times New Roman" w:eastAsia="仿宋_GB2312" w:cs="Times New Roman"/>
          <w:sz w:val="32"/>
          <w:szCs w:val="32"/>
        </w:rPr>
        <w:t>。</w:t>
      </w:r>
      <w:r>
        <w:rPr>
          <w:rFonts w:hint="eastAsia" w:eastAsia="仿宋_GB2312"/>
          <w:bCs/>
          <w:color w:val="000000"/>
          <w:sz w:val="32"/>
          <w:szCs w:val="32"/>
        </w:rPr>
        <w:t>2019年新九乡总预备费8.1万元，年初预留20.4385万元</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2018年收入预算总额为7</w:t>
      </w:r>
      <w:r>
        <w:rPr>
          <w:rFonts w:hint="eastAsia" w:ascii="仿宋_GB2312" w:hAnsi="仿宋_GB2312" w:eastAsia="仿宋_GB2312" w:cs="仿宋_GB2312"/>
          <w:sz w:val="32"/>
          <w:szCs w:val="32"/>
        </w:rPr>
        <w:t>96.7285</w:t>
      </w:r>
      <w:r>
        <w:rPr>
          <w:rFonts w:hint="eastAsia" w:ascii="Times New Roman" w:hAnsi="Times New Roman" w:eastAsia="仿宋_GB2312" w:cs="Times New Roman"/>
          <w:sz w:val="32"/>
          <w:szCs w:val="32"/>
        </w:rPr>
        <w:t>万元，其中：当年财政拨款收入</w:t>
      </w:r>
      <w:r>
        <w:rPr>
          <w:rFonts w:hint="eastAsia" w:ascii="仿宋_GB2312" w:eastAsia="仿宋_GB2312"/>
          <w:sz w:val="32"/>
          <w:szCs w:val="32"/>
        </w:rPr>
        <w:t>736.4083</w:t>
      </w:r>
      <w:r>
        <w:rPr>
          <w:rFonts w:hint="eastAsia" w:ascii="Times New Roman" w:hAnsi="Times New Roman" w:eastAsia="仿宋_GB2312" w:cs="Times New Roman"/>
          <w:sz w:val="32"/>
          <w:szCs w:val="32"/>
        </w:rPr>
        <w:t>万元，上年结转收入</w:t>
      </w:r>
      <w:r>
        <w:rPr>
          <w:rFonts w:hint="eastAsia" w:ascii="仿宋_GB2312" w:hAnsi="仿宋_GB2312" w:eastAsia="仿宋_GB2312" w:cs="仿宋_GB2312"/>
          <w:sz w:val="32"/>
          <w:szCs w:val="32"/>
        </w:rPr>
        <w:t>60.3202</w:t>
      </w:r>
      <w:r>
        <w:rPr>
          <w:rFonts w:hint="eastAsia" w:ascii="Times New Roman" w:hAnsi="Times New Roman" w:eastAsia="仿宋_GB2312" w:cs="Times New Roman"/>
          <w:sz w:val="32"/>
          <w:szCs w:val="32"/>
        </w:rPr>
        <w:t>万元。同比增加88.01562万元，增加11.05%，增加原因主要是历年调资，五险一金及工资预算增加，项目资金及补助支出增加。</w:t>
      </w:r>
      <w:r>
        <w:rPr>
          <w:rFonts w:ascii="Times New Roman" w:hAnsi="Times New Roman" w:eastAsia="仿宋_GB2312" w:cs="Times New Roman"/>
          <w:sz w:val="32"/>
          <w:szCs w:val="32"/>
        </w:rPr>
        <w:t>相应安排支出预算</w:t>
      </w:r>
      <w:r>
        <w:rPr>
          <w:rFonts w:hint="eastAsia" w:ascii="仿宋_GB2312" w:eastAsia="仿宋_GB2312"/>
          <w:sz w:val="32"/>
          <w:szCs w:val="32"/>
        </w:rPr>
        <w:t>806.6722</w:t>
      </w:r>
      <w:r>
        <w:rPr>
          <w:rFonts w:ascii="Times New Roman" w:hAnsi="Times New Roman" w:eastAsia="仿宋_GB2312" w:cs="Times New Roman"/>
          <w:sz w:val="32"/>
          <w:szCs w:val="32"/>
        </w:rPr>
        <w:t>万元，</w:t>
      </w:r>
      <w:r>
        <w:rPr>
          <w:rFonts w:hint="eastAsia" w:ascii="仿宋_GB2312" w:hAnsi="仿宋_GB2312" w:eastAsia="仿宋_GB2312" w:cs="仿宋_GB2312"/>
          <w:sz w:val="32"/>
          <w:szCs w:val="32"/>
        </w:rPr>
        <w:t>其中：工资福利支出</w:t>
      </w:r>
      <w:r>
        <w:rPr>
          <w:rFonts w:ascii="仿宋_GB2312" w:hAnsi="仿宋_GB2312" w:eastAsia="仿宋_GB2312" w:cs="仿宋_GB2312"/>
          <w:sz w:val="32"/>
          <w:szCs w:val="32"/>
        </w:rPr>
        <w:t>496</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4412</w:t>
      </w:r>
      <w:r>
        <w:rPr>
          <w:rFonts w:hint="eastAsia" w:ascii="仿宋_GB2312" w:hAnsi="仿宋_GB2312" w:eastAsia="仿宋_GB2312" w:cs="仿宋_GB2312"/>
          <w:sz w:val="32"/>
          <w:szCs w:val="32"/>
        </w:rPr>
        <w:t>万元，日常公用支出</w:t>
      </w:r>
      <w:r>
        <w:rPr>
          <w:rFonts w:ascii="仿宋_GB2312" w:hAnsi="仿宋_GB2312" w:eastAsia="仿宋_GB2312" w:cs="仿宋_GB2312"/>
          <w:sz w:val="32"/>
          <w:szCs w:val="32"/>
        </w:rPr>
        <w:t>73</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0879</w:t>
      </w:r>
      <w:r>
        <w:rPr>
          <w:rFonts w:hint="eastAsia" w:ascii="仿宋_GB2312" w:hAnsi="仿宋_GB2312" w:eastAsia="仿宋_GB2312" w:cs="仿宋_GB2312"/>
          <w:sz w:val="32"/>
          <w:szCs w:val="32"/>
        </w:rPr>
        <w:t>万元，对个人和家庭的补助支出</w:t>
      </w:r>
      <w:r>
        <w:rPr>
          <w:rFonts w:ascii="仿宋_GB2312" w:hAnsi="仿宋_GB2312" w:eastAsia="仿宋_GB2312" w:cs="仿宋_GB2312"/>
          <w:sz w:val="32"/>
          <w:szCs w:val="32"/>
        </w:rPr>
        <w:t>8</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6288</w:t>
      </w:r>
      <w:r>
        <w:rPr>
          <w:rFonts w:hint="eastAsia" w:ascii="仿宋_GB2312" w:hAnsi="仿宋_GB2312" w:eastAsia="仿宋_GB2312" w:cs="仿宋_GB2312"/>
          <w:sz w:val="32"/>
          <w:szCs w:val="32"/>
        </w:rPr>
        <w:t>万元，项目支出</w:t>
      </w:r>
      <w:r>
        <w:rPr>
          <w:rFonts w:ascii="仿宋_GB2312" w:hAnsi="仿宋_GB2312" w:eastAsia="仿宋_GB2312" w:cs="仿宋_GB2312"/>
          <w:sz w:val="32"/>
          <w:szCs w:val="32"/>
        </w:rPr>
        <w:t>278</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047732</w:t>
      </w:r>
      <w:r>
        <w:rPr>
          <w:rFonts w:hint="eastAsia" w:ascii="仿宋_GB2312" w:hAnsi="仿宋_GB2312" w:eastAsia="仿宋_GB2312" w:cs="仿宋_GB2312"/>
          <w:sz w:val="32"/>
          <w:szCs w:val="32"/>
        </w:rPr>
        <w:t>万元</w:t>
      </w:r>
      <w:r>
        <w:rPr>
          <w:rFonts w:ascii="Times New Roman" w:hAnsi="Times New Roman" w:eastAsia="仿宋_GB2312" w:cs="Times New Roman"/>
          <w:sz w:val="32"/>
          <w:szCs w:val="32"/>
        </w:rPr>
        <w:t>。</w:t>
      </w:r>
      <w:r>
        <w:rPr>
          <w:rFonts w:hint="eastAsia" w:eastAsia="仿宋_GB2312"/>
          <w:bCs/>
          <w:color w:val="000000"/>
          <w:sz w:val="32"/>
          <w:szCs w:val="32"/>
        </w:rPr>
        <w:t>2019年新九乡总预备费8.1万元，年初预留20.4385万元.</w:t>
      </w:r>
    </w:p>
    <w:p>
      <w:pPr>
        <w:pStyle w:val="8"/>
        <w:shd w:val="clear" w:color="auto" w:fill="FFFFFF"/>
        <w:spacing w:before="0" w:beforeAutospacing="0" w:after="0" w:afterAutospacing="0" w:line="579" w:lineRule="exact"/>
        <w:jc w:val="both"/>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同比增加88.01562万元，增加11.05%，增加原因主要是历年调资，五险一金及工资预算增加，项目资金及补助支出增加。</w:t>
      </w:r>
    </w:p>
    <w:p>
      <w:pPr>
        <w:pStyle w:val="8"/>
        <w:shd w:val="clear" w:color="auto" w:fill="FFFFFF"/>
        <w:spacing w:before="0" w:beforeAutospacing="0" w:after="0" w:afterAutospacing="0" w:line="579" w:lineRule="exact"/>
        <w:ind w:firstLine="480" w:firstLineChars="200"/>
        <w:jc w:val="both"/>
        <w:rPr>
          <w:rFonts w:ascii="黑体" w:eastAsia="黑体"/>
          <w:sz w:val="32"/>
          <w:szCs w:val="32"/>
        </w:rPr>
      </w:pPr>
      <w:r>
        <w:rPr>
          <w:rFonts w:hint="eastAsia"/>
        </w:rPr>
        <w:t xml:space="preserve"> </w:t>
      </w:r>
      <w:r>
        <w:rPr>
          <w:rFonts w:hint="eastAsia" w:ascii="黑体" w:eastAsia="黑体"/>
          <w:sz w:val="32"/>
          <w:szCs w:val="32"/>
        </w:rPr>
        <w:t>五、</w:t>
      </w:r>
      <w:r>
        <w:rPr>
          <w:rFonts w:ascii="Times New Roman" w:hAnsi="Times New Roman" w:eastAsia="黑体" w:cs="Times New Roman"/>
          <w:color w:val="000000"/>
          <w:sz w:val="32"/>
          <w:szCs w:val="32"/>
        </w:rPr>
        <w:t>财政拨款支出预算安排情况</w:t>
      </w:r>
    </w:p>
    <w:p>
      <w:pPr>
        <w:spacing w:line="579" w:lineRule="exact"/>
        <w:ind w:firstLine="640" w:firstLineChars="200"/>
        <w:rPr>
          <w:rFonts w:eastAsia="仿宋_GB2312"/>
          <w:sz w:val="32"/>
          <w:szCs w:val="32"/>
        </w:rPr>
      </w:pPr>
      <w:r>
        <w:rPr>
          <w:rFonts w:hint="eastAsia" w:eastAsia="仿宋_GB2312"/>
          <w:sz w:val="32"/>
          <w:szCs w:val="32"/>
        </w:rPr>
        <w:t>（一）</w:t>
      </w:r>
      <w:r>
        <w:rPr>
          <w:rFonts w:eastAsia="仿宋_GB2312"/>
          <w:sz w:val="32"/>
          <w:szCs w:val="32"/>
        </w:rPr>
        <w:t>本单位预算安排支出主要用于保障部门机构正常运转、完成日常工作任务以及本单位承担的</w:t>
      </w:r>
      <w:r>
        <w:rPr>
          <w:rFonts w:hint="eastAsia" w:eastAsia="仿宋_GB2312"/>
          <w:sz w:val="32"/>
          <w:szCs w:val="32"/>
        </w:rPr>
        <w:t>其他</w:t>
      </w:r>
      <w:r>
        <w:rPr>
          <w:rFonts w:eastAsia="仿宋_GB2312"/>
          <w:sz w:val="32"/>
          <w:szCs w:val="32"/>
        </w:rPr>
        <w:t>工作。</w:t>
      </w:r>
    </w:p>
    <w:p>
      <w:pPr>
        <w:spacing w:line="579" w:lineRule="exact"/>
        <w:ind w:firstLine="640"/>
        <w:rPr>
          <w:rFonts w:eastAsia="仿宋_GB2312"/>
          <w:sz w:val="32"/>
          <w:szCs w:val="32"/>
        </w:rPr>
      </w:pPr>
      <w:r>
        <w:rPr>
          <w:rFonts w:eastAsia="仿宋_GB2312"/>
          <w:sz w:val="32"/>
          <w:szCs w:val="32"/>
        </w:rPr>
        <w:t>基本支出，是用于保障</w:t>
      </w:r>
      <w:r>
        <w:rPr>
          <w:rFonts w:hint="eastAsia" w:eastAsia="仿宋_GB2312"/>
          <w:sz w:val="32"/>
          <w:szCs w:val="32"/>
        </w:rPr>
        <w:t>单位</w:t>
      </w:r>
      <w:r>
        <w:rPr>
          <w:rFonts w:eastAsia="仿宋_GB2312"/>
          <w:sz w:val="32"/>
          <w:szCs w:val="32"/>
        </w:rPr>
        <w:t>机构正常运转的日常支出，包括基本工资、津贴补贴、离退休费、住房公积金和日常公用经费等。</w:t>
      </w:r>
    </w:p>
    <w:p>
      <w:pPr>
        <w:spacing w:line="579" w:lineRule="exact"/>
        <w:ind w:firstLine="640"/>
        <w:rPr>
          <w:rFonts w:eastAsia="仿宋_GB2312"/>
          <w:sz w:val="32"/>
          <w:szCs w:val="32"/>
        </w:rPr>
      </w:pPr>
      <w:r>
        <w:rPr>
          <w:rFonts w:eastAsia="仿宋_GB2312"/>
          <w:sz w:val="32"/>
          <w:szCs w:val="32"/>
        </w:rPr>
        <w:t>项目支出，是用于保障</w:t>
      </w:r>
      <w:r>
        <w:rPr>
          <w:rFonts w:hint="eastAsia" w:eastAsia="仿宋_GB2312"/>
          <w:sz w:val="32"/>
          <w:szCs w:val="32"/>
        </w:rPr>
        <w:t>本单位</w:t>
      </w:r>
      <w:r>
        <w:rPr>
          <w:rFonts w:eastAsia="仿宋_GB2312"/>
          <w:sz w:val="32"/>
          <w:szCs w:val="32"/>
        </w:rPr>
        <w:t>为完成特定的行政工作任务或事业发展目标，用于专项业务工作的经费支出。</w:t>
      </w:r>
    </w:p>
    <w:p>
      <w:pPr>
        <w:ind w:firstLine="640" w:firstLineChars="200"/>
        <w:rPr>
          <w:rFonts w:ascii="仿宋_GB2312" w:eastAsia="仿宋_GB2312"/>
          <w:sz w:val="32"/>
          <w:szCs w:val="32"/>
        </w:rPr>
      </w:pPr>
      <w:r>
        <w:rPr>
          <w:rFonts w:eastAsia="仿宋_GB2312"/>
          <w:sz w:val="32"/>
          <w:szCs w:val="32"/>
        </w:rPr>
        <w:t>按支出功能分类主要用于以下方面：</w:t>
      </w:r>
    </w:p>
    <w:p>
      <w:pPr>
        <w:ind w:firstLine="800" w:firstLineChars="250"/>
        <w:rPr>
          <w:rFonts w:ascii="仿宋_GB2312" w:eastAsia="仿宋_GB2312"/>
          <w:sz w:val="32"/>
          <w:szCs w:val="32"/>
        </w:rPr>
      </w:pPr>
      <w:r>
        <w:rPr>
          <w:rFonts w:ascii="仿宋_GB2312" w:eastAsia="仿宋_GB2312"/>
          <w:sz w:val="32"/>
          <w:szCs w:val="32"/>
        </w:rPr>
        <w:t>201</w:t>
      </w:r>
      <w:r>
        <w:rPr>
          <w:rFonts w:hint="eastAsia" w:ascii="仿宋_GB2312" w:eastAsia="仿宋_GB2312"/>
          <w:sz w:val="32"/>
          <w:szCs w:val="32"/>
        </w:rPr>
        <w:t>9年，我乡一般公共财政预算支出为806.6722万元（专项资金不作预算），具体分项情况如下：</w:t>
      </w:r>
    </w:p>
    <w:p>
      <w:pPr>
        <w:ind w:firstLine="800" w:firstLineChars="25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w:t>
      </w:r>
      <w:r>
        <w:rPr>
          <w:rFonts w:hint="eastAsia" w:ascii="仿宋_GB2312"/>
          <w:sz w:val="32"/>
          <w:szCs w:val="32"/>
        </w:rPr>
        <w:t>―</w:t>
      </w:r>
      <w:r>
        <w:rPr>
          <w:rFonts w:hint="eastAsia" w:ascii="仿宋_GB2312" w:eastAsia="仿宋_GB2312"/>
          <w:sz w:val="32"/>
          <w:szCs w:val="32"/>
        </w:rPr>
        <w:t>般公共服务支出为299.0969万元；</w:t>
      </w:r>
    </w:p>
    <w:p>
      <w:pPr>
        <w:ind w:firstLine="640" w:firstLineChars="200"/>
        <w:rPr>
          <w:rFonts w:ascii="仿宋_GB2312" w:eastAsia="仿宋_GB2312"/>
          <w:sz w:val="32"/>
          <w:szCs w:val="32"/>
        </w:rPr>
      </w:pPr>
      <w:r>
        <w:rPr>
          <w:rFonts w:hint="eastAsia" w:ascii="仿宋_GB2312" w:eastAsia="仿宋_GB2312"/>
          <w:sz w:val="32"/>
          <w:szCs w:val="32"/>
        </w:rPr>
        <w:t>2.文化体育与传媒支出16.9397万元；</w:t>
      </w:r>
    </w:p>
    <w:p>
      <w:pPr>
        <w:ind w:firstLine="640" w:firstLineChars="200"/>
        <w:rPr>
          <w:rFonts w:ascii="仿宋_GB2312" w:eastAsia="仿宋_GB2312"/>
          <w:sz w:val="32"/>
          <w:szCs w:val="32"/>
        </w:rPr>
      </w:pPr>
      <w:r>
        <w:rPr>
          <w:rFonts w:hint="eastAsia" w:ascii="仿宋_GB2312" w:eastAsia="仿宋_GB2312"/>
          <w:sz w:val="32"/>
          <w:szCs w:val="32"/>
        </w:rPr>
        <w:t>3．社会保障和就业支出113.3127万元；</w:t>
      </w:r>
    </w:p>
    <w:p>
      <w:pPr>
        <w:ind w:firstLine="640" w:firstLineChars="200"/>
        <w:rPr>
          <w:rFonts w:ascii="仿宋_GB2312" w:eastAsia="仿宋_GB2312"/>
          <w:sz w:val="32"/>
          <w:szCs w:val="32"/>
        </w:rPr>
      </w:pPr>
      <w:r>
        <w:rPr>
          <w:rFonts w:hint="eastAsia" w:ascii="仿宋_GB2312" w:eastAsia="仿宋_GB2312"/>
          <w:sz w:val="32"/>
          <w:szCs w:val="32"/>
        </w:rPr>
        <w:t>4．医疗卫生与计划生育支出11.9837万元；</w:t>
      </w:r>
    </w:p>
    <w:p>
      <w:pPr>
        <w:ind w:firstLine="640" w:firstLineChars="200"/>
        <w:rPr>
          <w:rFonts w:ascii="仿宋_GB2312" w:eastAsia="仿宋_GB2312"/>
          <w:sz w:val="32"/>
          <w:szCs w:val="32"/>
        </w:rPr>
      </w:pPr>
      <w:r>
        <w:rPr>
          <w:rFonts w:hint="eastAsia" w:ascii="仿宋_GB2312" w:eastAsia="仿宋_GB2312"/>
          <w:sz w:val="32"/>
          <w:szCs w:val="32"/>
        </w:rPr>
        <w:t>5．农林水支出273.0951万元；</w:t>
      </w:r>
    </w:p>
    <w:p>
      <w:pPr>
        <w:ind w:firstLine="640" w:firstLineChars="200"/>
        <w:rPr>
          <w:rFonts w:ascii="仿宋_GB2312" w:eastAsia="仿宋_GB2312"/>
          <w:sz w:val="32"/>
          <w:szCs w:val="32"/>
        </w:rPr>
      </w:pPr>
      <w:r>
        <w:rPr>
          <w:rFonts w:hint="eastAsia" w:ascii="仿宋_GB2312" w:eastAsia="仿宋_GB2312"/>
          <w:sz w:val="32"/>
          <w:szCs w:val="32"/>
        </w:rPr>
        <w:t>6．住房保障支出63.7056万元；</w:t>
      </w:r>
    </w:p>
    <w:p>
      <w:pPr>
        <w:ind w:firstLine="640" w:firstLineChars="200"/>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预备费8.1万元；</w:t>
      </w:r>
    </w:p>
    <w:p>
      <w:pPr>
        <w:ind w:firstLine="640" w:firstLineChars="200"/>
        <w:rPr>
          <w:rFonts w:hint="eastAsia" w:ascii="仿宋_GB2312" w:eastAsia="仿宋_GB2312"/>
          <w:sz w:val="32"/>
          <w:szCs w:val="32"/>
        </w:rPr>
      </w:pPr>
      <w:r>
        <w:rPr>
          <w:rFonts w:ascii="仿宋_GB2312" w:eastAsia="仿宋_GB2312"/>
          <w:sz w:val="32"/>
          <w:szCs w:val="32"/>
        </w:rPr>
        <w:t>8.</w:t>
      </w:r>
      <w:r>
        <w:rPr>
          <w:rFonts w:hint="eastAsia" w:ascii="仿宋_GB2312" w:eastAsia="仿宋_GB2312"/>
          <w:sz w:val="32"/>
          <w:szCs w:val="32"/>
        </w:rPr>
        <w:t>年初预留20.4385万元。</w:t>
      </w:r>
    </w:p>
    <w:p>
      <w:pPr>
        <w:autoSpaceDE w:val="0"/>
        <w:autoSpaceDN w:val="0"/>
        <w:adjustRightInd w:val="0"/>
        <w:spacing w:line="590" w:lineRule="exact"/>
        <w:ind w:firstLine="640"/>
        <w:rPr>
          <w:rFonts w:eastAsia="仿宋_GB2312"/>
          <w:bCs/>
          <w:color w:val="000000"/>
          <w:sz w:val="32"/>
          <w:szCs w:val="32"/>
        </w:rPr>
      </w:pPr>
      <w:r>
        <w:rPr>
          <w:rFonts w:hint="eastAsia" w:ascii="仿宋_GB2312" w:eastAsia="仿宋_GB2312"/>
          <w:sz w:val="32"/>
          <w:szCs w:val="32"/>
        </w:rPr>
        <w:t>其中</w:t>
      </w:r>
      <w:r>
        <w:rPr>
          <w:rFonts w:hint="eastAsia" w:eastAsia="仿宋_GB2312"/>
          <w:bCs/>
          <w:color w:val="000000"/>
          <w:sz w:val="32"/>
          <w:szCs w:val="32"/>
        </w:rPr>
        <w:t>计生安排经费110000元，团委，妇联，关工委安排经费50000元。武装征兵工作20000元。护林防火经费160000元。农村道路交通安全管理员基本经费和劝导员补贴经费50000元。</w:t>
      </w:r>
    </w:p>
    <w:p>
      <w:pPr>
        <w:rPr>
          <w:rFonts w:ascii="黑体" w:eastAsia="黑体"/>
          <w:sz w:val="32"/>
          <w:szCs w:val="32"/>
        </w:rPr>
      </w:pPr>
      <w:r>
        <w:rPr>
          <w:rFonts w:hint="eastAsia" w:ascii="黑体" w:eastAsia="黑体"/>
          <w:sz w:val="32"/>
          <w:szCs w:val="32"/>
        </w:rPr>
        <w:t>（二）日常公用经费安排情况</w:t>
      </w:r>
    </w:p>
    <w:p>
      <w:pPr>
        <w:ind w:firstLine="640" w:firstLineChars="200"/>
        <w:rPr>
          <w:rFonts w:ascii="仿宋_GB2312" w:eastAsia="仿宋_GB2312"/>
          <w:sz w:val="32"/>
          <w:szCs w:val="32"/>
        </w:rPr>
      </w:pPr>
      <w:r>
        <w:rPr>
          <w:rFonts w:hint="eastAsia" w:ascii="仿宋_GB2312" w:eastAsia="仿宋_GB2312"/>
          <w:sz w:val="32"/>
          <w:szCs w:val="32"/>
        </w:rPr>
        <w:t>日常公用经费按</w:t>
      </w:r>
      <w:r>
        <w:rPr>
          <w:rFonts w:hint="eastAsia" w:ascii="仿宋_GB2312" w:hAnsi="仿宋_GB2312" w:eastAsia="仿宋_GB2312"/>
          <w:sz w:val="32"/>
          <w:szCs w:val="32"/>
        </w:rPr>
        <w:t>单位在职正式职工人数</w:t>
      </w:r>
      <w:r>
        <w:rPr>
          <w:rFonts w:hint="eastAsia" w:ascii="仿宋_GB2312" w:eastAsia="仿宋_GB2312"/>
          <w:sz w:val="32"/>
          <w:szCs w:val="32"/>
        </w:rPr>
        <w:t>计算：按照预算基准期编制内实有在职正式人数（或实有离退休人数）×对应的公用经费定额标准计算。</w:t>
      </w:r>
    </w:p>
    <w:p>
      <w:pPr>
        <w:ind w:firstLine="640" w:firstLineChars="200"/>
        <w:rPr>
          <w:rFonts w:ascii="仿宋_GB2312" w:eastAsia="仿宋_GB2312"/>
          <w:sz w:val="32"/>
          <w:szCs w:val="32"/>
        </w:rPr>
      </w:pPr>
      <w:r>
        <w:rPr>
          <w:rFonts w:hint="eastAsia" w:ascii="仿宋_GB2312" w:eastAsia="仿宋_GB2312"/>
          <w:sz w:val="32"/>
          <w:szCs w:val="32"/>
        </w:rPr>
        <w:t>在职人员公用经费标准：10000元/人.年</w:t>
      </w:r>
    </w:p>
    <w:p>
      <w:pPr>
        <w:ind w:firstLine="640" w:firstLineChars="200"/>
        <w:rPr>
          <w:rFonts w:ascii="仿宋_GB2312" w:eastAsia="仿宋_GB2312"/>
          <w:sz w:val="32"/>
          <w:szCs w:val="32"/>
        </w:rPr>
      </w:pPr>
      <w:r>
        <w:rPr>
          <w:rFonts w:hint="eastAsia" w:ascii="仿宋_GB2312" w:eastAsia="仿宋_GB2312"/>
          <w:sz w:val="32"/>
          <w:szCs w:val="32"/>
        </w:rPr>
        <w:t>离退休公用经费标准：1500元/人.年</w:t>
      </w:r>
    </w:p>
    <w:p>
      <w:pPr>
        <w:ind w:firstLine="640" w:firstLineChars="200"/>
        <w:rPr>
          <w:rFonts w:ascii="仿宋_GB2312" w:eastAsia="仿宋_GB2312"/>
          <w:sz w:val="32"/>
          <w:szCs w:val="32"/>
        </w:rPr>
      </w:pPr>
      <w:r>
        <w:rPr>
          <w:rFonts w:hint="eastAsia" w:ascii="仿宋_GB2312" w:eastAsia="仿宋_GB2312"/>
          <w:sz w:val="32"/>
          <w:szCs w:val="32"/>
        </w:rPr>
        <w:t>1.日常公用经费支出定额：</w:t>
      </w:r>
    </w:p>
    <w:p>
      <w:pPr>
        <w:ind w:firstLine="640" w:firstLineChars="200"/>
        <w:rPr>
          <w:rFonts w:ascii="仿宋_GB2312" w:eastAsia="仿宋_GB2312"/>
          <w:sz w:val="32"/>
          <w:szCs w:val="32"/>
        </w:rPr>
      </w:pPr>
      <w:r>
        <w:rPr>
          <w:rFonts w:hint="eastAsia" w:ascii="仿宋_GB2312" w:eastAsia="仿宋_GB2312"/>
          <w:sz w:val="32"/>
          <w:szCs w:val="32"/>
        </w:rPr>
        <w:t>办公费：1000元/人.年（按编制内在职实有人数计算）</w:t>
      </w:r>
    </w:p>
    <w:p>
      <w:pPr>
        <w:ind w:firstLine="640" w:firstLineChars="200"/>
        <w:rPr>
          <w:rFonts w:ascii="仿宋_GB2312" w:eastAsia="仿宋_GB2312"/>
          <w:sz w:val="32"/>
          <w:szCs w:val="32"/>
        </w:rPr>
      </w:pPr>
      <w:r>
        <w:rPr>
          <w:rFonts w:hint="eastAsia" w:ascii="仿宋_GB2312" w:eastAsia="仿宋_GB2312"/>
          <w:sz w:val="32"/>
          <w:szCs w:val="32"/>
        </w:rPr>
        <w:t>电  费：1000元/人.年（按编制内在职实有人数计算）</w:t>
      </w:r>
    </w:p>
    <w:p>
      <w:pPr>
        <w:ind w:firstLine="640" w:firstLineChars="200"/>
        <w:rPr>
          <w:rFonts w:ascii="仿宋_GB2312" w:eastAsia="仿宋_GB2312"/>
          <w:sz w:val="32"/>
          <w:szCs w:val="32"/>
        </w:rPr>
      </w:pPr>
      <w:r>
        <w:rPr>
          <w:rFonts w:hint="eastAsia" w:ascii="仿宋_GB2312" w:eastAsia="仿宋_GB2312"/>
          <w:sz w:val="32"/>
          <w:szCs w:val="32"/>
        </w:rPr>
        <w:t>邮电费：1000元/人.年（按编制内在职实有人数计算）</w:t>
      </w:r>
    </w:p>
    <w:p>
      <w:pPr>
        <w:ind w:firstLine="640" w:firstLineChars="200"/>
        <w:rPr>
          <w:rFonts w:ascii="仿宋_GB2312" w:eastAsia="仿宋_GB2312"/>
          <w:sz w:val="32"/>
          <w:szCs w:val="32"/>
        </w:rPr>
      </w:pPr>
      <w:r>
        <w:rPr>
          <w:rFonts w:hint="eastAsia" w:ascii="仿宋_GB2312" w:eastAsia="仿宋_GB2312"/>
          <w:sz w:val="32"/>
          <w:szCs w:val="32"/>
        </w:rPr>
        <w:t>差旅费：3500元/人.年（按编制内在职实有人数计算）</w:t>
      </w:r>
    </w:p>
    <w:p>
      <w:pPr>
        <w:ind w:firstLine="640" w:firstLineChars="200"/>
        <w:rPr>
          <w:rFonts w:ascii="仿宋_GB2312" w:eastAsia="仿宋_GB2312"/>
          <w:sz w:val="32"/>
          <w:szCs w:val="32"/>
        </w:rPr>
      </w:pPr>
      <w:r>
        <w:rPr>
          <w:rFonts w:hint="eastAsia" w:ascii="仿宋_GB2312" w:eastAsia="仿宋_GB2312"/>
          <w:sz w:val="32"/>
          <w:szCs w:val="32"/>
        </w:rPr>
        <w:t>会议费：1000元/人.年（按编制内在职实有人数计算）</w:t>
      </w:r>
    </w:p>
    <w:p>
      <w:pPr>
        <w:ind w:firstLine="640" w:firstLineChars="200"/>
        <w:rPr>
          <w:rFonts w:ascii="仿宋_GB2312" w:eastAsia="仿宋_GB2312"/>
          <w:sz w:val="32"/>
          <w:szCs w:val="32"/>
        </w:rPr>
      </w:pPr>
      <w:r>
        <w:rPr>
          <w:rFonts w:hint="eastAsia" w:ascii="仿宋_GB2312" w:eastAsia="仿宋_GB2312"/>
          <w:sz w:val="32"/>
          <w:szCs w:val="32"/>
        </w:rPr>
        <w:t>培训费：1000元/人.年（按编制内在职实有人数计算）</w:t>
      </w:r>
    </w:p>
    <w:p>
      <w:pPr>
        <w:ind w:firstLine="640" w:firstLineChars="200"/>
        <w:rPr>
          <w:rFonts w:ascii="仿宋_GB2312" w:eastAsia="仿宋_GB2312"/>
          <w:sz w:val="32"/>
          <w:szCs w:val="32"/>
        </w:rPr>
      </w:pPr>
      <w:r>
        <w:rPr>
          <w:rFonts w:hint="eastAsia" w:ascii="仿宋_GB2312" w:eastAsia="仿宋_GB2312"/>
          <w:sz w:val="32"/>
          <w:szCs w:val="32"/>
        </w:rPr>
        <w:t>2.日常公用经费的细化</w:t>
      </w:r>
    </w:p>
    <w:p>
      <w:pPr>
        <w:ind w:firstLine="640" w:firstLineChars="200"/>
        <w:rPr>
          <w:rFonts w:eastAsia="仿宋_GB2312"/>
          <w:sz w:val="32"/>
          <w:szCs w:val="32"/>
        </w:rPr>
      </w:pPr>
      <w:r>
        <w:rPr>
          <w:rFonts w:hint="eastAsia" w:eastAsia="仿宋_GB2312"/>
          <w:sz w:val="32"/>
          <w:szCs w:val="32"/>
        </w:rPr>
        <w:t>（1）</w:t>
      </w:r>
      <w:r>
        <w:rPr>
          <w:rFonts w:eastAsia="仿宋_GB2312"/>
          <w:sz w:val="32"/>
          <w:szCs w:val="32"/>
        </w:rPr>
        <w:t>工会经费和职工福利费：</w:t>
      </w:r>
    </w:p>
    <w:p>
      <w:pPr>
        <w:ind w:firstLine="640" w:firstLineChars="200"/>
        <w:rPr>
          <w:rFonts w:eastAsia="仿宋_GB2312"/>
          <w:sz w:val="32"/>
          <w:szCs w:val="32"/>
        </w:rPr>
      </w:pPr>
      <w:r>
        <w:rPr>
          <w:rFonts w:hint="eastAsia" w:eastAsia="仿宋_GB2312"/>
          <w:sz w:val="32"/>
          <w:szCs w:val="32"/>
        </w:rPr>
        <w:t>a</w:t>
      </w:r>
      <w:r>
        <w:rPr>
          <w:rFonts w:eastAsia="仿宋_GB2312"/>
          <w:sz w:val="32"/>
          <w:szCs w:val="32"/>
        </w:rPr>
        <w:t>工会经费：工会经费按（在职正式职工201</w:t>
      </w:r>
      <w:r>
        <w:rPr>
          <w:rFonts w:hint="eastAsia" w:eastAsia="仿宋_GB2312"/>
          <w:sz w:val="32"/>
          <w:szCs w:val="32"/>
        </w:rPr>
        <w:t>8</w:t>
      </w:r>
      <w:r>
        <w:rPr>
          <w:rFonts w:eastAsia="仿宋_GB2312"/>
          <w:sz w:val="32"/>
          <w:szCs w:val="32"/>
        </w:rPr>
        <w:t>年1</w:t>
      </w:r>
      <w:r>
        <w:rPr>
          <w:rFonts w:hint="eastAsia" w:eastAsia="仿宋_GB2312"/>
          <w:sz w:val="32"/>
          <w:szCs w:val="32"/>
        </w:rPr>
        <w:t>1</w:t>
      </w:r>
      <w:r>
        <w:rPr>
          <w:rFonts w:eastAsia="仿宋_GB2312"/>
          <w:sz w:val="32"/>
          <w:szCs w:val="32"/>
        </w:rPr>
        <w:t>月应发工资×12+公务员十三月工资+事业人员扣发的30%奖励性绩效工资）×2%计算，列入政府预算支出经济分类科目“502—机关商品和服务支出、505—对事业单位经常性补助”中相关科目，列入部门预算支出经济科目中“302--商品和服务支出”中的“工会经费”。</w:t>
      </w:r>
    </w:p>
    <w:p>
      <w:pPr>
        <w:ind w:firstLine="640" w:firstLineChars="200"/>
        <w:rPr>
          <w:rFonts w:ascii="华文仿宋" w:hAnsi="华文仿宋" w:eastAsia="仿宋_GB2312"/>
          <w:sz w:val="32"/>
          <w:szCs w:val="32"/>
        </w:rPr>
      </w:pPr>
      <w:r>
        <w:rPr>
          <w:rFonts w:eastAsia="仿宋_GB2312"/>
          <w:sz w:val="32"/>
          <w:szCs w:val="32"/>
        </w:rPr>
        <w:t>（2）福利费：按在职正式职工全年基本工资总额×3 %计算，列入政府预算支出经济分类科目“502—机关商品和服务支出、505—对事业单位经常性补助”中相关科目，列入部门预算支出经济科目中“302--商品和服务支出”中的“福利费”。</w:t>
      </w:r>
    </w:p>
    <w:p>
      <w:pPr>
        <w:ind w:firstLine="640" w:firstLineChars="200"/>
        <w:rPr>
          <w:rFonts w:eastAsia="仿宋_GB2312"/>
          <w:sz w:val="32"/>
          <w:szCs w:val="32"/>
        </w:rPr>
      </w:pPr>
      <w:r>
        <w:rPr>
          <w:rFonts w:hint="eastAsia" w:eastAsia="仿宋_GB2312"/>
          <w:sz w:val="32"/>
          <w:szCs w:val="32"/>
        </w:rPr>
        <w:t>（2）</w:t>
      </w:r>
      <w:r>
        <w:rPr>
          <w:rFonts w:eastAsia="仿宋_GB2312"/>
          <w:sz w:val="32"/>
          <w:szCs w:val="32"/>
        </w:rPr>
        <w:t>公务接待费：不得超过当年单位预算中“公务费”的2%。根据《财政部关于印发〈行政事业单位业务招待费列支管理规定〉的通知》（财预字〔1998〕159号）中有关“地方各级行政事业单位的业务招待费的开支标准，……不得超过当年单位预算中‘公务费’的2%”的规定，各部门（单位）公务接待费应按上述规定列入年初部门预算，所需经费在公用经费定额内包干解决。</w:t>
      </w:r>
    </w:p>
    <w:p>
      <w:pPr>
        <w:ind w:firstLine="640" w:firstLineChars="200"/>
        <w:rPr>
          <w:rFonts w:eastAsia="仿宋_GB2312"/>
          <w:sz w:val="32"/>
          <w:szCs w:val="32"/>
        </w:rPr>
      </w:pPr>
      <w:r>
        <w:rPr>
          <w:rFonts w:eastAsia="仿宋_GB2312"/>
          <w:sz w:val="32"/>
          <w:szCs w:val="32"/>
        </w:rPr>
        <w:t>“公务费”应包括部门预算支出经济分类科目“商品和服务支出”下的“办公费、咨询费、手续费、水费、电费、邮电费、取暖费、物业管理费、差旅费、维修（护）费、租赁费、会议费、培训费、专用燃料费、劳务费、委托业务费、公务用车运行维护费、其他交通工具运行维护费、其他商品和服务支出”。</w:t>
      </w:r>
    </w:p>
    <w:p>
      <w:pPr>
        <w:ind w:firstLine="640" w:firstLineChars="200"/>
        <w:rPr>
          <w:rFonts w:eastAsia="仿宋_GB2312"/>
          <w:sz w:val="32"/>
          <w:szCs w:val="32"/>
        </w:rPr>
      </w:pPr>
      <w:r>
        <w:rPr>
          <w:rFonts w:hint="eastAsia" w:eastAsia="仿宋_GB2312"/>
          <w:sz w:val="32"/>
          <w:szCs w:val="32"/>
        </w:rPr>
        <w:t>（3）</w:t>
      </w:r>
      <w:r>
        <w:rPr>
          <w:rFonts w:eastAsia="仿宋_GB2312"/>
          <w:sz w:val="32"/>
          <w:szCs w:val="32"/>
        </w:rPr>
        <w:t>公务交通补贴列入政府预算支出经济分类科目“502—机关商品和服务支出、505—对事业单位经常性补助”中相关科目，列入部门预算支出经济科目中“30239—其他交通费用”支出经济分类科目。</w:t>
      </w:r>
    </w:p>
    <w:p>
      <w:pPr>
        <w:ind w:firstLine="800" w:firstLineChars="250"/>
        <w:rPr>
          <w:rFonts w:eastAsia="仿宋_GB2312"/>
          <w:sz w:val="32"/>
          <w:szCs w:val="32"/>
        </w:rPr>
      </w:pPr>
      <w:r>
        <w:rPr>
          <w:rFonts w:hint="eastAsia" w:eastAsia="仿宋_GB2312"/>
          <w:sz w:val="32"/>
          <w:szCs w:val="32"/>
        </w:rPr>
        <w:t>（4）</w:t>
      </w:r>
      <w:r>
        <w:rPr>
          <w:rFonts w:eastAsia="仿宋_GB2312"/>
          <w:kern w:val="0"/>
          <w:sz w:val="32"/>
          <w:szCs w:val="32"/>
        </w:rPr>
        <w:t xml:space="preserve"> 2018年各单位金财网（大平台）运行维护及财务软件运行维护费</w:t>
      </w:r>
      <w:r>
        <w:rPr>
          <w:rFonts w:eastAsia="仿宋_GB2312"/>
          <w:sz w:val="32"/>
          <w:szCs w:val="32"/>
        </w:rPr>
        <w:t xml:space="preserve">列入政府预算支出经济分类科目“502—机关商品和服务支出、505—对事业单位经常性补助”中相关科目，列入部门预算支出经济科目中“302--商品和服务支出”中的“维修（维护）费”。 </w:t>
      </w:r>
    </w:p>
    <w:p>
      <w:pPr>
        <w:ind w:firstLine="640" w:firstLineChars="200"/>
        <w:rPr>
          <w:rFonts w:eastAsia="仿宋_GB2312"/>
          <w:sz w:val="32"/>
          <w:szCs w:val="32"/>
        </w:rPr>
      </w:pPr>
      <w:r>
        <w:rPr>
          <w:rFonts w:hint="eastAsia" w:eastAsia="仿宋_GB2312"/>
          <w:sz w:val="32"/>
          <w:szCs w:val="32"/>
        </w:rPr>
        <w:t>（5）</w:t>
      </w:r>
      <w:r>
        <w:rPr>
          <w:rFonts w:eastAsia="仿宋_GB2312"/>
          <w:sz w:val="32"/>
          <w:szCs w:val="32"/>
        </w:rPr>
        <w:t>为切实贯彻落实中央八项规定</w:t>
      </w:r>
      <w:bookmarkStart w:id="1" w:name="_GoBack"/>
      <w:bookmarkEnd w:id="1"/>
      <w:r>
        <w:rPr>
          <w:rFonts w:eastAsia="仿宋_GB2312"/>
          <w:sz w:val="32"/>
          <w:szCs w:val="32"/>
        </w:rPr>
        <w:t>和厉行节约的相关要求，我</w:t>
      </w:r>
      <w:r>
        <w:rPr>
          <w:rFonts w:hint="eastAsia" w:eastAsia="仿宋_GB2312"/>
          <w:sz w:val="32"/>
          <w:szCs w:val="32"/>
        </w:rPr>
        <w:t>乡</w:t>
      </w:r>
      <w:r>
        <w:rPr>
          <w:rFonts w:eastAsia="仿宋_GB2312"/>
          <w:sz w:val="32"/>
          <w:szCs w:val="32"/>
        </w:rPr>
        <w:t>201</w:t>
      </w:r>
      <w:r>
        <w:rPr>
          <w:rFonts w:hint="eastAsia" w:eastAsia="仿宋_GB2312"/>
          <w:sz w:val="32"/>
          <w:szCs w:val="32"/>
        </w:rPr>
        <w:t>9</w:t>
      </w:r>
      <w:r>
        <w:rPr>
          <w:rFonts w:eastAsia="仿宋_GB2312"/>
          <w:sz w:val="32"/>
          <w:szCs w:val="32"/>
        </w:rPr>
        <w:t>年“三公”经费实行预算总额控制，除因公出国（境）经费预留财政、据实追加外，单位公务接待费、公务用车运行维护费全部纳入年初部门预算，并且要在201</w:t>
      </w:r>
      <w:r>
        <w:rPr>
          <w:rFonts w:hint="eastAsia" w:eastAsia="仿宋_GB2312"/>
          <w:sz w:val="32"/>
          <w:szCs w:val="32"/>
        </w:rPr>
        <w:t>8</w:t>
      </w:r>
      <w:r>
        <w:rPr>
          <w:rFonts w:eastAsia="仿宋_GB2312"/>
          <w:sz w:val="32"/>
          <w:szCs w:val="32"/>
        </w:rPr>
        <w:t>年的基础上有所下降。</w:t>
      </w:r>
    </w:p>
    <w:p>
      <w:pPr>
        <w:ind w:firstLine="640" w:firstLineChars="200"/>
        <w:rPr>
          <w:rFonts w:ascii="仿宋_GB2312" w:eastAsia="仿宋_GB2312"/>
          <w:sz w:val="32"/>
          <w:szCs w:val="32"/>
        </w:rPr>
      </w:pPr>
      <w:r>
        <w:rPr>
          <w:rFonts w:hint="eastAsia" w:ascii="仿宋_GB2312" w:eastAsia="仿宋_GB2312"/>
          <w:sz w:val="32"/>
          <w:szCs w:val="32"/>
        </w:rPr>
        <w:t>（6）公务用车运行维护费：按照轿车35000元/车.皮卡车30000元年/车的标准，</w:t>
      </w:r>
      <w:r>
        <w:rPr>
          <w:rFonts w:hint="eastAsia" w:ascii="华文仿宋" w:hAnsi="华文仿宋" w:eastAsia="仿宋_GB2312"/>
          <w:sz w:val="32"/>
          <w:szCs w:val="32"/>
        </w:rPr>
        <w:t>我单位2019年</w:t>
      </w:r>
      <w:r>
        <w:rPr>
          <w:rFonts w:hint="eastAsia" w:ascii="仿宋_GB2312" w:eastAsia="仿宋_GB2312"/>
          <w:sz w:val="32"/>
          <w:szCs w:val="32"/>
        </w:rPr>
        <w:t>公务用车运行维护费核定为65000元，实行总额控制.</w:t>
      </w:r>
    </w:p>
    <w:p>
      <w:pPr>
        <w:ind w:firstLine="640" w:firstLineChars="200"/>
        <w:rPr>
          <w:rFonts w:ascii="黑体" w:eastAsia="黑体"/>
          <w:sz w:val="32"/>
          <w:szCs w:val="32"/>
        </w:rPr>
      </w:pPr>
      <w:r>
        <w:rPr>
          <w:rFonts w:hint="eastAsia" w:ascii="黑体" w:eastAsia="黑体"/>
          <w:sz w:val="32"/>
          <w:szCs w:val="32"/>
        </w:rPr>
        <w:t>六、“三公”经费预算安排增减变化情况</w:t>
      </w:r>
    </w:p>
    <w:p>
      <w:pPr>
        <w:spacing w:line="600" w:lineRule="exact"/>
        <w:ind w:firstLine="640"/>
        <w:rPr>
          <w:rFonts w:ascii="仿宋_GB2312" w:eastAsia="仿宋_GB2312"/>
          <w:color w:val="333333"/>
          <w:sz w:val="32"/>
          <w:szCs w:val="32"/>
        </w:rPr>
      </w:pPr>
      <w:r>
        <w:rPr>
          <w:rFonts w:hint="eastAsia" w:ascii="仿宋_GB2312" w:eastAsia="仿宋_GB2312"/>
          <w:color w:val="333333"/>
          <w:sz w:val="32"/>
          <w:szCs w:val="32"/>
        </w:rPr>
        <w:t>2019年度“三公”经费财政拨款支出预算中，因公出国（境）费支出预算0万元，</w:t>
      </w:r>
      <w:r>
        <w:rPr>
          <w:rFonts w:hint="eastAsia" w:ascii="仿宋_GB2312" w:eastAsia="仿宋_GB2312"/>
          <w:color w:val="000000"/>
          <w:sz w:val="32"/>
          <w:szCs w:val="32"/>
        </w:rPr>
        <w:t>占0%</w:t>
      </w:r>
      <w:r>
        <w:rPr>
          <w:rFonts w:hint="eastAsia" w:ascii="仿宋_GB2312" w:eastAsia="仿宋_GB2312"/>
          <w:color w:val="333333"/>
          <w:sz w:val="32"/>
          <w:szCs w:val="32"/>
        </w:rPr>
        <w:t>；公务用车购置及运行维护费支出预算2万元，</w:t>
      </w:r>
      <w:r>
        <w:rPr>
          <w:rFonts w:hint="eastAsia" w:ascii="仿宋_GB2312" w:eastAsia="仿宋_GB2312"/>
          <w:color w:val="000000"/>
          <w:sz w:val="32"/>
          <w:szCs w:val="32"/>
        </w:rPr>
        <w:t>占65.78%</w:t>
      </w:r>
      <w:r>
        <w:rPr>
          <w:rFonts w:hint="eastAsia" w:ascii="仿宋_GB2312" w:eastAsia="仿宋_GB2312"/>
          <w:color w:val="333333"/>
          <w:sz w:val="32"/>
          <w:szCs w:val="32"/>
        </w:rPr>
        <w:t>；公务接待费支出预算1.0405万元，</w:t>
      </w:r>
      <w:r>
        <w:rPr>
          <w:rFonts w:hint="eastAsia" w:ascii="仿宋_GB2312" w:eastAsia="仿宋_GB2312"/>
          <w:color w:val="000000"/>
          <w:sz w:val="32"/>
          <w:szCs w:val="32"/>
        </w:rPr>
        <w:t>占34.22%。具体情况如下：</w:t>
      </w:r>
    </w:p>
    <w:p>
      <w:pPr>
        <w:spacing w:line="600" w:lineRule="exact"/>
        <w:ind w:firstLine="640"/>
        <w:rPr>
          <w:rFonts w:ascii="仿宋_GB2312" w:eastAsia="仿宋_GB2312"/>
          <w:b/>
          <w:color w:val="000000"/>
          <w:sz w:val="32"/>
          <w:szCs w:val="32"/>
        </w:rPr>
      </w:pPr>
      <w:r>
        <w:rPr>
          <w:rFonts w:hint="eastAsia" w:ascii="仿宋_GB2312" w:eastAsia="仿宋_GB2312"/>
          <w:b/>
          <w:color w:val="000000"/>
          <w:sz w:val="32"/>
          <w:szCs w:val="32"/>
        </w:rPr>
        <w:t>(一)因公出国（境）经费</w:t>
      </w:r>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9年因公出国（境）费0万元。全年安排因公出国（境）团组0次，出国（境）0人。</w:t>
      </w:r>
    </w:p>
    <w:p>
      <w:pPr>
        <w:spacing w:line="600" w:lineRule="exact"/>
        <w:ind w:firstLine="643" w:firstLineChars="200"/>
        <w:rPr>
          <w:rFonts w:ascii="楷体_GB2312" w:eastAsia="楷体_GB2312"/>
          <w:b/>
          <w:color w:val="000000"/>
          <w:sz w:val="32"/>
          <w:szCs w:val="32"/>
        </w:rPr>
      </w:pPr>
      <w:r>
        <w:rPr>
          <w:rFonts w:hint="eastAsia" w:ascii="仿宋_GB2312" w:eastAsia="仿宋_GB2312"/>
          <w:b/>
          <w:color w:val="000000"/>
          <w:sz w:val="32"/>
          <w:szCs w:val="32"/>
        </w:rPr>
        <w:t>(二)公务接待费</w:t>
      </w:r>
    </w:p>
    <w:p>
      <w:pPr>
        <w:spacing w:line="600" w:lineRule="exact"/>
        <w:ind w:firstLine="640"/>
        <w:rPr>
          <w:rFonts w:eastAsia="仿宋_GB2312"/>
          <w:sz w:val="32"/>
          <w:szCs w:val="32"/>
        </w:rPr>
      </w:pPr>
      <w:r>
        <w:rPr>
          <w:rFonts w:ascii="仿宋_GB2312" w:eastAsia="仿宋_GB2312"/>
          <w:color w:val="000000"/>
          <w:sz w:val="32"/>
          <w:szCs w:val="32"/>
        </w:rPr>
        <w:t>201</w:t>
      </w:r>
      <w:r>
        <w:rPr>
          <w:rFonts w:hint="eastAsia" w:ascii="仿宋_GB2312" w:eastAsia="仿宋_GB2312"/>
          <w:color w:val="000000"/>
          <w:sz w:val="32"/>
          <w:szCs w:val="32"/>
        </w:rPr>
        <w:t>9年公务接待费</w:t>
      </w:r>
      <w:r>
        <w:rPr>
          <w:rFonts w:hint="eastAsia" w:ascii="仿宋_GB2312" w:eastAsia="仿宋_GB2312"/>
          <w:color w:val="333333"/>
          <w:sz w:val="32"/>
          <w:szCs w:val="32"/>
        </w:rPr>
        <w:t>1.0405</w:t>
      </w:r>
      <w:r>
        <w:rPr>
          <w:rFonts w:hint="eastAsia" w:ascii="仿宋_GB2312" w:eastAsia="仿宋_GB2312"/>
          <w:color w:val="000000"/>
          <w:sz w:val="32"/>
          <w:szCs w:val="32"/>
        </w:rPr>
        <w:t>万元，</w:t>
      </w:r>
      <w:r>
        <w:rPr>
          <w:rFonts w:ascii="仿宋_GB2312" w:eastAsia="仿宋_GB2312"/>
          <w:color w:val="000000"/>
          <w:sz w:val="32"/>
          <w:szCs w:val="32"/>
        </w:rPr>
        <w:t>201</w:t>
      </w:r>
      <w:r>
        <w:rPr>
          <w:rFonts w:hint="eastAsia" w:ascii="仿宋_GB2312" w:eastAsia="仿宋_GB2312"/>
          <w:color w:val="000000"/>
          <w:sz w:val="32"/>
          <w:szCs w:val="32"/>
        </w:rPr>
        <w:t>8年公务接待费0.6244万元，2019比2018年度有所增加，增加0.4161万元,上升66.64%,增加的主要原因是今年项目增加,所以导致接待费有所增加。</w:t>
      </w:r>
      <w:r>
        <w:rPr>
          <w:rFonts w:eastAsia="仿宋_GB2312"/>
          <w:sz w:val="32"/>
          <w:szCs w:val="32"/>
        </w:rPr>
        <w:t>主要用于执行公务、考察调研、检查指导等公务活动开支的用餐费等。</w:t>
      </w:r>
    </w:p>
    <w:p>
      <w:pPr>
        <w:spacing w:line="600" w:lineRule="exact"/>
        <w:ind w:firstLine="643" w:firstLineChars="200"/>
        <w:rPr>
          <w:rFonts w:ascii="仿宋_GB2312" w:eastAsia="仿宋_GB2312"/>
          <w:b/>
          <w:color w:val="000000"/>
          <w:sz w:val="32"/>
          <w:szCs w:val="32"/>
        </w:rPr>
      </w:pPr>
      <w:r>
        <w:rPr>
          <w:rFonts w:hint="eastAsia" w:ascii="仿宋_GB2312" w:eastAsia="仿宋_GB2312"/>
          <w:b/>
          <w:color w:val="000000"/>
          <w:sz w:val="32"/>
          <w:szCs w:val="32"/>
        </w:rPr>
        <w:t>(三)公务用车购置及运行维护费</w:t>
      </w:r>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9年公务用车购置及运行维护费预算2万元,剩余部分在年初预留里支出。其中：</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公务用车购置支出预算0万元。全年按规定更新购置公务用车0辆。截至2018年12月底，单位共有公务用车2辆，其中：皮卡车1辆、轿车1辆。</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公务用车运行维护费预算支出2万元，不够部分在年初预留里支出。主要用于开展全乡各项工作所需的公务用车燃料费、维修费、过路过桥费、保险费等支出。</w:t>
      </w:r>
    </w:p>
    <w:p>
      <w:pPr>
        <w:pStyle w:val="8"/>
        <w:shd w:val="clear" w:color="auto" w:fill="FFFFFF"/>
        <w:spacing w:before="0" w:beforeAutospacing="0" w:after="0" w:afterAutospacing="0" w:line="579" w:lineRule="exact"/>
        <w:ind w:firstLine="640" w:firstLineChars="200"/>
        <w:jc w:val="both"/>
        <w:rPr>
          <w:rFonts w:ascii="Times New Roman" w:hAnsi="Times New Roman" w:eastAsia="黑体" w:cs="Times New Roman"/>
          <w:color w:val="000000"/>
          <w:sz w:val="32"/>
          <w:szCs w:val="32"/>
        </w:rPr>
      </w:pPr>
      <w:r>
        <w:rPr>
          <w:rFonts w:hint="eastAsia" w:ascii="Times New Roman" w:hAnsi="Times New Roman" w:eastAsia="黑体" w:cs="Times New Roman"/>
          <w:color w:val="000000"/>
          <w:sz w:val="32"/>
          <w:szCs w:val="32"/>
        </w:rPr>
        <w:t>七、其他重要事项的情况说明</w:t>
      </w:r>
    </w:p>
    <w:p>
      <w:pPr>
        <w:spacing w:line="579" w:lineRule="exact"/>
        <w:ind w:firstLine="640"/>
        <w:rPr>
          <w:rFonts w:ascii="楷体_GB2312" w:eastAsia="楷体_GB2312"/>
          <w:b/>
          <w:sz w:val="32"/>
          <w:szCs w:val="32"/>
        </w:rPr>
      </w:pPr>
      <w:r>
        <w:rPr>
          <w:rFonts w:hint="eastAsia" w:ascii="楷体_GB2312" w:eastAsia="楷体_GB2312"/>
          <w:b/>
          <w:sz w:val="32"/>
          <w:szCs w:val="32"/>
        </w:rPr>
        <w:t>（一）机关运行经费</w:t>
      </w:r>
    </w:p>
    <w:p>
      <w:pPr>
        <w:spacing w:line="579" w:lineRule="exact"/>
        <w:ind w:firstLine="640"/>
        <w:rPr>
          <w:rFonts w:eastAsia="仿宋_GB2312"/>
          <w:sz w:val="32"/>
          <w:szCs w:val="32"/>
        </w:rPr>
      </w:pPr>
      <w:r>
        <w:rPr>
          <w:rFonts w:hint="eastAsia" w:eastAsia="仿宋_GB2312"/>
          <w:sz w:val="32"/>
          <w:szCs w:val="32"/>
        </w:rPr>
        <w:t>2019年，盐边县新九乡人民政府的机关运行经费财政拨款预算为101.1879万元,2018年盐边县新九乡人民政府的机关运行经费财政拨款预算为220.76万元， 2019年比2018年预算减少119.5721万元，下降54.16%。</w:t>
      </w:r>
    </w:p>
    <w:p>
      <w:pPr>
        <w:spacing w:line="579" w:lineRule="exact"/>
        <w:ind w:firstLine="640"/>
        <w:rPr>
          <w:rFonts w:ascii="楷体_GB2312" w:eastAsia="楷体_GB2312"/>
          <w:b/>
          <w:sz w:val="32"/>
          <w:szCs w:val="32"/>
        </w:rPr>
      </w:pPr>
      <w:r>
        <w:rPr>
          <w:rFonts w:hint="eastAsia" w:ascii="楷体_GB2312" w:eastAsia="楷体_GB2312"/>
          <w:b/>
          <w:sz w:val="32"/>
          <w:szCs w:val="32"/>
        </w:rPr>
        <w:t>（二）国有资产占有使用情况</w:t>
      </w:r>
    </w:p>
    <w:p>
      <w:pPr>
        <w:spacing w:line="579" w:lineRule="exact"/>
        <w:ind w:firstLine="640"/>
        <w:rPr>
          <w:rFonts w:eastAsia="仿宋_GB2312"/>
          <w:sz w:val="32"/>
          <w:szCs w:val="32"/>
        </w:rPr>
      </w:pPr>
      <w:r>
        <w:rPr>
          <w:rFonts w:hint="eastAsia" w:eastAsia="仿宋_GB2312"/>
          <w:sz w:val="32"/>
          <w:szCs w:val="32"/>
        </w:rPr>
        <w:t>截至2018年底，盐边县新九乡人民政府共有车辆2辆（车辆数应与“三公”经费说明中单位现有公务用车保有量一致），其中，执法执勤用车0辆（若没有的请填写0辆）。单位价值100万元以上大型设备0台（套）。</w:t>
      </w:r>
    </w:p>
    <w:p>
      <w:pPr>
        <w:spacing w:line="579" w:lineRule="exact"/>
        <w:ind w:firstLine="640"/>
        <w:rPr>
          <w:rFonts w:ascii="楷体_GB2312" w:eastAsia="楷体_GB2312"/>
          <w:b/>
          <w:sz w:val="32"/>
          <w:szCs w:val="32"/>
        </w:rPr>
      </w:pPr>
      <w:r>
        <w:rPr>
          <w:rFonts w:hint="eastAsia" w:ascii="楷体_GB2312" w:eastAsia="楷体_GB2312"/>
          <w:b/>
          <w:sz w:val="32"/>
          <w:szCs w:val="32"/>
        </w:rPr>
        <w:t>（三）绩效目标设置情况</w:t>
      </w:r>
    </w:p>
    <w:p>
      <w:pPr>
        <w:spacing w:line="579" w:lineRule="exact"/>
        <w:ind w:firstLine="640"/>
        <w:rPr>
          <w:rFonts w:eastAsia="仿宋_GB2312"/>
          <w:sz w:val="32"/>
          <w:szCs w:val="32"/>
        </w:rPr>
      </w:pPr>
      <w:r>
        <w:rPr>
          <w:rFonts w:hint="eastAsia" w:eastAsia="仿宋_GB2312"/>
          <w:sz w:val="32"/>
          <w:szCs w:val="32"/>
        </w:rPr>
        <w:t>2019年，盐边县新九人民政府对</w:t>
      </w:r>
      <w:r>
        <w:rPr>
          <w:rFonts w:hint="eastAsia" w:ascii="仿宋_GB2312" w:eastAsia="仿宋_GB2312"/>
          <w:color w:val="000000"/>
          <w:sz w:val="32"/>
          <w:szCs w:val="32"/>
        </w:rPr>
        <w:t>一般公共预算项目支出</w:t>
      </w:r>
      <w:r>
        <w:rPr>
          <w:rFonts w:hint="eastAsia" w:eastAsia="仿宋_GB2312"/>
          <w:sz w:val="32"/>
          <w:szCs w:val="32"/>
        </w:rPr>
        <w:t>均按要求实行绩效目标管理，涉及一般公共预算当年拨款</w:t>
      </w:r>
      <w:r>
        <w:rPr>
          <w:rFonts w:ascii="仿宋_GB2312" w:hAnsi="仿宋_GB2312" w:eastAsia="仿宋_GB2312" w:cs="仿宋_GB2312"/>
          <w:sz w:val="32"/>
          <w:szCs w:val="32"/>
        </w:rPr>
        <w:t>278</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047732</w:t>
      </w:r>
      <w:r>
        <w:rPr>
          <w:rFonts w:hint="eastAsia" w:eastAsia="仿宋_GB2312"/>
          <w:sz w:val="32"/>
          <w:szCs w:val="32"/>
        </w:rPr>
        <w:t>万元。（根据公开表-07表的金额填列）</w:t>
      </w:r>
    </w:p>
    <w:p>
      <w:pPr>
        <w:ind w:firstLine="640" w:firstLineChars="200"/>
        <w:rPr>
          <w:rFonts w:ascii="黑体" w:eastAsia="黑体"/>
          <w:sz w:val="32"/>
          <w:szCs w:val="32"/>
        </w:rPr>
      </w:pPr>
      <w:r>
        <w:rPr>
          <w:rFonts w:hint="eastAsia" w:ascii="黑体" w:eastAsia="黑体"/>
          <w:sz w:val="32"/>
          <w:szCs w:val="32"/>
        </w:rPr>
        <w:t>(四)政府采购预算安排情况</w:t>
      </w:r>
    </w:p>
    <w:p>
      <w:pPr>
        <w:spacing w:line="579" w:lineRule="exact"/>
        <w:ind w:firstLine="640" w:firstLineChars="200"/>
        <w:rPr>
          <w:rFonts w:ascii="仿宋_GB2312" w:eastAsia="仿宋_GB2312"/>
          <w:sz w:val="32"/>
          <w:szCs w:val="32"/>
        </w:rPr>
      </w:pPr>
      <w:r>
        <w:rPr>
          <w:rFonts w:hint="eastAsia" w:ascii="仿宋_GB2312" w:eastAsia="仿宋_GB2312"/>
          <w:sz w:val="32"/>
          <w:szCs w:val="32"/>
        </w:rPr>
        <w:t>2019年度，新九乡政府无采购预算安排，如中途需要采购将严格按照相关规定执行。</w:t>
      </w:r>
    </w:p>
    <w:p>
      <w:pPr>
        <w:spacing w:line="600" w:lineRule="exact"/>
        <w:rPr>
          <w:rFonts w:ascii="黑体" w:eastAsia="黑体"/>
          <w:color w:val="000000"/>
          <w:sz w:val="32"/>
          <w:szCs w:val="32"/>
        </w:rPr>
      </w:pPr>
      <w:r>
        <w:rPr>
          <w:rFonts w:hint="eastAsia" w:ascii="黑体" w:eastAsia="黑体"/>
          <w:color w:val="000000"/>
          <w:sz w:val="32"/>
          <w:szCs w:val="32"/>
        </w:rPr>
        <w:t xml:space="preserve">    八、名词解释</w:t>
      </w:r>
    </w:p>
    <w:p>
      <w:pPr>
        <w:pStyle w:val="14"/>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1.财政拨款收入：指省级财政当年拨付的资金。 </w:t>
      </w:r>
    </w:p>
    <w:p>
      <w:pPr>
        <w:pStyle w:val="14"/>
        <w:spacing w:line="560" w:lineRule="exact"/>
        <w:ind w:firstLine="640" w:firstLineChars="200"/>
        <w:rPr>
          <w:rFonts w:ascii="仿宋_GB2312" w:eastAsia="仿宋_GB2312"/>
          <w:sz w:val="32"/>
          <w:szCs w:val="32"/>
        </w:rPr>
      </w:pPr>
      <w:r>
        <w:rPr>
          <w:rFonts w:hint="eastAsia" w:ascii="仿宋_GB2312" w:eastAsia="仿宋_GB2312"/>
          <w:sz w:val="32"/>
          <w:szCs w:val="32"/>
        </w:rPr>
        <w:t>2.事业收入：指事业单位开展专业业务活动及辅助活动所取得的收入。</w:t>
      </w:r>
    </w:p>
    <w:p>
      <w:pPr>
        <w:pStyle w:val="14"/>
        <w:spacing w:line="560" w:lineRule="exact"/>
        <w:ind w:firstLine="640" w:firstLineChars="200"/>
        <w:rPr>
          <w:rFonts w:ascii="仿宋_GB2312" w:eastAsia="仿宋_GB2312"/>
          <w:sz w:val="32"/>
          <w:szCs w:val="32"/>
        </w:rPr>
      </w:pPr>
      <w:r>
        <w:rPr>
          <w:rFonts w:hint="eastAsia" w:ascii="仿宋_GB2312" w:eastAsia="仿宋_GB2312"/>
          <w:sz w:val="32"/>
          <w:szCs w:val="32"/>
        </w:rPr>
        <w:t>3.经营收入：指事业单位在专业业务活动及其辅助活动之外开展非独立核算经营活动取得的收入。</w:t>
      </w:r>
    </w:p>
    <w:p>
      <w:pPr>
        <w:pStyle w:val="14"/>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4.其他收入：指除上述“财政拨款收入”、“事业收入”、“经营收入”等以外的收入。 </w:t>
      </w:r>
    </w:p>
    <w:p>
      <w:pPr>
        <w:pStyle w:val="14"/>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5.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pPr>
        <w:pStyle w:val="14"/>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6.年初结转和结余：指以前年度尚未完成、结转到本年按有关规定继续使用的资金。 </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7.一般公共服务</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人大事务</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2010101：指反映行政单位（包括实行公务员管理的事业单位）的基本支出。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2010104：指反映各级人大召开人民代表大会等专门会议的支出。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政府办公厅（室）及相关机构事务</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2010301：指反映行政单位（包括实行公务员管理的事业单位）的基本支出。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2010302：指反映行政单位（包括实行公务员管理的事业单位）未单独设置项级科目的其他项目支出。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财政事务</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2010602：指反映行政单位（包括实行公务员管理的事业单位）未单独设置项级科目的其他项目支出。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2010650：指反映事业单位的基本支出，不包括行政单位（包括实行公务员管理的事业单位）后勤服务中心、医务室等附属事业单位。</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民族事务</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2012304：指反映用于民族事务管理方面的专项支出。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党委办公厅（室）及相关机构事务</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2013101：指反映行政单位（包括实行公务员管理的事业单位）的基本支出。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8.文化体育与传媒</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文化</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2070109：指反映群众文化方面的支出，包括基层文化馆（站）、群众艺术馆支出等。</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2070199：指反映除上述项目以外其他用于文化方面的支出。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新闻出版广播影视</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2070499：指反映除上述项目以外其他用于新闻出版广播影视方面的支出。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9.社会保障和就业</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人力资源和社会保障管理事务</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2080109：指反映社会保险经办机构开展业务工作的支出。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民政管理事务</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2080299：指反映民政部门接待来访、法制建设、政策宣传方面的支出，以及开展优抚安置、救灾减灾、社会救助、社会福利、婚姻登记、社会事务、信息化建设等专项业务的支出。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行政事业单位离退休</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2080504：指反映未实行归口管理的行政单位（包括实行公务员管理的事业单位）开支的离退休支出。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2080505：指反映机关事业单位实施养老保险制度由单位缴纳的基本养老保险费支出。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抚恤</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2080801：指反映按规定用于烈士和牺牲、病故人员家属的一次性和定期抚恤金以及丧葬补助费。</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自然灾害生活救助</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2081501：指反映中央预算对遭受特大自然灾害地区的地方政府在安排受灾群众吃、穿、住和抢救、转移、安置、治病等经费发生困难时给予的专项补助，以及为抗御特大自然灾害而设立的中央级救灾物资储备资金。</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特困人员供养</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2082102：指反映农村特困人员救助供养支出。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10．医疗卫生与计划生育</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计划生育事务</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2100799：指反映除上述项目以外其他用于计划生育管理事务方面的支出。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11.</w:t>
      </w:r>
      <w:r>
        <w:rPr>
          <w:rFonts w:hint="eastAsia"/>
        </w:rPr>
        <w:t xml:space="preserve"> </w:t>
      </w:r>
      <w:r>
        <w:rPr>
          <w:rFonts w:hint="eastAsia" w:ascii="仿宋_GB2312" w:eastAsia="仿宋_GB2312"/>
          <w:color w:val="000000"/>
          <w:sz w:val="32"/>
          <w:szCs w:val="32"/>
        </w:rPr>
        <w:t>城乡社区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城乡社区规划与管理</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2120201：指反映城乡社区、名胜风景区、防灾减灾、历史名城规划制定与管理等方面的支出。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城乡社区环境卫生</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2120501：指反映城乡社区道路清扫、垃圾清运与处理、公厕建设与维护、园林绿化等方面的支出。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12.农林水</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农业</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2130104：指反映用于农业事业单位基本支出，事业单位设施、系统运行与资产维护等方面的支出。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水利</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2130399：指反映除上述项目以外其他用于水利方面的支出。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农村综合改革</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2130705：指反映各级财政对村民委员会和村党支部的补助支出，以及支持建立县级基本财力保障机制安排的村级组织运转奖补资金。</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13.结余分配：指事业单位按规定提取的职工福利基金、事业基金和缴纳的所得税，以及建设单位按规定应交回的基本建设竣工项目结余资金。</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14.年末结转和结余：指本年度或以前年度预算安排、因客观条件发生变化无法按原计划实施，需延迟到以后年度按有关规定继续使用的资金。</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15.基本支出：指为保障机构正常运转、完成日常工作任务而发生的人员支出和公用支出。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 xml:space="preserve">16.项目支出：指在基本支出之外为完成特定行政任务和事业发展目标所发生的支出。 </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17.经营支出：指事业单位在专业业务活动及其辅助活动之外开展非独立核算经营活动发生的支出。</w:t>
      </w:r>
    </w:p>
    <w:p>
      <w:pPr>
        <w:pStyle w:val="14"/>
        <w:spacing w:line="560" w:lineRule="exact"/>
        <w:ind w:firstLine="640" w:firstLineChars="200"/>
        <w:rPr>
          <w:rFonts w:ascii="仿宋_GB2312" w:eastAsia="仿宋_GB2312"/>
          <w:sz w:val="32"/>
          <w:szCs w:val="32"/>
        </w:rPr>
      </w:pPr>
      <w:r>
        <w:rPr>
          <w:rFonts w:hint="eastAsia" w:ascii="仿宋_GB2312" w:eastAsia="仿宋_GB2312"/>
          <w:sz w:val="32"/>
          <w:szCs w:val="32"/>
        </w:rPr>
        <w:t>18.“三公”经费：纳入省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pStyle w:val="14"/>
        <w:spacing w:line="560" w:lineRule="exact"/>
        <w:ind w:firstLine="640" w:firstLineChars="200"/>
        <w:rPr>
          <w:rFonts w:ascii="仿宋_GB2312" w:eastAsia="仿宋_GB2312"/>
          <w:sz w:val="32"/>
          <w:szCs w:val="32"/>
        </w:rPr>
      </w:pPr>
      <w:r>
        <w:rPr>
          <w:rFonts w:hint="eastAsia" w:ascii="仿宋_GB2312" w:eastAsia="仿宋_GB2312"/>
          <w:sz w:val="32"/>
          <w:szCs w:val="32"/>
        </w:rPr>
        <w:t>19.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14"/>
        <w:spacing w:line="560" w:lineRule="exact"/>
        <w:ind w:firstLine="640" w:firstLineChars="200"/>
        <w:rPr>
          <w:rFonts w:ascii="仿宋_GB2312" w:eastAsia="仿宋_GB2312"/>
          <w:sz w:val="32"/>
          <w:szCs w:val="32"/>
        </w:rPr>
      </w:pPr>
    </w:p>
    <w:p>
      <w:pPr>
        <w:pStyle w:val="14"/>
        <w:spacing w:line="560" w:lineRule="exact"/>
        <w:ind w:firstLine="640" w:firstLineChars="200"/>
        <w:jc w:val="right"/>
        <w:rPr>
          <w:rFonts w:ascii="仿宋_GB2312" w:eastAsia="仿宋_GB2312"/>
          <w:sz w:val="32"/>
          <w:szCs w:val="32"/>
        </w:rPr>
      </w:pPr>
      <w:r>
        <w:rPr>
          <w:rFonts w:hint="eastAsia" w:ascii="仿宋_GB2312" w:eastAsia="仿宋_GB2312"/>
          <w:sz w:val="32"/>
          <w:szCs w:val="32"/>
        </w:rPr>
        <w:t>盐边县新九乡人民政府</w:t>
      </w:r>
    </w:p>
    <w:p>
      <w:pPr>
        <w:pStyle w:val="14"/>
        <w:spacing w:line="560" w:lineRule="exact"/>
        <w:ind w:firstLine="640" w:firstLineChars="200"/>
        <w:jc w:val="right"/>
        <w:rPr>
          <w:rFonts w:ascii="仿宋_GB2312" w:eastAsia="仿宋_GB2312"/>
          <w:sz w:val="32"/>
          <w:szCs w:val="32"/>
        </w:rPr>
      </w:pPr>
      <w:r>
        <w:rPr>
          <w:rFonts w:hint="eastAsia" w:ascii="仿宋_GB2312" w:eastAsia="仿宋_GB2312"/>
          <w:sz w:val="32"/>
          <w:szCs w:val="32"/>
        </w:rPr>
        <w:t>2019年1月17日</w:t>
      </w:r>
    </w:p>
    <w:p>
      <w:pPr>
        <w:spacing w:line="600" w:lineRule="exact"/>
        <w:ind w:firstLine="640"/>
        <w:rPr>
          <w:rFonts w:ascii="仿宋_GB2312" w:eastAsia="仿宋_GB2312"/>
          <w:color w:val="000000"/>
          <w:sz w:val="32"/>
          <w:szCs w:val="32"/>
        </w:rPr>
      </w:pP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仿宋简体">
    <w:altName w:val="微软雅黑"/>
    <w:panose1 w:val="03000509000000000000"/>
    <w:charset w:val="86"/>
    <w:family w:val="script"/>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17467454"/>
      <w:docPartObj>
        <w:docPartGallery w:val="AutoText"/>
      </w:docPartObj>
    </w:sdtPr>
    <w:sdtContent>
      <w:p>
        <w:pPr>
          <w:pStyle w:val="4"/>
        </w:pPr>
        <w:r>
          <w:fldChar w:fldCharType="begin"/>
        </w:r>
        <w:r>
          <w:instrText xml:space="preserve"> PAGE   \* MERGEFORMAT </w:instrText>
        </w:r>
        <w:r>
          <w:fldChar w:fldCharType="separate"/>
        </w:r>
        <w:r>
          <w:rPr>
            <w:lang w:val="zh-CN"/>
          </w:rPr>
          <w:t>7</w:t>
        </w:r>
        <w:r>
          <w:rPr>
            <w:lang w:val="zh-CN"/>
          </w:rPr>
          <w:fldChar w:fldCharType="end"/>
        </w:r>
      </w:p>
    </w:sdtContent>
  </w:sdt>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887A5D"/>
    <w:multiLevelType w:val="singleLevel"/>
    <w:tmpl w:val="5C887A5D"/>
    <w:lvl w:ilvl="0" w:tentative="0">
      <w:start w:val="1"/>
      <w:numFmt w:val="chineseCounting"/>
      <w:suff w:val="nothing"/>
      <w:lvlText w:val="第%1部"/>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MzZTVlYzkzMDcyYTBjMjQyZjliODgyZTM2ZDFmZTAifQ=="/>
  </w:docVars>
  <w:rsids>
    <w:rsidRoot w:val="00527808"/>
    <w:rsid w:val="000268E7"/>
    <w:rsid w:val="00072350"/>
    <w:rsid w:val="00073A04"/>
    <w:rsid w:val="000954BE"/>
    <w:rsid w:val="00153713"/>
    <w:rsid w:val="002F57FA"/>
    <w:rsid w:val="003B4804"/>
    <w:rsid w:val="003E730E"/>
    <w:rsid w:val="0045194C"/>
    <w:rsid w:val="004A3A1D"/>
    <w:rsid w:val="00527808"/>
    <w:rsid w:val="005D1DB2"/>
    <w:rsid w:val="005F677B"/>
    <w:rsid w:val="00675239"/>
    <w:rsid w:val="007424B2"/>
    <w:rsid w:val="00742CD1"/>
    <w:rsid w:val="00756875"/>
    <w:rsid w:val="007F5C48"/>
    <w:rsid w:val="00905B57"/>
    <w:rsid w:val="0091460C"/>
    <w:rsid w:val="00953180"/>
    <w:rsid w:val="0098250C"/>
    <w:rsid w:val="009A1E37"/>
    <w:rsid w:val="00A11092"/>
    <w:rsid w:val="00A21C56"/>
    <w:rsid w:val="00AB4EC4"/>
    <w:rsid w:val="00B90423"/>
    <w:rsid w:val="00BE50BF"/>
    <w:rsid w:val="00C17882"/>
    <w:rsid w:val="00C75EE2"/>
    <w:rsid w:val="00C77E17"/>
    <w:rsid w:val="00C8028B"/>
    <w:rsid w:val="00CD132F"/>
    <w:rsid w:val="00DD4C8C"/>
    <w:rsid w:val="00E95DD9"/>
    <w:rsid w:val="00EA73AE"/>
    <w:rsid w:val="00EC154D"/>
    <w:rsid w:val="00F14774"/>
    <w:rsid w:val="00F36B9B"/>
    <w:rsid w:val="00F71A75"/>
    <w:rsid w:val="00F8754A"/>
    <w:rsid w:val="224D7B3A"/>
    <w:rsid w:val="233061EB"/>
    <w:rsid w:val="24C75C30"/>
    <w:rsid w:val="3E097BB2"/>
    <w:rsid w:val="4AC724B9"/>
    <w:rsid w:val="4EE15757"/>
    <w:rsid w:val="508E0153"/>
    <w:rsid w:val="52887B48"/>
    <w:rsid w:val="550A4BEE"/>
    <w:rsid w:val="5B927127"/>
    <w:rsid w:val="63542260"/>
    <w:rsid w:val="78052C88"/>
    <w:rsid w:val="7E8477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6"/>
    <w:qFormat/>
    <w:uiPriority w:val="0"/>
    <w:pPr>
      <w:keepNext/>
      <w:keepLines/>
      <w:spacing w:before="260" w:after="260" w:line="413" w:lineRule="auto"/>
      <w:outlineLvl w:val="1"/>
    </w:pPr>
    <w:rPr>
      <w:rFonts w:ascii="Arial" w:hAnsi="Arial" w:eastAsia="黑体"/>
      <w:b/>
      <w:sz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3"/>
    <w:qFormat/>
    <w:uiPriority w:val="0"/>
    <w:pPr>
      <w:spacing w:beforeLines="30"/>
    </w:pPr>
    <w:rPr>
      <w:rFonts w:ascii="仿宋_GB2312" w:eastAsia="仿宋_GB2312"/>
      <w:kern w:val="0"/>
      <w:sz w:val="30"/>
    </w:rPr>
  </w:style>
  <w:style w:type="paragraph" w:styleId="4">
    <w:name w:val="footer"/>
    <w:basedOn w:val="1"/>
    <w:link w:val="12"/>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toc 1"/>
    <w:basedOn w:val="1"/>
    <w:next w:val="1"/>
    <w:qFormat/>
    <w:uiPriority w:val="0"/>
  </w:style>
  <w:style w:type="paragraph" w:styleId="7">
    <w:name w:val="toc 2"/>
    <w:basedOn w:val="1"/>
    <w:next w:val="1"/>
    <w:qFormat/>
    <w:uiPriority w:val="0"/>
    <w:pPr>
      <w:ind w:left="420" w:leftChars="200"/>
    </w:pPr>
  </w:style>
  <w:style w:type="paragraph" w:styleId="8">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character" w:customStyle="1" w:styleId="11">
    <w:name w:val="页眉 Char"/>
    <w:basedOn w:val="10"/>
    <w:link w:val="5"/>
    <w:semiHidden/>
    <w:qFormat/>
    <w:uiPriority w:val="99"/>
    <w:rPr>
      <w:sz w:val="18"/>
      <w:szCs w:val="18"/>
    </w:rPr>
  </w:style>
  <w:style w:type="character" w:customStyle="1" w:styleId="12">
    <w:name w:val="页脚 Char"/>
    <w:basedOn w:val="10"/>
    <w:link w:val="4"/>
    <w:qFormat/>
    <w:uiPriority w:val="99"/>
    <w:rPr>
      <w:sz w:val="18"/>
      <w:szCs w:val="18"/>
    </w:rPr>
  </w:style>
  <w:style w:type="character" w:customStyle="1" w:styleId="13">
    <w:name w:val="正文文本 Char"/>
    <w:basedOn w:val="10"/>
    <w:link w:val="3"/>
    <w:qFormat/>
    <w:uiPriority w:val="0"/>
    <w:rPr>
      <w:rFonts w:ascii="仿宋_GB2312" w:hAnsi="Times New Roman" w:eastAsia="仿宋_GB2312" w:cs="Times New Roman"/>
      <w:kern w:val="0"/>
      <w:sz w:val="30"/>
      <w:szCs w:val="24"/>
    </w:rPr>
  </w:style>
  <w:style w:type="paragraph" w:customStyle="1" w:styleId="14">
    <w:name w:val="Default"/>
    <w:qFormat/>
    <w:uiPriority w:val="0"/>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15">
    <w:name w:val="_Style 4"/>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16">
    <w:name w:val="标题 2 Char"/>
    <w:basedOn w:val="10"/>
    <w:link w:val="2"/>
    <w:qFormat/>
    <w:uiPriority w:val="0"/>
    <w:rPr>
      <w:rFonts w:ascii="Arial" w:hAnsi="Arial" w:eastAsia="黑体" w:cs="Times New Roman"/>
      <w:b/>
      <w:kern w:val="2"/>
      <w:sz w:val="32"/>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 (Beijing) Limited</Company>
  <Pages>15</Pages>
  <Words>1143</Words>
  <Characters>6516</Characters>
  <Lines>54</Lines>
  <Paragraphs>15</Paragraphs>
  <TotalTime>115</TotalTime>
  <ScaleCrop>false</ScaleCrop>
  <LinksUpToDate>false</LinksUpToDate>
  <CharactersWithSpaces>7644</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2017-11-06T08:26:00Z</dcterms:created>
  <dc:creator>Lenovo User</dc:creator>
  <cp:lastModifiedBy>Administrator</cp:lastModifiedBy>
  <dcterms:modified xsi:type="dcterms:W3CDTF">2023-07-19T08:42:03Z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70B801081EDA474A9A4D1F9EC8340EB3_12</vt:lpwstr>
  </property>
</Properties>
</file>