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盐边县市场监督管理局</w:t>
      </w: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2021年度专项（项目）资金绩效自评报告</w:t>
      </w: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楷体_GBK" w:cs="Times New Roman"/>
          <w:b/>
          <w:bCs/>
          <w:sz w:val="32"/>
          <w:szCs w:val="32"/>
        </w:rPr>
      </w:pP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县财政局关于开展2021年部门预算整体支出绩效评价工作的通知，我局高度重视，强化绩效意识，认真梳理各项资料，切实做好绩效自评工作。并对2021年项目绩效开展了评价工作，深入了解各个项目执行和资金使用情况，以及项目所产生的经济效益、社会效益等，查找出项目实施以及资金监管过程中存在的不足。按照相关要求，对2021年的项目开展了项目绩效评价，各项目绩效自评报告如下：</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cs="Times New Roman"/>
          <w:sz w:val="32"/>
          <w:szCs w:val="32"/>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盐边县市场监督管理局</w:t>
      </w: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有机产品认证示范区验收资金绩效自评告</w:t>
      </w: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黑体" w:cs="Times New Roman"/>
          <w:kern w:val="0"/>
          <w:sz w:val="44"/>
          <w:szCs w:val="44"/>
        </w:rPr>
      </w:pP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一、项目概况</w:t>
      </w:r>
    </w:p>
    <w:p>
      <w:pPr>
        <w:keepNext w:val="0"/>
        <w:keepLines w:val="0"/>
        <w:pageBreakBefore w:val="0"/>
        <w:kinsoku/>
        <w:wordWrap/>
        <w:overflowPunct/>
        <w:topLinePunct w:val="0"/>
        <w:bidi w:val="0"/>
        <w:spacing w:line="560" w:lineRule="exact"/>
        <w:ind w:left="0" w:right="0" w:firstLine="320" w:firstLineChars="1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（一）项目基本情况。</w:t>
      </w:r>
    </w:p>
    <w:p>
      <w:pPr>
        <w:keepNext w:val="0"/>
        <w:keepLines w:val="0"/>
        <w:pageBreakBefore w:val="0"/>
        <w:kinsoku/>
        <w:wordWrap/>
        <w:overflowPunct/>
        <w:topLinePunct w:val="0"/>
        <w:bidi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按照《四川省质量技术监督局关于做好2018年有机产品认证示范区创建工作的通知》（川质监函〔2018〕420号）及《攀枝花市人民政府办公室关于加快推进有机产品认证示范区创建的指导意见》（攀办发〔2017〕154号）文件要求和县政府相关工作安排，由我局牵头并会同相关部门开展了“四川省有机产品认证示范区”验收工作。</w:t>
      </w:r>
    </w:p>
    <w:p>
      <w:pPr>
        <w:keepNext w:val="0"/>
        <w:keepLines w:val="0"/>
        <w:pageBreakBefore w:val="0"/>
        <w:kinsoku/>
        <w:wordWrap/>
        <w:overflowPunct/>
        <w:topLinePunct w:val="0"/>
        <w:bidi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我局以盐边市管〔2020〕78号《盐边县市场监督管理局关于申请解决省级有机产品认证示范区验收资金的请示》向县政府请求拨付省级有机产品认证示范区验收经费27万元，县财政实际下达了有机产品认证示范区验收经费20万元，用于购买第三方（方圆标准认证集团四川有限公司）项目服务。</w:t>
      </w:r>
    </w:p>
    <w:p>
      <w:pPr>
        <w:keepNext w:val="0"/>
        <w:keepLines w:val="0"/>
        <w:pageBreakBefore w:val="0"/>
        <w:kinsoku/>
        <w:wordWrap/>
        <w:overflowPunct/>
        <w:topLinePunct w:val="0"/>
        <w:bidi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按照采购合同，第三方服务公司（方圆标准认证集团四川有限公司）完成了有机产品认证示范区验收服务、有机产品抽检项目服务、有机产品认证示范区基地打造服务等项目，验收合格后支付第三方（方圆标准认证集团四川有限公司）全部合同价款20万元。目前第三方公司已按合同要求完成项目服务，20万元服务费已按采购合同支付第三方公司（方圆标准认证集团四川有限公司）。</w:t>
      </w:r>
    </w:p>
    <w:p>
      <w:pPr>
        <w:keepNext w:val="0"/>
        <w:keepLines w:val="0"/>
        <w:pageBreakBefore w:val="0"/>
        <w:kinsoku/>
        <w:wordWrap/>
        <w:overflowPunct/>
        <w:topLinePunct w:val="0"/>
        <w:bidi w:val="0"/>
        <w:spacing w:line="560" w:lineRule="exact"/>
        <w:ind w:left="0" w:right="0" w:firstLine="320" w:firstLineChars="1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（二）项目绩效目标。</w:t>
      </w:r>
    </w:p>
    <w:p>
      <w:pPr>
        <w:keepNext w:val="0"/>
        <w:keepLines w:val="0"/>
        <w:pageBreakBefore w:val="0"/>
        <w:kinsoku/>
        <w:wordWrap/>
        <w:overflowPunct/>
        <w:topLinePunct w:val="0"/>
        <w:bidi w:val="0"/>
        <w:spacing w:line="560" w:lineRule="exact"/>
        <w:ind w:left="0" w:right="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 xml:space="preserve">    有机产品认证示范区验收。为推进经济产业结构转型升级，强化生态文明建设，着力解决农业产业化水平低、农民增收渠道窄和农产品附加值低等问题，我县大力发展有机产业，扎实开展“省级有机产品认证示范区”创建工作。自2018年申请创建以来，我县紧紧围绕示范创建工作要求，认真制定实施方案，积极落实相关措施，结合实际，全面开展创建工作，并取得明显成效。目前，我县共有有机生产企业（含转换）9家，较创建初期增加4个，增长率达80%；建成有机产品生产基地10个，比创建初期增加4个，增长率达66.67%；有机获证生产基地面积357.14公顷，较创建初期增加315.38公顷，增长率达755.22%；有机产品年产量达720吨，比创建初期增加444吨，增长率达160.87%；有机产品年产值达1800万元，比创建初期增加570万元；现涉及绿茶、红茶、芒果、桑椹、猕猴桃、沃柑、脐橙、核桃等8个种类。通过3年的有机产品认证示范区创建，2021年我县有机产品示范区创建达到了省级示范区验收标准；并向省市场监管局提交了《验收申请表》《验收请示》《示范区验收文审资料》，经过专家审核、现场评价、网上公示，正式确定盐边县获得“四川省有机产品认证示范区”。有机产品认证示范区验收工作与具体实施内容相符、验收目标合理可行。</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黑体" w:cs="Times New Roman"/>
          <w:kern w:val="0"/>
          <w:sz w:val="32"/>
          <w:szCs w:val="32"/>
        </w:rPr>
        <w:t>二、项目资金申报及使用情况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（一）项目资金申报及批复情况。</w:t>
      </w:r>
    </w:p>
    <w:p>
      <w:pPr>
        <w:pStyle w:val="13"/>
        <w:keepNext w:val="0"/>
        <w:keepLines w:val="0"/>
        <w:pageBreakBefore w:val="0"/>
        <w:tabs>
          <w:tab w:val="left" w:pos="840"/>
        </w:tabs>
        <w:kinsoku/>
        <w:wordWrap/>
        <w:overflowPunct/>
        <w:topLinePunct w:val="0"/>
        <w:bidi w:val="0"/>
        <w:spacing w:line="560" w:lineRule="exact"/>
        <w:ind w:left="0" w:right="0"/>
        <w:textAlignment w:val="auto"/>
        <w:rPr>
          <w:rFonts w:hint="default" w:ascii="Times New Roman" w:hAnsi="Times New Roman" w:cs="Times New Roman"/>
          <w:sz w:val="32"/>
          <w:szCs w:val="32"/>
        </w:rPr>
      </w:pPr>
      <w:r>
        <w:rPr>
          <w:rFonts w:hint="default" w:ascii="Times New Roman" w:hAnsi="Times New Roman" w:cs="Times New Roman"/>
          <w:sz w:val="32"/>
          <w:szCs w:val="32"/>
        </w:rPr>
        <w:tab/>
      </w:r>
      <w:r>
        <w:rPr>
          <w:rFonts w:hint="default" w:ascii="Times New Roman" w:hAnsi="Times New Roman" w:eastAsia="仿宋_GB2312" w:cs="Times New Roman"/>
          <w:sz w:val="32"/>
          <w:szCs w:val="32"/>
        </w:rPr>
        <w:t>我局于2020年末以盐边市管〔2020〕78号文件《盐边县市场监督管理局关于申请解决省级有机产品认证示范区验收资金的请示》申请解决此项资金，因2020年此项工作未完成，经与财政协商，此项资金于2021年工作完成后下达，县财政于2021年9月盐财资行〔2021〕369号下达省级有机产品认证示范区验收资金20万元。</w:t>
      </w:r>
    </w:p>
    <w:p>
      <w:pPr>
        <w:keepNext w:val="0"/>
        <w:keepLines w:val="0"/>
        <w:pageBreakBefore w:val="0"/>
        <w:kinsoku/>
        <w:wordWrap/>
        <w:overflowPunct/>
        <w:topLinePunct w:val="0"/>
        <w:autoSpaceDE w:val="0"/>
        <w:autoSpaceDN w:val="0"/>
        <w:bidi w:val="0"/>
        <w:adjustRightInd w:val="0"/>
        <w:spacing w:line="560" w:lineRule="exact"/>
        <w:ind w:left="0" w:right="0" w:firstLine="480" w:firstLineChars="15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（二）资金计划、到位及使用情况。</w:t>
      </w:r>
    </w:p>
    <w:p>
      <w:pPr>
        <w:keepNext w:val="0"/>
        <w:keepLines w:val="0"/>
        <w:pageBreakBefore w:val="0"/>
        <w:kinsoku/>
        <w:wordWrap/>
        <w:overflowPunct/>
        <w:topLinePunct w:val="0"/>
        <w:autoSpaceDE w:val="0"/>
        <w:autoSpaceDN w:val="0"/>
        <w:bidi w:val="0"/>
        <w:adjustRightInd w:val="0"/>
        <w:spacing w:line="560" w:lineRule="exact"/>
        <w:ind w:left="0" w:right="0" w:firstLine="800" w:firstLineChars="25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1．资金计划。</w:t>
      </w:r>
    </w:p>
    <w:p>
      <w:pPr>
        <w:keepNext w:val="0"/>
        <w:keepLines w:val="0"/>
        <w:pageBreakBefore w:val="0"/>
        <w:kinsoku/>
        <w:wordWrap/>
        <w:overflowPunct/>
        <w:topLinePunct w:val="0"/>
        <w:bidi w:val="0"/>
        <w:spacing w:line="560" w:lineRule="exact"/>
        <w:ind w:left="0" w:right="0" w:firstLine="800" w:firstLineChars="25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我局以盐边市管〔2020〕78号《盐边县市场监督管理局关于申请解决省级有机产品认证示范区验收资金的请示》向县政府请求拨付省级有机产品认证示范区验收经费27万元，县财政实际下达了有机产品认证示范区验收经费20万元，用于支付购买第三方服务，省级有机产品认证示范区验收服务、有机产品抽检项目服务、省级有机产品认证示范区基地打造服务等项目，三个项目完成验收合格后支付第三方全部合同价款20万元。</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2．资金到位。</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rPr>
        <w:t>盐财资行〔2021〕369号下达省级有机产品认证示范区验收资金20万元。</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3．资金使用。</w:t>
      </w:r>
    </w:p>
    <w:p>
      <w:pPr>
        <w:keepNext w:val="0"/>
        <w:keepLines w:val="0"/>
        <w:pageBreakBefore w:val="0"/>
        <w:kinsoku/>
        <w:wordWrap/>
        <w:overflowPunct/>
        <w:topLinePunct w:val="0"/>
        <w:bidi w:val="0"/>
        <w:spacing w:line="560" w:lineRule="exact"/>
        <w:ind w:left="0" w:right="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rPr>
        <w:tab/>
      </w:r>
      <w:r>
        <w:rPr>
          <w:rFonts w:hint="default" w:ascii="Times New Roman" w:hAnsi="Times New Roman" w:eastAsia="仿宋_GB2312" w:cs="Times New Roman"/>
        </w:rPr>
        <w:t xml:space="preserve">  </w:t>
      </w:r>
      <w:r>
        <w:rPr>
          <w:rFonts w:hint="default" w:ascii="Times New Roman" w:hAnsi="Times New Roman" w:eastAsia="仿宋_GB2312" w:cs="Times New Roman"/>
          <w:kern w:val="0"/>
          <w:sz w:val="32"/>
          <w:szCs w:val="32"/>
        </w:rPr>
        <w:t>截止评价时点该项目资金已全部使用完，包括省级有机产品认证示范区验收服务费4万元、有机产品抽检项目服务费6.5万元、省级有机产品认证示范区基地打造服务费9.5万元，资金开支范围、支付依据合规合法，资金支付与预算相符。</w:t>
      </w:r>
    </w:p>
    <w:p>
      <w:pPr>
        <w:keepNext w:val="0"/>
        <w:keepLines w:val="0"/>
        <w:pageBreakBefore w:val="0"/>
        <w:kinsoku/>
        <w:wordWrap/>
        <w:overflowPunct/>
        <w:topLinePunct w:val="0"/>
        <w:autoSpaceDE w:val="0"/>
        <w:autoSpaceDN w:val="0"/>
        <w:bidi w:val="0"/>
        <w:adjustRightInd w:val="0"/>
        <w:spacing w:line="560" w:lineRule="exact"/>
        <w:ind w:left="0" w:right="0" w:firstLine="480" w:firstLineChars="15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（三）项目财务管理情况。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t>省级有机产品认证示范区验收资金</w:t>
      </w:r>
      <w:r>
        <w:rPr>
          <w:rFonts w:hint="default" w:ascii="Times New Roman" w:hAnsi="Times New Roman" w:eastAsia="仿宋_GB2312" w:cs="Times New Roman"/>
          <w:kern w:val="0"/>
          <w:sz w:val="32"/>
          <w:szCs w:val="32"/>
        </w:rPr>
        <w:t>实行专款专用，严格执行财务管理制度，账务处理及时，会计核算规范。</w:t>
      </w:r>
    </w:p>
    <w:p>
      <w:pPr>
        <w:keepNext w:val="0"/>
        <w:keepLines w:val="0"/>
        <w:pageBreakBefore w:val="0"/>
        <w:kinsoku/>
        <w:wordWrap/>
        <w:overflowPunct/>
        <w:topLinePunct w:val="0"/>
        <w:autoSpaceDE w:val="0"/>
        <w:autoSpaceDN w:val="0"/>
        <w:bidi w:val="0"/>
        <w:adjustRightInd w:val="0"/>
        <w:spacing w:line="560" w:lineRule="exact"/>
        <w:ind w:left="0" w:right="0" w:firstLine="800" w:firstLineChars="250"/>
        <w:jc w:val="left"/>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三、项目实施及管理情况</w:t>
      </w:r>
    </w:p>
    <w:p>
      <w:pPr>
        <w:keepNext w:val="0"/>
        <w:keepLines w:val="0"/>
        <w:pageBreakBefore w:val="0"/>
        <w:kinsoku/>
        <w:wordWrap/>
        <w:overflowPunct/>
        <w:topLinePunct w:val="0"/>
        <w:bidi w:val="0"/>
        <w:spacing w:line="560" w:lineRule="exact"/>
        <w:ind w:left="0" w:right="0" w:firstLine="800" w:firstLineChars="25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组织保障方面。县委、县政府高度重视生态农业和有机农业发展，成立了以县长任组长，分管副县长任副组长，县政府办、县财政局、县农业农村局、县市场监督管理局、县林业局、县生态环境局等部门为成员单位的盐边县有机产品认证示范县创建工作领导小组，设立创建工作领导小组办公室，制定工作方案，落实目标任务，在全县形成了主要领导亲自抓、分管领导具体抓，相关部门协同抓、企业齐参与的工作格局，确保创建工作有力推进。</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制度建设方面。出台了《盐边县有机产业发展规划》《盐边县推进有机产业发展工作制度》《盐边县有机产业投入品监督管理制度》《盐边县有机产业风险评估及防控工作措施》《盐边县有机产品生产管理办法》等一系列管理制度配套文件，并在政策、制度、技术等方面给予企业大力支持。规范认证程序，督促认证机构做好资料评审、现场认证、产品检测、过程监督等工作，重点检查认证企业在基地建设、投入品使用、生产经营管理、标志使用、农事记录档案等方面是否规范有序，切实做到“事前有制度，事中有记录，事后有文档，证后有监管”。</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联动监管方面。一是健全工作网络，构建“县、镇、村、企”四级联动的质量安全监管网络。二是部门分工责任制，建立农业农村、市场监督管理、林业、生态环境等多部门参与的联动机制，各部门按职责分工对有机农产品的基地环境、生产加工过程、认证过程、销售流通环节进行常态化监管。严格实行企业自检、部门抽检、上市必检制度，实现有机农产品产、销全程跟踪监管和反向责任追溯。</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四、项目绩效情况</w:t>
      </w:r>
    </w:p>
    <w:p>
      <w:pPr>
        <w:keepNext w:val="0"/>
        <w:keepLines w:val="0"/>
        <w:pageBreakBefore w:val="0"/>
        <w:kinsoku/>
        <w:wordWrap/>
        <w:overflowPunct/>
        <w:topLinePunct w:val="0"/>
        <w:autoSpaceDE w:val="0"/>
        <w:autoSpaceDN w:val="0"/>
        <w:bidi w:val="0"/>
        <w:adjustRightInd w:val="0"/>
        <w:spacing w:line="560" w:lineRule="exact"/>
        <w:ind w:left="0" w:right="0" w:firstLine="480" w:firstLineChars="15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（一）项目完成情况。</w:t>
      </w:r>
    </w:p>
    <w:p>
      <w:pPr>
        <w:keepNext w:val="0"/>
        <w:keepLines w:val="0"/>
        <w:pageBreakBefore w:val="0"/>
        <w:kinsoku/>
        <w:wordWrap/>
        <w:overflowPunct/>
        <w:topLinePunct w:val="0"/>
        <w:bidi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自2018年申请创建以来，我县紧紧围绕示范创建工作要求，认真制定实施方案，积极落实相关措施，结合实际，全面开展创建工作，并取得明显成效。目前，我县共有有机生产企业（含转换）9家，较创建初期增加4个，增长率达80%；建成有机产品生产基地10个，比创建初期增加4个，增长率达66.67%；有机获证生产基地面积357.14公顷，较创建初期增加315.38公顷，增长率达755.22%；有机产品年产量达720吨，比创建初期增加444吨，增长率达160.87%；有机产品年产值达1800万元，比创建初期增加570万元；现涉及绿茶、红茶、芒果、桑椹、猕猴桃、沃柑、脐橙、核桃等8个种类。通过3年的有机产品认证示范区创建，2021年我县有机产品示范区创建达到了省级示范区验收标准；并向省市场监管局提交了《验收申请表》《验收请示》《示范区验收文审资料》，经过专家审核、现场评价、网上公示，正式确定盐边县获得“四川省有机产品认证示范区”。</w:t>
      </w:r>
    </w:p>
    <w:p>
      <w:pPr>
        <w:keepNext w:val="0"/>
        <w:keepLines w:val="0"/>
        <w:pageBreakBefore w:val="0"/>
        <w:kinsoku/>
        <w:wordWrap/>
        <w:overflowPunct/>
        <w:topLinePunct w:val="0"/>
        <w:bidi w:val="0"/>
        <w:spacing w:line="560" w:lineRule="exact"/>
        <w:ind w:left="0" w:right="0" w:firstLine="480" w:firstLineChars="15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（二）项目效益情况。</w:t>
      </w:r>
    </w:p>
    <w:p>
      <w:pPr>
        <w:keepNext w:val="0"/>
        <w:keepLines w:val="0"/>
        <w:pageBreakBefore w:val="0"/>
        <w:kinsoku/>
        <w:wordWrap/>
        <w:overflowPunct/>
        <w:topLinePunct w:val="0"/>
        <w:bidi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生态环境持续向好。通过有机生产技术推广带动有机产业发展，有效减少了农药化肥使用量。全县化学农药使用量总体呈下降趋势；农家有机肥得到有效利用，2020年使用农作物秸秆24.8万吨、畜禽粪便27万吨，减少了农业生产对环境的污染，使农业走上了生态、可持续的良性循环道路。</w:t>
      </w:r>
    </w:p>
    <w:p>
      <w:pPr>
        <w:keepNext w:val="0"/>
        <w:keepLines w:val="0"/>
        <w:pageBreakBefore w:val="0"/>
        <w:kinsoku/>
        <w:wordWrap/>
        <w:overflowPunct/>
        <w:topLinePunct w:val="0"/>
        <w:bidi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经济效益预期可观。有机产品生产的劳力投入通常要高于常规生产的30-50%，有机肥料的投入通常是常规生产的3-4倍。虽然生产投入有机产品比常规生产要高，但由于有机产品是在严格控制的生态环境中形成，天然、绿色、有机化特征，契合了当下人们对食品安全的期望，使得有机产品的附加值大大提高，市场价格能达到常规产品的3倍以上。</w:t>
      </w:r>
    </w:p>
    <w:p>
      <w:pPr>
        <w:keepNext w:val="0"/>
        <w:keepLines w:val="0"/>
        <w:pageBreakBefore w:val="0"/>
        <w:kinsoku/>
        <w:wordWrap/>
        <w:overflowPunct/>
        <w:topLinePunct w:val="0"/>
        <w:bidi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社会效益。与常规农业相比，有机农业减少了化学农药和肥料的使用，相应地就需要投入更多的劳动力，因而有机农业可以促进就业。有机产业作为以认证手段为媒介的生态健康产业，可以集中分散的农户，集中为农户提供优良的有机种源、有机肥，进行技术指导与培训，形成规模化、集约化有机农业生产，提高产品附加值，使农民增收，缩小城乡差距，实现共同富裕。同时，生态环境的保护、修复，食品安全的保障，带来更多的社会公共利益。</w:t>
      </w:r>
    </w:p>
    <w:p>
      <w:pPr>
        <w:keepNext w:val="0"/>
        <w:keepLines w:val="0"/>
        <w:pageBreakBefore w:val="0"/>
        <w:kinsoku/>
        <w:wordWrap/>
        <w:overflowPunct/>
        <w:topLinePunct w:val="0"/>
        <w:bidi w:val="0"/>
        <w:spacing w:line="560" w:lineRule="exact"/>
        <w:ind w:left="0" w:right="0" w:firstLine="640" w:firstLineChars="200"/>
        <w:jc w:val="left"/>
        <w:textAlignment w:val="auto"/>
        <w:rPr>
          <w:rFonts w:hint="eastAsia" w:ascii="黑体" w:hAnsi="黑体" w:eastAsia="黑体" w:cs="黑体"/>
          <w:kern w:val="0"/>
          <w:sz w:val="32"/>
          <w:szCs w:val="32"/>
        </w:rPr>
      </w:pPr>
      <w:r>
        <w:rPr>
          <w:rFonts w:hint="eastAsia" w:ascii="黑体" w:hAnsi="黑体" w:eastAsia="黑体" w:cs="黑体"/>
          <w:kern w:val="0"/>
          <w:sz w:val="32"/>
          <w:szCs w:val="32"/>
        </w:rPr>
        <w:t>五、评价结论及建议</w:t>
      </w:r>
    </w:p>
    <w:p>
      <w:pPr>
        <w:keepNext w:val="0"/>
        <w:keepLines w:val="0"/>
        <w:pageBreakBefore w:val="0"/>
        <w:kinsoku/>
        <w:wordWrap/>
        <w:overflowPunct/>
        <w:topLinePunct w:val="0"/>
        <w:bidi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（一）评价结论。</w:t>
      </w:r>
    </w:p>
    <w:p>
      <w:pPr>
        <w:keepNext w:val="0"/>
        <w:keepLines w:val="0"/>
        <w:pageBreakBefore w:val="0"/>
        <w:kinsoku/>
        <w:wordWrap/>
        <w:overflowPunct/>
        <w:topLinePunct w:val="0"/>
        <w:bidi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lang w:val="zh-TW" w:eastAsia="zh-TW"/>
        </w:rPr>
        <w:t>通过</w:t>
      </w:r>
      <w:r>
        <w:rPr>
          <w:rFonts w:hint="default" w:ascii="Times New Roman" w:hAnsi="Times New Roman" w:eastAsia="仿宋_GB2312" w:cs="Times New Roman"/>
          <w:kern w:val="0"/>
          <w:sz w:val="32"/>
          <w:szCs w:val="32"/>
        </w:rPr>
        <w:t>3</w:t>
      </w:r>
      <w:r>
        <w:rPr>
          <w:rFonts w:hint="default" w:ascii="Times New Roman" w:hAnsi="Times New Roman" w:eastAsia="仿宋_GB2312" w:cs="Times New Roman"/>
          <w:kern w:val="0"/>
          <w:sz w:val="32"/>
          <w:szCs w:val="32"/>
          <w:lang w:val="zh-TW" w:eastAsia="zh-TW"/>
        </w:rPr>
        <w:t>年</w:t>
      </w:r>
      <w:r>
        <w:rPr>
          <w:rFonts w:hint="default" w:ascii="Times New Roman" w:hAnsi="Times New Roman" w:eastAsia="仿宋_GB2312" w:cs="Times New Roman"/>
          <w:kern w:val="0"/>
          <w:sz w:val="32"/>
          <w:szCs w:val="32"/>
          <w:lang w:val="zh-TW"/>
        </w:rPr>
        <w:t>有机产品认证示范区</w:t>
      </w:r>
      <w:r>
        <w:rPr>
          <w:rFonts w:hint="default" w:ascii="Times New Roman" w:hAnsi="Times New Roman" w:eastAsia="仿宋_GB2312" w:cs="Times New Roman"/>
          <w:kern w:val="0"/>
          <w:sz w:val="32"/>
          <w:szCs w:val="32"/>
          <w:lang w:val="zh-TW" w:eastAsia="zh-TW"/>
        </w:rPr>
        <w:t>创建，我县有机产业发展初具规模，产业效益凸显，加之我县生态环境保持良好，示范带头作用明显，经自评，我县符合作为省级有机产品认证示范区的各项要求。</w:t>
      </w:r>
    </w:p>
    <w:p>
      <w:pPr>
        <w:keepNext w:val="0"/>
        <w:keepLines w:val="0"/>
        <w:pageBreakBefore w:val="0"/>
        <w:kinsoku/>
        <w:wordWrap/>
        <w:overflowPunct/>
        <w:topLinePunct w:val="0"/>
        <w:bidi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（二）存在的问题。</w:t>
      </w:r>
    </w:p>
    <w:p>
      <w:pPr>
        <w:keepNext w:val="0"/>
        <w:keepLines w:val="0"/>
        <w:pageBreakBefore w:val="0"/>
        <w:kinsoku/>
        <w:wordWrap/>
        <w:overflowPunct/>
        <w:topLinePunct w:val="0"/>
        <w:bidi w:val="0"/>
        <w:spacing w:line="560" w:lineRule="exact"/>
        <w:ind w:left="0" w:right="0" w:firstLine="1600" w:firstLineChars="5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无</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（三）相关建议。</w:t>
      </w:r>
    </w:p>
    <w:p>
      <w:pPr>
        <w:pStyle w:val="3"/>
        <w:keepNext w:val="0"/>
        <w:keepLines w:val="0"/>
        <w:pageBreakBefore w:val="0"/>
        <w:kinsoku/>
        <w:wordWrap/>
        <w:overflowPunct/>
        <w:topLinePunct w:val="0"/>
        <w:bidi w:val="0"/>
        <w:spacing w:line="560" w:lineRule="exact"/>
        <w:ind w:left="0" w:right="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 xml:space="preserve">      无</w:t>
      </w:r>
    </w:p>
    <w:p>
      <w:pPr>
        <w:keepNext w:val="0"/>
        <w:keepLines w:val="0"/>
        <w:pageBreakBefore w:val="0"/>
        <w:kinsoku/>
        <w:wordWrap/>
        <w:overflowPunct/>
        <w:topLinePunct w:val="0"/>
        <w:bidi w:val="0"/>
        <w:spacing w:line="560" w:lineRule="exact"/>
        <w:ind w:left="0" w:right="0"/>
        <w:textAlignment w:val="auto"/>
        <w:rPr>
          <w:rFonts w:hint="default" w:ascii="Times New Roman" w:hAnsi="Times New Roman" w:cs="Times New Roman"/>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黑体" w:cs="Times New Roman"/>
          <w:b/>
          <w:bCs/>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黑体" w:cs="Times New Roman"/>
          <w:b/>
          <w:bCs/>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黑体" w:cs="Times New Roman"/>
          <w:b/>
          <w:bCs/>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黑体" w:cs="Times New Roman"/>
          <w:b/>
          <w:bCs/>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黑体" w:cs="Times New Roman"/>
          <w:b/>
          <w:bCs/>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黑体" w:cs="Times New Roman"/>
          <w:b/>
          <w:bCs/>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黑体" w:cs="Times New Roman"/>
          <w:b/>
          <w:bCs/>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黑体" w:cs="Times New Roman"/>
          <w:b/>
          <w:bCs/>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黑体" w:cs="Times New Roman"/>
          <w:b/>
          <w:bCs/>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黑体" w:cs="Times New Roman"/>
          <w:b/>
          <w:bCs/>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黑体" w:cs="Times New Roman"/>
          <w:b/>
          <w:bCs/>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盐边县市场监督管理局</w:t>
      </w: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重点产（商）品监督抽检资金绩效自评报告</w:t>
      </w:r>
    </w:p>
    <w:p>
      <w:pPr>
        <w:keepNext w:val="0"/>
        <w:keepLines w:val="0"/>
        <w:pageBreakBefore w:val="0"/>
        <w:kinsoku/>
        <w:wordWrap/>
        <w:overflowPunct/>
        <w:topLinePunct w:val="0"/>
        <w:bidi w:val="0"/>
        <w:spacing w:line="560" w:lineRule="exact"/>
        <w:ind w:left="0" w:right="0"/>
        <w:textAlignment w:val="auto"/>
        <w:rPr>
          <w:rFonts w:hint="default" w:ascii="Times New Roman" w:hAnsi="Times New Roman" w:cs="Times New Roman"/>
          <w:sz w:val="32"/>
          <w:szCs w:val="32"/>
          <w:lang w:val="zh-CN"/>
        </w:rPr>
      </w:pP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一、项目概况</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根据上级要求和市场监管发现或消费者申诉热点，安排工业产（商）品抽检。抽查范围涉及生产流域和流通领域，抽检品种涵盖5个大类（主要是农资、建筑建材、成品油、危险化学品、食品相关产品等）12种产品，</w:t>
      </w:r>
      <w:r>
        <w:rPr>
          <w:rFonts w:hint="default" w:ascii="Times New Roman" w:hAnsi="Times New Roman" w:eastAsia="仿宋_GB2312" w:cs="Times New Roman"/>
          <w:sz w:val="32"/>
          <w:szCs w:val="32"/>
        </w:rPr>
        <w:t>52</w:t>
      </w:r>
      <w:r>
        <w:rPr>
          <w:rFonts w:hint="default" w:ascii="Times New Roman" w:hAnsi="Times New Roman" w:eastAsia="仿宋_GB2312" w:cs="Times New Roman"/>
          <w:sz w:val="32"/>
          <w:szCs w:val="32"/>
          <w:lang w:val="zh-CN"/>
        </w:rPr>
        <w:t>批次样品。</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（一）项目基本情况</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1．盐边县市场监督管理局为进一步加强产品质量监管，保护消费者的合法权益，净化市场环境，按照省、市市场监管局在工业产品、消费品以及环保、消防等涉及民生、安全等重点产品、重点环节监管的工作要求，根据《中华人民共和国产品质量法》、《产品质量监督抽查管理办法》等法律法规的规定，结合盐边县产品质量状况实际，对我县生产和流通的重点工业产品质量进行监督抽查。</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2．项目立项、资金申报的依据：盐边县质量强县工作领导小组办公室关于印发《202</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zh-CN"/>
        </w:rPr>
        <w:t>年度盐边县质量强县暨质量提升行动工作计划》的通知（盐边质强办</w:t>
      </w:r>
      <w:r>
        <w:rPr>
          <w:rFonts w:hint="eastAsia" w:eastAsia="仿宋_GB2312" w:cs="Times New Roman"/>
          <w:sz w:val="32"/>
          <w:szCs w:val="32"/>
          <w:lang w:val="zh-CN"/>
        </w:rPr>
        <w:t>〔</w:t>
      </w:r>
      <w:r>
        <w:rPr>
          <w:rFonts w:hint="default" w:ascii="Times New Roman" w:hAnsi="Times New Roman" w:eastAsia="仿宋_GB2312" w:cs="Times New Roman"/>
          <w:sz w:val="32"/>
          <w:szCs w:val="32"/>
          <w:lang w:val="zh-CN"/>
        </w:rPr>
        <w:t>202</w:t>
      </w:r>
      <w:r>
        <w:rPr>
          <w:rFonts w:hint="default" w:ascii="Times New Roman" w:hAnsi="Times New Roman" w:eastAsia="仿宋_GB2312" w:cs="Times New Roman"/>
          <w:sz w:val="32"/>
          <w:szCs w:val="32"/>
        </w:rPr>
        <w:t>1</w:t>
      </w:r>
      <w:r>
        <w:rPr>
          <w:rFonts w:hint="eastAsia" w:eastAsia="仿宋_GB2312" w:cs="Times New Roman"/>
          <w:sz w:val="32"/>
          <w:szCs w:val="32"/>
          <w:lang w:val="zh-CN"/>
        </w:rPr>
        <w:t>〕</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val="zh-CN"/>
        </w:rPr>
        <w:t>号）</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3．资金管理办法制定情况，资金支持具体项目的条件、范围与支持方式概况。</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资金支持范围：对农资、建筑建材、车用汽柴油、危险化学品等12种产品，</w:t>
      </w:r>
      <w:r>
        <w:rPr>
          <w:rFonts w:hint="default" w:ascii="Times New Roman" w:hAnsi="Times New Roman" w:eastAsia="仿宋_GB2312" w:cs="Times New Roman"/>
          <w:sz w:val="32"/>
          <w:szCs w:val="32"/>
        </w:rPr>
        <w:t>52</w:t>
      </w:r>
      <w:r>
        <w:rPr>
          <w:rFonts w:hint="default" w:ascii="Times New Roman" w:hAnsi="Times New Roman" w:eastAsia="仿宋_GB2312" w:cs="Times New Roman"/>
          <w:sz w:val="32"/>
          <w:szCs w:val="32"/>
          <w:lang w:val="zh-CN"/>
        </w:rPr>
        <w:t>组样品实施质量抽检，抽查范围涉及生产流域和流通领域。</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资金支持方向：⑴监督抽查样品的购样费用；（2）监督抽查样品的检测费用</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4．资金分配的原则：专项资金分配原则坚持科学性、合理性、高效性，围绕居民收支调查具体工作开展情况，按需分配经费。</w:t>
      </w:r>
    </w:p>
    <w:p>
      <w:pPr>
        <w:keepNext w:val="0"/>
        <w:keepLines w:val="0"/>
        <w:pageBreakBefore w:val="0"/>
        <w:kinsoku/>
        <w:wordWrap/>
        <w:overflowPunct/>
        <w:topLinePunct w:val="0"/>
        <w:bidi w:val="0"/>
        <w:adjustRightInd w:val="0"/>
        <w:snapToGrid w:val="0"/>
        <w:spacing w:line="560" w:lineRule="exact"/>
        <w:ind w:left="0" w:right="0" w:firstLine="321" w:firstLineChars="10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（二）项目绩效目标</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1．项目主要内容：</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此项项目的实施能进一步加强产（商）品质量监管，保护消费者的合法权益，净化市场环境，同时，能满足省、市目标任务和生态环境保护、安全生产、食品安全党政同责相关要求。</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主要包括对农资、建筑建材、车用汽柴油、危险化学品等12种产品，</w:t>
      </w:r>
      <w:r>
        <w:rPr>
          <w:rFonts w:hint="default" w:ascii="Times New Roman" w:hAnsi="Times New Roman" w:eastAsia="仿宋_GB2312" w:cs="Times New Roman"/>
          <w:sz w:val="32"/>
          <w:szCs w:val="32"/>
        </w:rPr>
        <w:t>52</w:t>
      </w:r>
      <w:r>
        <w:rPr>
          <w:rFonts w:hint="default" w:ascii="Times New Roman" w:hAnsi="Times New Roman" w:eastAsia="仿宋_GB2312" w:cs="Times New Roman"/>
          <w:sz w:val="32"/>
          <w:szCs w:val="32"/>
          <w:lang w:val="zh-CN"/>
        </w:rPr>
        <w:t>组样品实施质量抽检。</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2．项目应实现的具体绩效目标：</w:t>
      </w:r>
      <w:bookmarkStart w:id="0" w:name="_Hlk56691942"/>
      <w:r>
        <w:rPr>
          <w:rFonts w:hint="default" w:ascii="Times New Roman" w:hAnsi="Times New Roman" w:eastAsia="仿宋_GB2312" w:cs="Times New Roman"/>
          <w:sz w:val="32"/>
          <w:szCs w:val="32"/>
          <w:lang w:val="zh-CN"/>
        </w:rPr>
        <w:t>⑴完成监督抽检</w:t>
      </w:r>
      <w:r>
        <w:rPr>
          <w:rFonts w:hint="default" w:ascii="Times New Roman" w:hAnsi="Times New Roman" w:eastAsia="仿宋_GB2312" w:cs="Times New Roman"/>
          <w:sz w:val="32"/>
          <w:szCs w:val="32"/>
        </w:rPr>
        <w:t>52</w:t>
      </w:r>
      <w:r>
        <w:rPr>
          <w:rFonts w:hint="default" w:ascii="Times New Roman" w:hAnsi="Times New Roman" w:eastAsia="仿宋_GB2312" w:cs="Times New Roman"/>
          <w:sz w:val="32"/>
          <w:szCs w:val="32"/>
          <w:lang w:val="zh-CN"/>
        </w:rPr>
        <w:t>个批次；⑵生产领域产品质量监督抽查合格率95%以上；⑶流通领域产品质量监督抽查不合格率</w:t>
      </w:r>
      <w:r>
        <w:rPr>
          <w:rFonts w:hint="default" w:ascii="Times New Roman" w:hAnsi="Times New Roman" w:eastAsia="仿宋_GB2312" w:cs="Times New Roman"/>
          <w:sz w:val="32"/>
          <w:szCs w:val="32"/>
        </w:rPr>
        <w:t>10</w:t>
      </w:r>
      <w:r>
        <w:rPr>
          <w:rFonts w:hint="default" w:ascii="Times New Roman" w:hAnsi="Times New Roman" w:eastAsia="仿宋_GB2312" w:cs="Times New Roman"/>
          <w:sz w:val="32"/>
          <w:szCs w:val="32"/>
          <w:lang w:val="zh-CN"/>
        </w:rPr>
        <w:t>%以上。</w:t>
      </w:r>
    </w:p>
    <w:bookmarkEnd w:id="0"/>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项目实施进度计划：202</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zh-CN"/>
        </w:rPr>
        <w:t>年</w:t>
      </w:r>
      <w:r>
        <w:rPr>
          <w:rFonts w:hint="default" w:ascii="Times New Roman" w:hAnsi="Times New Roman" w:eastAsia="仿宋_GB2312" w:cs="Times New Roman"/>
          <w:sz w:val="32"/>
          <w:szCs w:val="32"/>
        </w:rPr>
        <w:t>10</w:t>
      </w:r>
      <w:r>
        <w:rPr>
          <w:rFonts w:hint="default" w:ascii="Times New Roman" w:hAnsi="Times New Roman" w:eastAsia="仿宋_GB2312" w:cs="Times New Roman"/>
          <w:sz w:val="32"/>
          <w:szCs w:val="32"/>
          <w:lang w:val="zh-CN"/>
        </w:rPr>
        <w:t>月—</w:t>
      </w:r>
      <w:r>
        <w:rPr>
          <w:rFonts w:hint="default" w:ascii="Times New Roman" w:hAnsi="Times New Roman" w:eastAsia="仿宋_GB2312" w:cs="Times New Roman"/>
          <w:sz w:val="32"/>
          <w:szCs w:val="32"/>
        </w:rPr>
        <w:t>11</w:t>
      </w:r>
      <w:r>
        <w:rPr>
          <w:rFonts w:hint="default" w:ascii="Times New Roman" w:hAnsi="Times New Roman" w:eastAsia="仿宋_GB2312" w:cs="Times New Roman"/>
          <w:sz w:val="32"/>
          <w:szCs w:val="32"/>
          <w:lang w:val="zh-CN"/>
        </w:rPr>
        <w:t>月进行监督抽样和样品检测；</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202</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zh-CN"/>
        </w:rPr>
        <w:t>年</w:t>
      </w:r>
      <w:r>
        <w:rPr>
          <w:rFonts w:hint="default" w:ascii="Times New Roman" w:hAnsi="Times New Roman" w:eastAsia="仿宋_GB2312" w:cs="Times New Roman"/>
          <w:sz w:val="32"/>
          <w:szCs w:val="32"/>
        </w:rPr>
        <w:t>12</w:t>
      </w:r>
      <w:r>
        <w:rPr>
          <w:rFonts w:hint="default" w:ascii="Times New Roman" w:hAnsi="Times New Roman" w:eastAsia="仿宋_GB2312" w:cs="Times New Roman"/>
          <w:sz w:val="32"/>
          <w:szCs w:val="32"/>
          <w:lang w:val="zh-CN"/>
        </w:rPr>
        <w:t>月对抽样不合格的生产企业和流通企业进行后处理；</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（三）项目自评步骤及方法</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1.由攀西钒钛检验检测院负责对农资、建筑建材、车用汽柴油、危险化学品等12种产品，</w:t>
      </w:r>
      <w:r>
        <w:rPr>
          <w:rFonts w:hint="default" w:ascii="Times New Roman" w:hAnsi="Times New Roman" w:eastAsia="仿宋_GB2312" w:cs="Times New Roman"/>
          <w:sz w:val="32"/>
          <w:szCs w:val="32"/>
        </w:rPr>
        <w:t>52</w:t>
      </w:r>
      <w:r>
        <w:rPr>
          <w:rFonts w:hint="default" w:ascii="Times New Roman" w:hAnsi="Times New Roman" w:eastAsia="仿宋_GB2312" w:cs="Times New Roman"/>
          <w:sz w:val="32"/>
          <w:szCs w:val="32"/>
          <w:lang w:val="zh-CN"/>
        </w:rPr>
        <w:t>组样品实施质量抽检，抽查范围涉及生产流域和流通领域。</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2. 由盐边县市场监督管理局对抽样不合格的生产企业和流通企业进行后处理</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3.项目绩效目标评价。开展202</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zh-CN"/>
        </w:rPr>
        <w:t>年项目绩效目标自评工作，盐边县市场监督管理局根据抽样结果，对生产和流通领域产品质量监督抽查合格率分别进行计算，并填报202</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zh-CN"/>
        </w:rPr>
        <w:t>年度省级知识产权专项资金绩效目标自评表。</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（一）项目资金申报及批复情况。</w:t>
      </w:r>
    </w:p>
    <w:p>
      <w:pPr>
        <w:keepNext w:val="0"/>
        <w:keepLines w:val="0"/>
        <w:pageBreakBefore w:val="0"/>
        <w:kinsoku/>
        <w:wordWrap/>
        <w:overflowPunct/>
        <w:topLinePunct w:val="0"/>
        <w:autoSpaceDE w:val="0"/>
        <w:autoSpaceDN w:val="0"/>
        <w:bidi w:val="0"/>
        <w:adjustRightInd w:val="0"/>
        <w:spacing w:line="560" w:lineRule="exact"/>
        <w:ind w:left="0" w:right="0" w:firstLine="800" w:firstLineChars="25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我局以盐边市管〔2021〕39号《盐边县市场监督管理局关于解决2021年度重点产（商）品监督抽检经费的请示》向县政府请示拨付抽检经费7.28万元，盐财资行〔2021〕460号下达2021年度重点产（商）品监督抽检专项经费7.28万元。</w:t>
      </w:r>
    </w:p>
    <w:p>
      <w:pPr>
        <w:keepNext w:val="0"/>
        <w:keepLines w:val="0"/>
        <w:pageBreakBefore w:val="0"/>
        <w:kinsoku/>
        <w:wordWrap/>
        <w:overflowPunct/>
        <w:topLinePunct w:val="0"/>
        <w:bidi w:val="0"/>
        <w:spacing w:line="560" w:lineRule="exact"/>
        <w:ind w:left="0" w:right="0" w:firstLine="320" w:firstLineChars="1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（二）资金计划、到位及使用情况。</w:t>
      </w:r>
    </w:p>
    <w:p>
      <w:pPr>
        <w:keepNext w:val="0"/>
        <w:keepLines w:val="0"/>
        <w:pageBreakBefore w:val="0"/>
        <w:kinsoku/>
        <w:wordWrap/>
        <w:overflowPunct/>
        <w:topLinePunct w:val="0"/>
        <w:bidi w:val="0"/>
        <w:spacing w:line="560" w:lineRule="exact"/>
        <w:ind w:left="0" w:right="0"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1.资金计划。</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sz w:val="32"/>
          <w:szCs w:val="32"/>
        </w:rPr>
        <w:t>全年计划开展生产领域产品和流通领域重点商品抽检52批次，抽检预算1400元/批次，计划产生费用7.28万元</w:t>
      </w:r>
    </w:p>
    <w:p>
      <w:pPr>
        <w:keepNext w:val="0"/>
        <w:keepLines w:val="0"/>
        <w:pageBreakBefore w:val="0"/>
        <w:kinsoku/>
        <w:wordWrap/>
        <w:overflowPunct/>
        <w:topLinePunct w:val="0"/>
        <w:bidi w:val="0"/>
        <w:spacing w:line="560" w:lineRule="exact"/>
        <w:ind w:left="0" w:right="0"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2.资金到位。</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我局以盐边市管〔2021〕39号《盐边县市场监督管理局关于解决2021年度重点产（商）品监督抽检经费的请示》向县政府请示拨付抽检经费7.28万元，盐财资行〔2021〕460号下达2021年度重点产（商）品监督抽检专项经费7.28万元。</w:t>
      </w:r>
    </w:p>
    <w:p>
      <w:pPr>
        <w:keepNext w:val="0"/>
        <w:keepLines w:val="0"/>
        <w:pageBreakBefore w:val="0"/>
        <w:kinsoku/>
        <w:wordWrap/>
        <w:overflowPunct/>
        <w:topLinePunct w:val="0"/>
        <w:bidi w:val="0"/>
        <w:spacing w:line="560" w:lineRule="exact"/>
        <w:ind w:left="0" w:right="0"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3.资金使用。</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截止评价时点该项目资金已全部使用完，支付2021年度重点产（商）品抽检经费7.28万元。资金开支范围、支付依据合规合法，资金支付与预算相符。</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（三）项目财务管理情况。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重点产（商）品抽检监测专项经费实行专款专用，严格执行财务管理制度，账务处理及时，会计核算规范。</w:t>
      </w:r>
    </w:p>
    <w:p>
      <w:pPr>
        <w:keepNext w:val="0"/>
        <w:keepLines w:val="0"/>
        <w:pageBreakBefore w:val="0"/>
        <w:kinsoku/>
        <w:wordWrap/>
        <w:overflowPunct/>
        <w:topLinePunct w:val="0"/>
        <w:bidi w:val="0"/>
        <w:adjustRightInd w:val="0"/>
        <w:snapToGrid w:val="0"/>
        <w:spacing w:line="560" w:lineRule="exact"/>
        <w:ind w:left="0" w:right="0" w:firstLine="800" w:firstLineChars="25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（一）项目组织架构及实施流程。</w:t>
      </w:r>
      <w:r>
        <w:rPr>
          <w:rFonts w:hint="default" w:ascii="Times New Roman" w:hAnsi="Times New Roman" w:eastAsia="仿宋_GB2312" w:cs="Times New Roman"/>
          <w:sz w:val="32"/>
          <w:szCs w:val="32"/>
          <w:lang w:val="zh-CN"/>
        </w:rPr>
        <w:t>实施项目的准备和保障，包括分析抽检产品，咨询抽检项目，制定抽检计划，人员保障。项目实施的工作流程和组织方式，主要包括：根据上级要求和市场监管发现或消费者申诉热点，安排工业产（商）品抽检产品和项目，摸底本地区销售情况，将建立项目研究管理制度及项目经费管理制度，建立项目资金使用专账，并由专业财务人员管理，实现项目资金规范合理化使用，专款专用，保障项目顺利实施。</w:t>
      </w:r>
    </w:p>
    <w:p>
      <w:pPr>
        <w:keepNext w:val="0"/>
        <w:keepLines w:val="0"/>
        <w:pageBreakBefore w:val="0"/>
        <w:kinsoku/>
        <w:wordWrap/>
        <w:overflowPunct/>
        <w:topLinePunct w:val="0"/>
        <w:bidi w:val="0"/>
        <w:adjustRightInd w:val="0"/>
        <w:snapToGrid w:val="0"/>
        <w:spacing w:line="560" w:lineRule="exact"/>
        <w:ind w:left="0" w:right="0" w:firstLine="482" w:firstLineChars="15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（二）项目管理情况。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b/>
          <w:color w:val="000000"/>
          <w:sz w:val="32"/>
          <w:szCs w:val="32"/>
          <w:lang w:val="zh-CN"/>
        </w:rPr>
      </w:pPr>
      <w:r>
        <w:rPr>
          <w:rFonts w:hint="default" w:ascii="Times New Roman" w:hAnsi="Times New Roman" w:eastAsia="仿宋_GB2312" w:cs="Times New Roman"/>
          <w:color w:val="000000"/>
          <w:kern w:val="0"/>
          <w:sz w:val="32"/>
          <w:szCs w:val="32"/>
        </w:rPr>
        <w:t>承检机构程序合法、记录齐备、按照抽检计划完成抽检任务。对检验数据的真实性、准确性负责，结合项目特点，严格按照《抽检监测实施细则》中的要求落实。</w:t>
      </w:r>
    </w:p>
    <w:p>
      <w:pPr>
        <w:keepNext w:val="0"/>
        <w:keepLines w:val="0"/>
        <w:pageBreakBefore w:val="0"/>
        <w:numPr>
          <w:ilvl w:val="0"/>
          <w:numId w:val="1"/>
        </w:numPr>
        <w:kinsoku/>
        <w:wordWrap/>
        <w:overflowPunct/>
        <w:topLinePunct w:val="0"/>
        <w:bidi w:val="0"/>
        <w:adjustRightInd w:val="0"/>
        <w:snapToGrid w:val="0"/>
        <w:spacing w:line="560" w:lineRule="exact"/>
        <w:ind w:left="0" w:right="0" w:firstLine="720"/>
        <w:textAlignment w:val="auto"/>
        <w:rPr>
          <w:rFonts w:hint="default" w:ascii="Times New Roman" w:hAnsi="Times New Roman" w:eastAsia="楷体_GB2312" w:cs="Times New Roman"/>
          <w:b/>
          <w:color w:val="000000"/>
          <w:sz w:val="32"/>
          <w:szCs w:val="32"/>
          <w:lang w:val="zh-CN"/>
        </w:rPr>
      </w:pPr>
      <w:r>
        <w:rPr>
          <w:rFonts w:hint="default" w:ascii="Times New Roman" w:hAnsi="Times New Roman" w:eastAsia="楷体_GB2312" w:cs="Times New Roman"/>
          <w:b/>
          <w:color w:val="000000"/>
          <w:sz w:val="32"/>
          <w:szCs w:val="32"/>
          <w:lang w:val="zh-CN"/>
        </w:rPr>
        <w:t>项目监管情况。</w:t>
      </w:r>
    </w:p>
    <w:p>
      <w:pPr>
        <w:keepNext w:val="0"/>
        <w:keepLines w:val="0"/>
        <w:pageBreakBefore w:val="0"/>
        <w:kinsoku/>
        <w:wordWrap/>
        <w:overflowPunct/>
        <w:topLinePunct w:val="0"/>
        <w:bidi w:val="0"/>
        <w:adjustRightInd w:val="0"/>
        <w:snapToGrid w:val="0"/>
        <w:spacing w:line="560" w:lineRule="exact"/>
        <w:ind w:left="0" w:right="0" w:firstLine="640" w:firstLineChars="200"/>
        <w:textAlignment w:val="auto"/>
        <w:rPr>
          <w:rFonts w:hint="default" w:ascii="Times New Roman" w:hAnsi="Times New Roman" w:eastAsia="楷体_GB2312" w:cs="Times New Roman"/>
          <w:b/>
          <w:color w:val="000000"/>
          <w:sz w:val="32"/>
          <w:szCs w:val="32"/>
          <w:lang w:val="zh-CN"/>
        </w:rPr>
      </w:pPr>
      <w:r>
        <w:rPr>
          <w:rFonts w:hint="default" w:ascii="Times New Roman" w:hAnsi="Times New Roman" w:eastAsia="仿宋_GB2312" w:cs="Times New Roman"/>
          <w:color w:val="000000"/>
          <w:kern w:val="0"/>
          <w:sz w:val="32"/>
          <w:szCs w:val="32"/>
        </w:rPr>
        <w:t>对承检机构的资质检验，对抽样人员和检测人员的资质检验，抽样必须两人进行，对产品保存、标识严格按照标准进行，检验报告要有检验人员签字，盖检验机构鲜章。</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黑体" w:cs="Times New Roman"/>
          <w:sz w:val="32"/>
          <w:szCs w:val="32"/>
        </w:rPr>
        <w:t>四、项目绩效情况</w:t>
      </w:r>
      <w:r>
        <w:rPr>
          <w:rFonts w:hint="default" w:ascii="Times New Roman" w:hAnsi="Times New Roman" w:eastAsia="仿宋_GB2312" w:cs="Times New Roman"/>
          <w:sz w:val="32"/>
          <w:szCs w:val="32"/>
          <w:lang w:val="zh-CN"/>
        </w:rPr>
        <w:tab/>
      </w:r>
    </w:p>
    <w:p>
      <w:pPr>
        <w:keepNext w:val="0"/>
        <w:keepLines w:val="0"/>
        <w:pageBreakBefore w:val="0"/>
        <w:kinsoku/>
        <w:wordWrap/>
        <w:overflowPunct/>
        <w:topLinePunct w:val="0"/>
        <w:bidi w:val="0"/>
        <w:adjustRightInd w:val="0"/>
        <w:snapToGrid w:val="0"/>
        <w:spacing w:line="560" w:lineRule="exact"/>
        <w:ind w:left="0" w:right="0" w:firstLine="643" w:firstLineChars="20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（一）项目完成情况</w:t>
      </w:r>
    </w:p>
    <w:p>
      <w:pPr>
        <w:keepNext w:val="0"/>
        <w:keepLines w:val="0"/>
        <w:pageBreakBefore w:val="0"/>
        <w:kinsoku/>
        <w:wordWrap/>
        <w:overflowPunct/>
        <w:topLinePunct w:val="0"/>
        <w:bidi w:val="0"/>
        <w:adjustRightInd w:val="0"/>
        <w:snapToGrid w:val="0"/>
        <w:spacing w:line="560" w:lineRule="exact"/>
        <w:ind w:left="0" w:right="0" w:firstLine="800" w:firstLineChars="250"/>
        <w:textAlignment w:val="auto"/>
        <w:rPr>
          <w:rFonts w:hint="default" w:ascii="Times New Roman" w:hAnsi="Times New Roman" w:eastAsia="楷体_GB2312" w:cs="Times New Roman"/>
          <w:b/>
          <w:sz w:val="32"/>
          <w:szCs w:val="32"/>
        </w:rPr>
      </w:pPr>
      <w:r>
        <w:rPr>
          <w:rFonts w:hint="default" w:ascii="Times New Roman" w:hAnsi="Times New Roman" w:eastAsia="方正仿宋_GBK" w:cs="Times New Roman"/>
          <w:kern w:val="0"/>
          <w:sz w:val="32"/>
          <w:szCs w:val="32"/>
        </w:rPr>
        <w:t>2021年10月至11月，完成对农资、建筑建材、车用汽柴油、危险化学品等12种产品，52组样品实施了质量抽检。生产领域产品质量监督抽查合格率100%，流通领域产品质量监督抽查不合格率22.4%，有效地完成了各项指标。</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（二）项目效益情况</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1、市场经营秩序得到进一步规范，切实保护消费者合法权益不受侵犯，有效地保护了消费者权益不受侵害。</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2、群众对工业产（商）品质量满意度提升。</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pPr>
        <w:pStyle w:val="7"/>
        <w:keepNext w:val="0"/>
        <w:keepLines w:val="0"/>
        <w:pageBreakBefore w:val="0"/>
        <w:widowControl/>
        <w:shd w:val="clear" w:color="auto" w:fill="FFFFFF"/>
        <w:kinsoku/>
        <w:wordWrap/>
        <w:overflowPunct/>
        <w:topLinePunct w:val="0"/>
        <w:bidi w:val="0"/>
        <w:spacing w:before="0" w:beforeAutospacing="0" w:after="0" w:afterAutospacing="0" w:line="560" w:lineRule="exact"/>
        <w:ind w:left="0" w:right="0"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项目按预计计划执行，符合相关要求。项目完成合同规定任务指标，成效明显。项目资金预决算符合规定。无存在问题，无改进建议。</w:t>
      </w:r>
    </w:p>
    <w:p>
      <w:pPr>
        <w:pStyle w:val="7"/>
        <w:keepNext w:val="0"/>
        <w:keepLines w:val="0"/>
        <w:pageBreakBefore w:val="0"/>
        <w:widowControl/>
        <w:shd w:val="clear" w:color="auto" w:fill="FFFFFF"/>
        <w:kinsoku/>
        <w:wordWrap/>
        <w:overflowPunct/>
        <w:topLinePunct w:val="0"/>
        <w:bidi w:val="0"/>
        <w:spacing w:before="0" w:beforeAutospacing="0" w:after="0" w:afterAutospacing="0" w:line="560" w:lineRule="exact"/>
        <w:ind w:left="0" w:right="0"/>
        <w:textAlignment w:val="auto"/>
        <w:rPr>
          <w:rFonts w:hint="default" w:ascii="Times New Roman" w:hAnsi="Times New Roman" w:eastAsia="微软雅黑" w:cs="Times New Roman"/>
          <w:color w:val="333333"/>
          <w:szCs w:val="24"/>
        </w:rPr>
      </w:pP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color w:val="FF0000"/>
          <w:sz w:val="32"/>
          <w:szCs w:val="32"/>
        </w:rPr>
      </w:pPr>
    </w:p>
    <w:p>
      <w:pPr>
        <w:pStyle w:val="3"/>
        <w:keepNext w:val="0"/>
        <w:keepLines w:val="0"/>
        <w:pageBreakBefore w:val="0"/>
        <w:kinsoku/>
        <w:wordWrap/>
        <w:overflowPunct/>
        <w:topLinePunct w:val="0"/>
        <w:bidi w:val="0"/>
        <w:spacing w:line="560" w:lineRule="exact"/>
        <w:ind w:left="0" w:right="0" w:firstLine="1980" w:firstLineChars="450"/>
        <w:textAlignment w:val="auto"/>
        <w:rPr>
          <w:rFonts w:hint="default" w:ascii="Times New Roman" w:hAnsi="Times New Roman" w:eastAsia="方正小标宋简体" w:cs="Times New Roman"/>
          <w:sz w:val="44"/>
          <w:szCs w:val="44"/>
        </w:rPr>
      </w:pPr>
    </w:p>
    <w:p>
      <w:pPr>
        <w:pStyle w:val="3"/>
        <w:keepNext w:val="0"/>
        <w:keepLines w:val="0"/>
        <w:pageBreakBefore w:val="0"/>
        <w:kinsoku/>
        <w:wordWrap/>
        <w:overflowPunct/>
        <w:topLinePunct w:val="0"/>
        <w:bidi w:val="0"/>
        <w:spacing w:line="560" w:lineRule="exact"/>
        <w:ind w:left="0" w:right="0" w:firstLine="1980" w:firstLineChars="450"/>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盐边县市场监督管理局</w:t>
      </w: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进口冷链食品集中监管仓建设及运行费用</w:t>
      </w: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绩效自评报告</w:t>
      </w:r>
    </w:p>
    <w:p>
      <w:pPr>
        <w:pStyle w:val="3"/>
        <w:keepNext w:val="0"/>
        <w:keepLines w:val="0"/>
        <w:pageBreakBefore w:val="0"/>
        <w:kinsoku/>
        <w:wordWrap/>
        <w:overflowPunct/>
        <w:topLinePunct w:val="0"/>
        <w:bidi w:val="0"/>
        <w:spacing w:line="560" w:lineRule="exact"/>
        <w:ind w:left="0" w:right="0" w:firstLine="640" w:firstLineChars="200"/>
        <w:jc w:val="left"/>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一、项目概况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（一）项目基本情况。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cs="Times New Roman"/>
          <w:shd w:val="clear" w:color="auto" w:fill="FFFFFF"/>
        </w:rPr>
      </w:pPr>
      <w:r>
        <w:rPr>
          <w:rFonts w:hint="default" w:ascii="Times New Roman" w:hAnsi="Times New Roman" w:eastAsia="仿宋_GB2312" w:cs="Times New Roman"/>
          <w:kern w:val="0"/>
          <w:sz w:val="32"/>
          <w:szCs w:val="32"/>
        </w:rPr>
        <w:t>1．</w:t>
      </w:r>
      <w:r>
        <w:rPr>
          <w:rFonts w:hint="eastAsia" w:eastAsia="仿宋_GB2312" w:cs="Times New Roman"/>
          <w:kern w:val="0"/>
          <w:sz w:val="32"/>
          <w:szCs w:val="32"/>
          <w:lang w:eastAsia="zh-CN"/>
        </w:rPr>
        <w:t>盐边县市场监督管理局</w:t>
      </w:r>
      <w:r>
        <w:rPr>
          <w:rFonts w:hint="default" w:ascii="Times New Roman" w:hAnsi="Times New Roman" w:eastAsia="仿宋_GB2312" w:cs="Times New Roman"/>
          <w:sz w:val="32"/>
          <w:szCs w:val="32"/>
          <w:shd w:val="clear" w:color="auto" w:fill="FFFFFF"/>
        </w:rPr>
        <w:t>成立集中监管仓驻仓工作组，明确职责分工，强化联动协作，统筹做好集中监管仓日常管理工作。建立健全信息互通、应急处置等工作机制，并根据集中监管仓操作、消毒技术、核酸检测、工作人员防护四项指南，结合实际细化规范操作流程，形成责任明晰、组织严密、无缝衔接、运转高效的工作体系，严格守好进口冷链食品落地关口。</w:t>
      </w:r>
      <w:r>
        <w:rPr>
          <w:rFonts w:hint="default" w:ascii="Times New Roman" w:hAnsi="Times New Roman" w:cs="Times New Roman"/>
          <w:shd w:val="clear" w:color="auto" w:fill="FFFFFF"/>
        </w:rPr>
        <w:t xml:space="preserve">     </w:t>
      </w:r>
    </w:p>
    <w:p>
      <w:pPr>
        <w:keepNext w:val="0"/>
        <w:keepLines w:val="0"/>
        <w:pageBreakBefore w:val="0"/>
        <w:kinsoku/>
        <w:wordWrap/>
        <w:overflowPunct/>
        <w:topLinePunct w:val="0"/>
        <w:autoSpaceDE w:val="0"/>
        <w:autoSpaceDN w:val="0"/>
        <w:bidi w:val="0"/>
        <w:adjustRightInd w:val="0"/>
        <w:spacing w:line="560" w:lineRule="exact"/>
        <w:ind w:left="0" w:right="0" w:firstLine="42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shd w:val="clear" w:color="auto" w:fill="FFFFFF"/>
        </w:rPr>
        <w:t xml:space="preserve">   </w:t>
      </w:r>
      <w:r>
        <w:rPr>
          <w:rFonts w:hint="default" w:ascii="Times New Roman" w:hAnsi="Times New Roman" w:eastAsia="楷体_GB2312" w:cs="Times New Roman"/>
          <w:kern w:val="0"/>
          <w:sz w:val="32"/>
          <w:szCs w:val="32"/>
        </w:rPr>
        <w:t>2．项目立项、资金申报的依据。</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shd w:val="clear" w:color="auto" w:fill="FFFFFF"/>
        </w:rPr>
        <w:t>进口冷链食品到达后本市后首先运抵集中监管仓，依据国务院联防联控机制关于进口冷链食品疫情防控的各项规定，《攀枝花市进口冷链食品集中监管仓运行制度》等9个管理制度和工作指南，进一步细化值班轮换、人员管理、应急处置等措施，确保集中监管仓流程化、规范化运行。</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32"/>
          <w:szCs w:val="32"/>
        </w:rPr>
        <w:t>3．</w:t>
      </w:r>
      <w:r>
        <w:rPr>
          <w:rFonts w:hint="default" w:ascii="Times New Roman" w:hAnsi="Times New Roman" w:eastAsia="楷体_GB2312" w:cs="Times New Roman"/>
          <w:kern w:val="0"/>
          <w:sz w:val="32"/>
          <w:szCs w:val="32"/>
        </w:rPr>
        <w:t>资金管理办法制定范围包括</w:t>
      </w:r>
      <w:r>
        <w:rPr>
          <w:rFonts w:hint="default" w:ascii="Times New Roman" w:hAnsi="Times New Roman" w:eastAsia="仿宋_GB2312" w:cs="Times New Roman"/>
          <w:kern w:val="0"/>
          <w:sz w:val="28"/>
          <w:szCs w:val="28"/>
        </w:rPr>
        <w:t>。</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进口冷链食品消毒费用、进口冷链食品仓储费（含仓库租赁费、水费、电费、设备设施维护）、进口冷链食品仓储、驻仓人员轮换日常生活费用、货物及人员消毒核酸检测费用。</w:t>
      </w:r>
      <w:r>
        <w:rPr>
          <w:rFonts w:hint="default" w:ascii="Times New Roman" w:hAnsi="Times New Roman" w:eastAsia="仿宋_GB2312" w:cs="Times New Roman"/>
          <w:sz w:val="32"/>
          <w:szCs w:val="32"/>
          <w:shd w:val="clear" w:color="auto" w:fill="FFFFFF"/>
        </w:rPr>
        <w:t>结合制度制定资金管理办法，明确项目资金实行专款专用，所有支出据实报销。</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楷体_GB2312" w:cs="Times New Roman"/>
          <w:kern w:val="0"/>
          <w:sz w:val="32"/>
          <w:szCs w:val="32"/>
        </w:rPr>
        <w:t>4．资金分配的原则及考虑因素。</w:t>
      </w:r>
      <w:r>
        <w:rPr>
          <w:rFonts w:hint="default" w:ascii="Times New Roman" w:hAnsi="Times New Roman" w:eastAsia="仿宋_GB2312" w:cs="Times New Roman"/>
          <w:kern w:val="0"/>
          <w:sz w:val="32"/>
          <w:szCs w:val="32"/>
        </w:rPr>
        <w:t>专项资金分配原则坚持科学性、合理性、高效性，围绕冷链集中监管仓具体工作开展情况，按实际开支分配经费。</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（二）项目绩效目标。</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1．项目主要内容。</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shd w:val="clear" w:color="auto" w:fill="FFFFFF"/>
        </w:rPr>
        <w:t>攀枝花以冷链食品作为“物防”重点，坚持冷链食品风险防范与从业人员健康防护并重，围绕物流链和产业链从进口、运输、贮存、加工、销售、餐饮等环节持续加强防控。</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2．项目应实现的具体绩效目标，包括目标的量化、细化情况以及项目实施进度计划等。</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具体包括阻断进口冷链食品新冠疫情传播，有效阻断新冠病毒通过进口冷链食品流入我市，落实进口冷链食品新冠病毒防控常态化，提高疫情防控水平。</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3．分析评价申报内容是否与实际相符，申报目标是否合理可行。</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依据国务院联防联控机制关于进口冷链食品疫情防控的各项规定，《攀枝花市进口冷链食品集中监管仓运行制度》等9个管理制度。</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黑体" w:cs="Times New Roman"/>
          <w:kern w:val="0"/>
          <w:sz w:val="32"/>
          <w:szCs w:val="32"/>
        </w:rPr>
        <w:t>二、项目资金申报及使用情况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（一）项目资金申报及批复情况。</w:t>
      </w:r>
    </w:p>
    <w:p>
      <w:pPr>
        <w:keepNext w:val="0"/>
        <w:keepLines w:val="0"/>
        <w:pageBreakBefore w:val="0"/>
        <w:kinsoku/>
        <w:wordWrap/>
        <w:overflowPunct/>
        <w:topLinePunct w:val="0"/>
        <w:autoSpaceDE w:val="0"/>
        <w:autoSpaceDN w:val="0"/>
        <w:bidi w:val="0"/>
        <w:adjustRightInd w:val="0"/>
        <w:spacing w:line="560" w:lineRule="exact"/>
        <w:ind w:left="0" w:right="0" w:firstLine="800" w:firstLineChars="25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我局以盐边市管〔2021〕20号《盐边县市场监督管理局关于拨付攀枝花市进口冷链食品集中监管仓建设及运行经费的请示》向县政府请示拨付冷链监管仓建设及运行费327601.66元，盐财资行〔2021〕263号下达2021进口冷链监管仓建设及运行专项经费327601.66元</w:t>
      </w:r>
    </w:p>
    <w:p>
      <w:pPr>
        <w:keepNext w:val="0"/>
        <w:keepLines w:val="0"/>
        <w:pageBreakBefore w:val="0"/>
        <w:kinsoku/>
        <w:wordWrap/>
        <w:overflowPunct/>
        <w:topLinePunct w:val="0"/>
        <w:autoSpaceDE w:val="0"/>
        <w:autoSpaceDN w:val="0"/>
        <w:bidi w:val="0"/>
        <w:adjustRightInd w:val="0"/>
        <w:spacing w:line="560" w:lineRule="exact"/>
        <w:ind w:left="0" w:right="0" w:firstLine="320" w:firstLineChars="1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（二）资金计划、到位及使用情况。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1．资金计划。</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攀枝花市冷链集中监管仓建设及运行费用由各共县财政共同承担，预计我县财政负担327601.66元。</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2．资金到位。</w:t>
      </w:r>
    </w:p>
    <w:p>
      <w:pPr>
        <w:keepNext w:val="0"/>
        <w:keepLines w:val="0"/>
        <w:pageBreakBefore w:val="0"/>
        <w:kinsoku/>
        <w:wordWrap/>
        <w:overflowPunct/>
        <w:topLinePunct w:val="0"/>
        <w:autoSpaceDE w:val="0"/>
        <w:autoSpaceDN w:val="0"/>
        <w:bidi w:val="0"/>
        <w:adjustRightInd w:val="0"/>
        <w:spacing w:line="560" w:lineRule="exact"/>
        <w:ind w:left="0" w:right="0" w:firstLine="800" w:firstLineChars="25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盐财资行〔2021〕263号下达进口冷链食品集中监管仓建设及运行费用327601.66元。</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3．资金使用。</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截止评价时点该项目资金已全部使用完，支付进口冷链食品监管仓建设及运行费用327601.66元。资金开支范围、支付依据合规合法，资金支付与预算相符。</w:t>
      </w:r>
    </w:p>
    <w:p>
      <w:pPr>
        <w:keepNext w:val="0"/>
        <w:keepLines w:val="0"/>
        <w:pageBreakBefore w:val="0"/>
        <w:kinsoku/>
        <w:wordWrap/>
        <w:overflowPunct/>
        <w:topLinePunct w:val="0"/>
        <w:autoSpaceDE w:val="0"/>
        <w:autoSpaceDN w:val="0"/>
        <w:bidi w:val="0"/>
        <w:adjustRightInd w:val="0"/>
        <w:spacing w:line="560" w:lineRule="exact"/>
        <w:ind w:left="0" w:right="0" w:firstLine="480" w:firstLineChars="15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（三）项目财务管理情况。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进口冷链食品集中监管仓建设及运行费用实行专款专用，严格执行财务管理制度，账务处理及时，会计核算规范。</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三、项目实施及管理情况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（一）项目组织架构及实施流程。</w:t>
      </w:r>
    </w:p>
    <w:p>
      <w:pPr>
        <w:keepNext w:val="0"/>
        <w:keepLines w:val="0"/>
        <w:pageBreakBefore w:val="0"/>
        <w:kinsoku/>
        <w:wordWrap/>
        <w:overflowPunct/>
        <w:topLinePunct w:val="0"/>
        <w:autoSpaceDE w:val="0"/>
        <w:autoSpaceDN w:val="0"/>
        <w:bidi w:val="0"/>
        <w:adjustRightInd w:val="0"/>
        <w:spacing w:line="560" w:lineRule="exact"/>
        <w:ind w:left="0" w:right="0" w:firstLine="800" w:firstLineChars="25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按照冷链监管仓监管相关要求实施。</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楷体_GB2312" w:cs="Times New Roman"/>
          <w:kern w:val="0"/>
          <w:sz w:val="32"/>
          <w:szCs w:val="32"/>
        </w:rPr>
        <w:t>（二）项目管理情况。</w:t>
      </w:r>
      <w:r>
        <w:rPr>
          <w:rFonts w:hint="default" w:ascii="Times New Roman" w:hAnsi="Times New Roman" w:eastAsia="仿宋_GB2312" w:cs="Times New Roman"/>
          <w:kern w:val="0"/>
          <w:sz w:val="32"/>
          <w:szCs w:val="32"/>
        </w:rPr>
        <w:t>结合冷链监管仓特点，冷链物流疫情防控专班驻仓工作组将严格按照《四川省进口冷链食品集中监管仓操作指南》《攀枝花市进口冷链食品集中监管仓运行制度》《攀枝花市进口冷链食品集中监管仓操作规程（暂行）》等相关要求、工作流程抓好各项工作落实，确保进口冷链食品集中监管仓高效运行。</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楷体_GB2312" w:cs="Times New Roman"/>
          <w:kern w:val="0"/>
          <w:sz w:val="32"/>
          <w:szCs w:val="32"/>
        </w:rPr>
        <w:t>（三）项目监管情况。</w:t>
      </w:r>
      <w:r>
        <w:rPr>
          <w:rFonts w:hint="default" w:ascii="Times New Roman" w:hAnsi="Times New Roman" w:eastAsia="仿宋_GB2312" w:cs="Times New Roman"/>
          <w:kern w:val="0"/>
          <w:sz w:val="32"/>
          <w:szCs w:val="32"/>
        </w:rPr>
        <w:t>市场监管部门为加强项目管理</w:t>
      </w:r>
      <w:r>
        <w:rPr>
          <w:rFonts w:hint="default" w:ascii="Times New Roman" w:hAnsi="Times New Roman" w:eastAsia="仿宋_GB2312" w:cs="Times New Roman"/>
          <w:sz w:val="32"/>
          <w:szCs w:val="32"/>
          <w:shd w:val="clear" w:color="auto" w:fill="FFFFFF"/>
        </w:rPr>
        <w:t>确保落实进口冷链食品“四个不得、三个专用”，坚决阻断了新冠肺炎病毒通过冷链物流“物传人”途径，筑牢了百姓健康安全底线</w:t>
      </w:r>
      <w:r>
        <w:rPr>
          <w:rFonts w:hint="default" w:ascii="Times New Roman" w:hAnsi="Times New Roman" w:eastAsia="仿宋_GB2312" w:cs="Times New Roman"/>
          <w:kern w:val="0"/>
          <w:sz w:val="32"/>
          <w:szCs w:val="32"/>
        </w:rPr>
        <w:t>。</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四、项目绩效情况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（一）项目完成情况。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包括项目完成数量：包括一年5次轮换，人员25人次，货物消毒及核酸检测、仓储、水电、设备维护等。</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质量指标：消毒和食品仓储完成率100%。</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时效指标：于2022年12月30 日完成。</w:t>
      </w:r>
    </w:p>
    <w:p>
      <w:pPr>
        <w:keepNext w:val="0"/>
        <w:keepLines w:val="0"/>
        <w:pageBreakBefore w:val="0"/>
        <w:kinsoku/>
        <w:wordWrap/>
        <w:overflowPunct/>
        <w:topLinePunct w:val="0"/>
        <w:bidi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成本指标：进口冷链食品消毒，6000元/月×12，合计7.2万；进口冷链食品仓储，15000元/月×12，合计18万/年。共计25.2万、年。</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（二）项目效益情况。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经济效益：阻断进口冷链食品新冠疫情传播，保证社会经济向好向快发展。</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社会效益：有效阻断新冠病毒通过进口冷链食品流入我市，保证社会正常运行。</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可持续影响：落实进口冷链食品新冠病毒防控常态化。</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服务对象满意度：良好，提高社会了疫情防控水平。</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五、评价结论及建议</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（一）评价结论。</w:t>
      </w:r>
    </w:p>
    <w:p>
      <w:pPr>
        <w:keepNext w:val="0"/>
        <w:keepLines w:val="0"/>
        <w:pageBreakBefore w:val="0"/>
        <w:kinsoku/>
        <w:wordWrap/>
        <w:overflowPunct/>
        <w:topLinePunct w:val="0"/>
        <w:autoSpaceDE w:val="0"/>
        <w:autoSpaceDN w:val="0"/>
        <w:bidi w:val="0"/>
        <w:adjustRightInd w:val="0"/>
        <w:spacing w:line="560" w:lineRule="exact"/>
        <w:ind w:left="0" w:right="0" w:firstLine="960" w:firstLineChars="300"/>
        <w:jc w:val="left"/>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一是本项目依规立项；二是本项目管理制度健全，过程严格按相关方案执行；三是本项目资金使用合理合规；四是本项目在数量、质量、时效、成本方面均达到绩效目标，经济效益、社会效益成果显著。</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（二）存在的问题。</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无</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（三）相关建议。</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无</w:t>
      </w:r>
    </w:p>
    <w:p>
      <w:pPr>
        <w:pStyle w:val="3"/>
        <w:keepNext w:val="0"/>
        <w:keepLines w:val="0"/>
        <w:pageBreakBefore w:val="0"/>
        <w:kinsoku/>
        <w:wordWrap/>
        <w:overflowPunct/>
        <w:topLinePunct w:val="0"/>
        <w:bidi w:val="0"/>
        <w:spacing w:line="560" w:lineRule="exact"/>
        <w:ind w:left="0" w:right="0" w:firstLine="640" w:firstLineChars="200"/>
        <w:jc w:val="left"/>
        <w:textAlignment w:val="auto"/>
        <w:rPr>
          <w:rFonts w:hint="default" w:ascii="Times New Roman" w:hAnsi="Times New Roman" w:eastAsia="黑体" w:cs="Times New Roman"/>
          <w:sz w:val="32"/>
          <w:szCs w:val="32"/>
        </w:rPr>
      </w:pPr>
    </w:p>
    <w:p>
      <w:pPr>
        <w:keepNext w:val="0"/>
        <w:keepLines w:val="0"/>
        <w:pageBreakBefore w:val="0"/>
        <w:kinsoku/>
        <w:wordWrap/>
        <w:overflowPunct/>
        <w:topLinePunct w:val="0"/>
        <w:bidi w:val="0"/>
        <w:spacing w:line="560" w:lineRule="exact"/>
        <w:ind w:left="0" w:right="0"/>
        <w:textAlignment w:val="auto"/>
        <w:rPr>
          <w:rFonts w:hint="default" w:ascii="Times New Roman" w:hAnsi="Times New Roman" w:cs="Times New Roman"/>
        </w:rPr>
      </w:pPr>
    </w:p>
    <w:p>
      <w:pPr>
        <w:keepNext w:val="0"/>
        <w:keepLines w:val="0"/>
        <w:pageBreakBefore w:val="0"/>
        <w:kinsoku/>
        <w:wordWrap/>
        <w:overflowPunct/>
        <w:topLinePunct w:val="0"/>
        <w:bidi w:val="0"/>
        <w:spacing w:line="560" w:lineRule="exact"/>
        <w:ind w:left="0" w:right="0"/>
        <w:textAlignment w:val="auto"/>
        <w:rPr>
          <w:rFonts w:hint="default" w:ascii="Times New Roman" w:hAnsi="Times New Roman" w:cs="Times New Roman"/>
        </w:rPr>
      </w:pPr>
    </w:p>
    <w:p>
      <w:pPr>
        <w:keepNext w:val="0"/>
        <w:keepLines w:val="0"/>
        <w:pageBreakBefore w:val="0"/>
        <w:kinsoku/>
        <w:wordWrap/>
        <w:overflowPunct/>
        <w:topLinePunct w:val="0"/>
        <w:bidi w:val="0"/>
        <w:spacing w:line="560" w:lineRule="exact"/>
        <w:ind w:left="0" w:right="0"/>
        <w:textAlignment w:val="auto"/>
        <w:rPr>
          <w:rFonts w:hint="default" w:ascii="Times New Roman" w:hAnsi="Times New Roman" w:cs="Times New Roman"/>
        </w:rPr>
      </w:pPr>
    </w:p>
    <w:p>
      <w:pPr>
        <w:keepNext w:val="0"/>
        <w:keepLines w:val="0"/>
        <w:pageBreakBefore w:val="0"/>
        <w:kinsoku/>
        <w:wordWrap/>
        <w:overflowPunct/>
        <w:topLinePunct w:val="0"/>
        <w:bidi w:val="0"/>
        <w:spacing w:line="560" w:lineRule="exact"/>
        <w:ind w:left="0" w:right="0"/>
        <w:textAlignment w:val="auto"/>
        <w:rPr>
          <w:rFonts w:hint="default" w:ascii="Times New Roman" w:hAnsi="Times New Roman" w:cs="Times New Roman"/>
        </w:rPr>
      </w:pPr>
    </w:p>
    <w:p>
      <w:pPr>
        <w:keepNext w:val="0"/>
        <w:keepLines w:val="0"/>
        <w:pageBreakBefore w:val="0"/>
        <w:kinsoku/>
        <w:wordWrap/>
        <w:overflowPunct/>
        <w:topLinePunct w:val="0"/>
        <w:bidi w:val="0"/>
        <w:spacing w:line="560" w:lineRule="exact"/>
        <w:ind w:left="0" w:right="0"/>
        <w:textAlignment w:val="auto"/>
        <w:rPr>
          <w:rFonts w:hint="default" w:ascii="Times New Roman" w:hAnsi="Times New Roman" w:cs="Times New Roman"/>
        </w:rPr>
      </w:pPr>
    </w:p>
    <w:p>
      <w:pPr>
        <w:keepNext w:val="0"/>
        <w:keepLines w:val="0"/>
        <w:pageBreakBefore w:val="0"/>
        <w:kinsoku/>
        <w:wordWrap/>
        <w:overflowPunct/>
        <w:topLinePunct w:val="0"/>
        <w:bidi w:val="0"/>
        <w:spacing w:line="560" w:lineRule="exact"/>
        <w:ind w:left="0" w:right="0"/>
        <w:textAlignment w:val="auto"/>
        <w:rPr>
          <w:rFonts w:hint="default" w:ascii="Times New Roman" w:hAnsi="Times New Roman" w:cs="Times New Roman"/>
        </w:rPr>
      </w:pPr>
    </w:p>
    <w:p>
      <w:pPr>
        <w:keepNext w:val="0"/>
        <w:keepLines w:val="0"/>
        <w:pageBreakBefore w:val="0"/>
        <w:kinsoku/>
        <w:wordWrap/>
        <w:overflowPunct/>
        <w:topLinePunct w:val="0"/>
        <w:bidi w:val="0"/>
        <w:spacing w:line="560" w:lineRule="exact"/>
        <w:ind w:left="0" w:right="0"/>
        <w:textAlignment w:val="auto"/>
        <w:rPr>
          <w:rFonts w:hint="default" w:ascii="Times New Roman" w:hAnsi="Times New Roman" w:cs="Times New Roman"/>
        </w:rPr>
      </w:pPr>
    </w:p>
    <w:p>
      <w:pPr>
        <w:keepNext w:val="0"/>
        <w:keepLines w:val="0"/>
        <w:pageBreakBefore w:val="0"/>
        <w:kinsoku/>
        <w:wordWrap/>
        <w:overflowPunct/>
        <w:topLinePunct w:val="0"/>
        <w:bidi w:val="0"/>
        <w:spacing w:line="560" w:lineRule="exact"/>
        <w:ind w:left="0" w:right="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盐边县市场监督管理局</w:t>
      </w: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药品抽检资金绩效自评报告</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黑体" w:cs="Times New Roman"/>
          <w:kern w:val="0"/>
          <w:sz w:val="32"/>
          <w:szCs w:val="32"/>
        </w:rPr>
      </w:pP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一、项目概况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（一）项目基本情况。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color w:val="C00000"/>
          <w:kern w:val="0"/>
          <w:sz w:val="32"/>
          <w:szCs w:val="32"/>
        </w:rPr>
      </w:pPr>
      <w:r>
        <w:rPr>
          <w:rFonts w:hint="default" w:ascii="Times New Roman" w:hAnsi="Times New Roman" w:eastAsia="仿宋_GB2312" w:cs="Times New Roman"/>
          <w:kern w:val="0"/>
          <w:sz w:val="32"/>
          <w:szCs w:val="32"/>
        </w:rPr>
        <w:t>1．我局项目管理中的职能。</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为充分发挥药品抽检在发现药品质量问题及风险中的作用，</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切实保障公众用药安全，药品抽检作为一种技术手段，在我国药品监管工作中一直发挥着重要的技术支撑作用。药品抽检从过去以打假治劣、评价质量，逐渐转向尽早发现和防范风险、服务监管、为监管保驾护航为主要目的。</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2．项目立项、资金申报的依据。</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根据《中华人民共和国药品管理法》（ 2019 修订版）第九条“县级以上地方人民政府对本行政区域内的药品监督管理工作负责，统一领导、组织、协调本行政区域内的药品监督管理工作”，第十条“县级以上人民政府应当将药品安全工作纳入本级国民经济和社会发展规划，将药品安全工作经费列入本级政府预算，加强药品监督管理能力建设，为药品安全工作提供保障”的规定，组织实施区域性抽检。</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3．资金管理办法制定情况，资金支持具体项目的条件、范围与支持方式概况。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根据《攀枝花市2021药品抽检实施方案》制定及使用。</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4．资金分配的原则及考虑因素。</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县级药品抽检经费由本级财政予以保障。</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（二）项目绩效目标。</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1．项目主要内容。</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县本级区域性药品抽检20批次。</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2．项目应实现的具体绩效目标，包括目标的量化、细化情况以及项目实施进度计划等。</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中药饮片抽样批次占抽样总批次的30%（±5%）。2021年10月31日前完成药品抽样任务。</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3．分析评价申报内容是否与实际相符，申报目标是否合理可行。</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符合实际，合理可行。</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黑体" w:cs="Times New Roman"/>
          <w:kern w:val="0"/>
          <w:sz w:val="32"/>
          <w:szCs w:val="32"/>
        </w:rPr>
        <w:t>二、项目资金申报及使用情况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（一）项目资金申报及批复情况。</w:t>
      </w:r>
    </w:p>
    <w:p>
      <w:pPr>
        <w:keepNext w:val="0"/>
        <w:keepLines w:val="0"/>
        <w:pageBreakBefore w:val="0"/>
        <w:kinsoku/>
        <w:wordWrap/>
        <w:overflowPunct/>
        <w:topLinePunct w:val="0"/>
        <w:autoSpaceDE w:val="0"/>
        <w:autoSpaceDN w:val="0"/>
        <w:bidi w:val="0"/>
        <w:adjustRightInd w:val="0"/>
        <w:spacing w:line="560" w:lineRule="exact"/>
        <w:ind w:left="0" w:right="0" w:firstLine="800" w:firstLineChars="25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我局以盐边市管〔2021〕27号《盐边县市场监督管理局关于2021年度药品抽检监测专项资金的请示》向县政府请示拨付抽检经费6万元，盐财资行〔2021〕262号下达2021年度药品抽检专项经费6万元。</w:t>
      </w:r>
    </w:p>
    <w:p>
      <w:pPr>
        <w:keepNext w:val="0"/>
        <w:keepLines w:val="0"/>
        <w:pageBreakBefore w:val="0"/>
        <w:kinsoku/>
        <w:wordWrap/>
        <w:overflowPunct/>
        <w:topLinePunct w:val="0"/>
        <w:autoSpaceDE w:val="0"/>
        <w:autoSpaceDN w:val="0"/>
        <w:bidi w:val="0"/>
        <w:adjustRightInd w:val="0"/>
        <w:spacing w:line="560" w:lineRule="exact"/>
        <w:ind w:left="0" w:right="0" w:firstLine="480" w:firstLineChars="15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（二）资金计划、到位及使用情况。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1．资金计划。</w:t>
      </w:r>
    </w:p>
    <w:p>
      <w:pPr>
        <w:keepNext w:val="0"/>
        <w:keepLines w:val="0"/>
        <w:pageBreakBefore w:val="0"/>
        <w:kinsoku/>
        <w:wordWrap/>
        <w:overflowPunct/>
        <w:topLinePunct w:val="0"/>
        <w:autoSpaceDE w:val="0"/>
        <w:autoSpaceDN w:val="0"/>
        <w:bidi w:val="0"/>
        <w:adjustRightInd w:val="0"/>
        <w:spacing w:line="560" w:lineRule="exact"/>
        <w:ind w:left="0" w:right="0" w:firstLine="800" w:firstLineChars="25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我局以盐边市管〔2021〕27号《盐边县市场监督管理局关于2021年度药品抽检监测专项资金的请示》向县政府请示拨付抽检经费6万元，盐财资行〔2021〕262号下达2021年度药品抽检专项经费6万元。</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2．资金到位。</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盐财资行〔2021〕262号下达2021年度药品抽检专项经费6万元。</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3．资金使用。</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截止评价时点该项目资金已全部使用完，支付2021年度药品抽检经费6万元。资金开支范围、支付依据合规合法，资金支付与预算相符。</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（三）项目财务管理情况。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药品抽检监测专项经费实行专款专用，严格执行财务管理制度，账务处理及时，会计核算规范。</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三、项目实施及管理情况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（一）项目组织架构及实施流程。</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局药械化股负责省级及区域性抽样的现场监督检查，做好现场检查记录和影像资料的收集、整理和保存，同时负责区域性抽样样品的购买及抽检数据的收集、整理、汇总和上报。委托攀西钒钛检验检测院负责省级及区域性抽检任务的现场抽样和检验、确认抽样数量和封样工作。</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各市场监管所配合局药械化股完成药品抽样的现场监督检查工作，执法队负责对检验结果为不合格的药品，开展调查处置，并在结案之日起7天内将《行政处罚决定书》报送至局药化械股。</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楷体_GB2312" w:cs="Times New Roman"/>
          <w:kern w:val="0"/>
          <w:sz w:val="32"/>
          <w:szCs w:val="32"/>
        </w:rPr>
        <w:t>（二）项目管理情况。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根据《中华人民共和国药品管理法》（ 2019 修订版）第九条“县级以上地方人民政府对本行政区域内的药品监督管理工作负责，统一领导、组织、协调本行政区域内的药品监督管理工作”，第十条“县级以上人民政府应当将药品安全工作纳入本级国民经济和社会发展规划，将药品安全工作经费列入本级政府预算，加强药品监督管理能力建设，为药品安全工作提供保障”的规定，按照《2021年攀枝花市药品抽检工作实施方案》（攀市监办〔2021〕29号）有关要求，结合我县实际情况，组织实施区域性抽检。</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（三）项目监管情况。</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1.提高被抽样单位覆盖率。应尽量扩大抽样的覆盖面，增强监管抽检的威慑力，原则上一个经营使用单位仅抽一批次样品。提高基层抽样覆盖率，乡镇以下经营和使用环节抽样覆盖率应达到 45%。提高抽样品种针对性，结合季节时令、疾病流行，确定抽样的品种。同一生产企业生产的同一批号产品原则上不得重复抽样。尽量提高监督抽检不合格检出率。加大对存储条件不符合要求、投诉举报集中、违法广告多、低价中标或价格不合理的品种、高风险品种的抽检，最大限度发现不合格药品，提高监督抽检不合格药品的检出率。 </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2.要有针对性抽取不合格的中药材（饮片）。抽样单位对省级抽样的中药材（饮片）抽样批次按抽样任务的10%（±5%）比例抽样，对区域性药品抽样的中药材（饮片）抽样批次按抽样任务的30%（±5%）比例抽样，不抽取已开封的样品。 </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药品抽样按有关法律法规执行。抽样前要对被抽样单位进行监督检查并做好监督检查现场记录，监督检查记录信息要完整、书写要规范，规范填写抽样凭证及封签，做到字迹清楚、书写规范、信息完整准确真实，做好抽样现场影像资料的收集、整理和保存。</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四、项目绩效情况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（一）项目完成情况。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（1）数量指标。全年开展药品区域性抽检20批次，已完成药品监督抽检任务。</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（2）质量指标。中药饮片抽样批次占抽样总批次的30%（±5%）。2021年药品抽检完成率100%，未收到不合格产品检验报告。</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（3）时效指标。已于2021年底完成全年工作。</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成本指标。项目资金主要使用在药品抽验费用。我县区域性药品抽检任务20批次，抽验经费标准为3000元/批，共6万元。费用支出包括样品购买、差旅、交通、水电、维修维护、车辆运行、检验、培训、资料、印刷等。其中样品购买费用600元/批、抽样费300元/批（车辆运行、差旅、交通、资料、印刷）、 检验费2100元/批（检验用试药、试剂、对照品、耗材、水电气、设备损耗、维修维护等）。</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（二）项目效益情况。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（1）经济效益。无</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（2）社会效益。药品总体安全水平不断提高。药品安全科普知识宣传覆盖面，公众自我保护意识不断提高。假冒伪劣产品制售行为得到遏制，2021年未发现药械化假冒伪劣产品制售行为。</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（3）生态效益。无</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（4）可持续影响。药品监管水平、化妆品监管水平、医疗器械监管水平、队伍素质和装备配置水平有所提高。</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五、评价结论及建议</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（一）评价结论。</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2021年我县20批次药品抽检任务已完成，未收到不合格报告。对药品质量问题及风险</w:t>
      </w:r>
      <w:r>
        <w:rPr>
          <w:rStyle w:val="15"/>
          <w:rFonts w:hint="default" w:ascii="Times New Roman" w:hAnsi="Times New Roman" w:cs="Times New Roman"/>
        </w:rPr>
        <w:t>起到了防范作用，切实保障了公众用药安全。</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（二）存在的问题。</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药品检验不合格率有待提升。</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（三）相关建议。</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尽可能加大抽检力度和覆盖率。</w:t>
      </w:r>
    </w:p>
    <w:p>
      <w:pPr>
        <w:pStyle w:val="3"/>
        <w:keepNext w:val="0"/>
        <w:keepLines w:val="0"/>
        <w:pageBreakBefore w:val="0"/>
        <w:kinsoku/>
        <w:wordWrap/>
        <w:overflowPunct/>
        <w:topLinePunct w:val="0"/>
        <w:bidi w:val="0"/>
        <w:spacing w:line="560" w:lineRule="exact"/>
        <w:ind w:left="0" w:right="0" w:firstLine="640" w:firstLineChars="200"/>
        <w:jc w:val="left"/>
        <w:textAlignment w:val="auto"/>
        <w:rPr>
          <w:rFonts w:hint="default" w:ascii="Times New Roman" w:hAnsi="Times New Roman" w:eastAsia="黑体" w:cs="Times New Roman"/>
          <w:sz w:val="32"/>
          <w:szCs w:val="32"/>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黑体" w:cs="Times New Roman"/>
          <w:b/>
          <w:bCs/>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黑体" w:cs="Times New Roman"/>
          <w:b/>
          <w:bCs/>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盐边县市场监督管理局</w:t>
      </w: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新冠肺炎监测工作经费绩效自评报告</w:t>
      </w:r>
    </w:p>
    <w:p>
      <w:pPr>
        <w:keepNext w:val="0"/>
        <w:keepLines w:val="0"/>
        <w:pageBreakBefore w:val="0"/>
        <w:kinsoku/>
        <w:wordWrap/>
        <w:overflowPunct/>
        <w:topLinePunct w:val="0"/>
        <w:bidi w:val="0"/>
        <w:spacing w:line="560" w:lineRule="exact"/>
        <w:ind w:left="0" w:right="0"/>
        <w:textAlignment w:val="auto"/>
        <w:rPr>
          <w:rFonts w:hint="default" w:ascii="Times New Roman" w:hAnsi="Times New Roman" w:cs="Times New Roman"/>
          <w:sz w:val="32"/>
          <w:szCs w:val="32"/>
        </w:rPr>
      </w:pP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一、项目概况</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cs="Times New Roman"/>
        </w:rPr>
      </w:pPr>
      <w:r>
        <w:rPr>
          <w:rFonts w:hint="default" w:ascii="Times New Roman" w:hAnsi="Times New Roman" w:eastAsia="仿宋_GB2312" w:cs="Times New Roman"/>
          <w:sz w:val="32"/>
          <w:szCs w:val="32"/>
          <w:lang w:val="zh-CN"/>
        </w:rPr>
        <w:t>按照《四川省新冠肺炎监测技术方案（第三版修订版）》的要求，为进一步加强新冠肺炎疫情监测预警工作，确保疫情防控“四早”措施落地落实，结合近期国际国内疫情形势，针对人员密集、流动频繁、病毒传播概率增加等情况，现对高风险人群定期进行核酸</w:t>
      </w:r>
      <w:r>
        <w:rPr>
          <w:rFonts w:hint="eastAsia" w:eastAsia="仿宋_GB2312" w:cs="Times New Roman"/>
          <w:sz w:val="32"/>
          <w:szCs w:val="32"/>
          <w:lang w:val="zh-CN"/>
        </w:rPr>
        <w:t>检</w:t>
      </w:r>
      <w:r>
        <w:rPr>
          <w:rFonts w:hint="default" w:ascii="Times New Roman" w:hAnsi="Times New Roman" w:eastAsia="仿宋_GB2312" w:cs="Times New Roman"/>
          <w:sz w:val="32"/>
          <w:szCs w:val="32"/>
          <w:lang w:val="zh-CN"/>
        </w:rPr>
        <w:t>测。</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（一）项目基本情况</w:t>
      </w:r>
    </w:p>
    <w:p>
      <w:pPr>
        <w:pStyle w:val="16"/>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sz w:val="32"/>
          <w:szCs w:val="32"/>
          <w:lang w:val="zh-CN" w:eastAsia="zh-CN" w:bidi="ar-SA"/>
        </w:rPr>
      </w:pPr>
      <w:r>
        <w:rPr>
          <w:rFonts w:hint="default" w:ascii="Times New Roman" w:hAnsi="Times New Roman" w:eastAsia="仿宋_GB2312" w:cs="Times New Roman"/>
          <w:sz w:val="32"/>
          <w:szCs w:val="32"/>
          <w:lang w:val="zh-CN"/>
        </w:rPr>
        <w:t>1．</w:t>
      </w:r>
      <w:r>
        <w:rPr>
          <w:rFonts w:hint="default" w:ascii="Times New Roman" w:hAnsi="Times New Roman" w:eastAsia="仿宋_GB2312" w:cs="Times New Roman"/>
          <w:sz w:val="32"/>
          <w:szCs w:val="32"/>
          <w:lang w:val="zh-CN" w:eastAsia="zh-CN" w:bidi="ar-SA"/>
        </w:rPr>
        <w:t>开展人、物、环境新冠肺炎监测工作，及时发现新冠肺炎传染源，做到早发现、早报告，及时采取防控措施进行处置，防止疫情扩散；了解我县重点场所环境新冠病毒污染状况，及时消除感染隐患；为优化疫情防控策略提供科学依据。</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2．项目立项、资金申报的依据：《四川省新冠肺炎监测技术方案（第三版修订版）》</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 xml:space="preserve">3．资金管理办法： </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资金支持范围：对市场监管系统一线工作人员；农贸（集贸）市场及超市从业人员；农贸（集贸）、市场环境。</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资金支持方向：⑴人员</w:t>
      </w:r>
      <w:r>
        <w:rPr>
          <w:rFonts w:hint="eastAsia" w:eastAsia="仿宋_GB2312" w:cs="Times New Roman"/>
          <w:sz w:val="32"/>
          <w:szCs w:val="32"/>
          <w:lang w:val="zh-CN"/>
        </w:rPr>
        <w:t>核酸检测</w:t>
      </w:r>
      <w:r>
        <w:rPr>
          <w:rFonts w:hint="default" w:ascii="Times New Roman" w:hAnsi="Times New Roman" w:eastAsia="仿宋_GB2312" w:cs="Times New Roman"/>
          <w:sz w:val="32"/>
          <w:szCs w:val="32"/>
          <w:lang w:val="zh-CN"/>
        </w:rPr>
        <w:t>费用；（2）环境</w:t>
      </w:r>
      <w:r>
        <w:rPr>
          <w:rFonts w:hint="eastAsia" w:eastAsia="仿宋_GB2312" w:cs="Times New Roman"/>
          <w:sz w:val="32"/>
          <w:szCs w:val="32"/>
          <w:lang w:val="zh-CN"/>
        </w:rPr>
        <w:t>核酸检测</w:t>
      </w:r>
      <w:r>
        <w:rPr>
          <w:rFonts w:hint="default" w:ascii="Times New Roman" w:hAnsi="Times New Roman" w:eastAsia="仿宋_GB2312" w:cs="Times New Roman"/>
          <w:sz w:val="32"/>
          <w:szCs w:val="32"/>
          <w:lang w:val="zh-CN"/>
        </w:rPr>
        <w:t>费用</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4．资金分配的原则：专项资金分配原则坚持科学性、合理性、高效性，针对市场监管系统一线工作人员；农贸（集贸）市场及超市从业人员；农贸（集贸）、市场环境，按需分配经费。</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（二）项目绩效目标</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1．项目主要内容：</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开展人、物、环境新冠肺炎监测工作，及时发现新冠肺炎传染源，做到早发现、</w:t>
      </w:r>
      <w:bookmarkStart w:id="1" w:name="_GoBack"/>
      <w:bookmarkEnd w:id="1"/>
      <w:r>
        <w:rPr>
          <w:rFonts w:hint="default" w:ascii="Times New Roman" w:hAnsi="Times New Roman" w:eastAsia="仿宋_GB2312" w:cs="Times New Roman"/>
          <w:sz w:val="32"/>
          <w:szCs w:val="32"/>
          <w:lang w:val="zh-CN"/>
        </w:rPr>
        <w:t>早报告，及时采取防控措施进行处置，防止疫情扩散；了解我县重点场所环境新冠病毒污染状况，及时消除感染隐患；为优化疫情防控策略提供科学依据。</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主要包括对市场监管系统一线工作人员；农贸（集贸）市场及超市从业人员；农贸（集贸）、市场环境。</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2．项目应实现的具体绩效目标：⑴一线工作人员，按每周25%的比例抽样，每月完成全员覆盖采样监测；⑵每周选择农贸市场、售卖海鲜的市场（超市）各1家，每个市场至少选择5户商家采样，对5家商户从业人员进行</w:t>
      </w:r>
      <w:r>
        <w:rPr>
          <w:rFonts w:hint="eastAsia" w:eastAsia="仿宋_GB2312" w:cs="Times New Roman"/>
          <w:sz w:val="32"/>
          <w:szCs w:val="32"/>
          <w:lang w:val="zh-CN"/>
        </w:rPr>
        <w:t>核酸检测</w:t>
      </w:r>
      <w:r>
        <w:rPr>
          <w:rFonts w:hint="default" w:ascii="Times New Roman" w:hAnsi="Times New Roman" w:eastAsia="仿宋_GB2312" w:cs="Times New Roman"/>
          <w:sz w:val="32"/>
          <w:szCs w:val="32"/>
          <w:lang w:val="zh-CN"/>
        </w:rPr>
        <w:t>；⑶每月选择农贸市场、售卖海鲜的市场（超市）各1家，每个市场至少选择5户商家对环境、工具、污水、物体表面等进行采样。</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（三）项目自评步骤及方法</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1.由盐边县人民医院，盐边县中医院，盐边县二医院负责对市场监管系统一线工作人员；农贸（集贸）市场及超市从业人员；农贸（集贸）、市场环境进行</w:t>
      </w:r>
      <w:r>
        <w:rPr>
          <w:rFonts w:hint="eastAsia" w:eastAsia="仿宋_GB2312" w:cs="Times New Roman"/>
          <w:sz w:val="32"/>
          <w:szCs w:val="32"/>
          <w:lang w:val="zh-CN"/>
        </w:rPr>
        <w:t>核酸检测</w:t>
      </w:r>
      <w:r>
        <w:rPr>
          <w:rFonts w:hint="default" w:ascii="Times New Roman" w:hAnsi="Times New Roman" w:eastAsia="仿宋_GB2312" w:cs="Times New Roman"/>
          <w:sz w:val="32"/>
          <w:szCs w:val="32"/>
          <w:lang w:val="zh-CN"/>
        </w:rPr>
        <w:t>。</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2.由盐边县市场监督管理局把核酸汇报给县疾控中心。</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3.县疾控中心收集盐边县所有的</w:t>
      </w:r>
      <w:r>
        <w:rPr>
          <w:rFonts w:hint="eastAsia" w:eastAsia="仿宋_GB2312" w:cs="Times New Roman"/>
          <w:sz w:val="32"/>
          <w:szCs w:val="32"/>
          <w:lang w:val="zh-CN"/>
        </w:rPr>
        <w:t>核酸检测</w:t>
      </w:r>
      <w:r>
        <w:rPr>
          <w:rFonts w:hint="default" w:ascii="Times New Roman" w:hAnsi="Times New Roman" w:eastAsia="仿宋_GB2312" w:cs="Times New Roman"/>
          <w:sz w:val="32"/>
          <w:szCs w:val="32"/>
          <w:lang w:val="zh-CN"/>
        </w:rPr>
        <w:t>结果后，上报给省疾控中心。</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（一）项目资金申报及批复情况。</w:t>
      </w:r>
    </w:p>
    <w:p>
      <w:pPr>
        <w:keepNext w:val="0"/>
        <w:keepLines w:val="0"/>
        <w:pageBreakBefore w:val="0"/>
        <w:kinsoku/>
        <w:wordWrap/>
        <w:overflowPunct/>
        <w:topLinePunct w:val="0"/>
        <w:autoSpaceDE w:val="0"/>
        <w:autoSpaceDN w:val="0"/>
        <w:bidi w:val="0"/>
        <w:adjustRightInd w:val="0"/>
        <w:spacing w:line="560" w:lineRule="exact"/>
        <w:ind w:left="0" w:right="0" w:firstLine="800" w:firstLineChars="25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我局以盐边市管〔2020〕88号《盐边县市场监督管理局关于申请解决新冠肺炎监测工作经费的请示》向县政府请示拨付抽检经费10.416万元，盐财资行〔2021〕3号下达2021新冠肺炎监测工作经费10万元。</w:t>
      </w:r>
    </w:p>
    <w:p>
      <w:pPr>
        <w:keepNext w:val="0"/>
        <w:keepLines w:val="0"/>
        <w:pageBreakBefore w:val="0"/>
        <w:kinsoku/>
        <w:wordWrap/>
        <w:overflowPunct/>
        <w:topLinePunct w:val="0"/>
        <w:bidi w:val="0"/>
        <w:spacing w:line="560" w:lineRule="exact"/>
        <w:ind w:left="0" w:right="0" w:firstLine="320" w:firstLineChars="1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（二）资金计划、到位及使用情况。</w:t>
      </w:r>
    </w:p>
    <w:p>
      <w:pPr>
        <w:keepNext w:val="0"/>
        <w:keepLines w:val="0"/>
        <w:pageBreakBefore w:val="0"/>
        <w:kinsoku/>
        <w:wordWrap/>
        <w:overflowPunct/>
        <w:topLinePunct w:val="0"/>
        <w:bidi w:val="0"/>
        <w:spacing w:line="560" w:lineRule="exact"/>
        <w:ind w:left="0" w:right="0"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1.资金计划。</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sz w:val="32"/>
          <w:szCs w:val="32"/>
        </w:rPr>
        <w:t>按照《盐边县应对新型冠状病毒肺炎疫情应急指挥部办公室关于印发&lt;盐边县新冠肺炎监测技术方案（试行）的通知&gt;》（盐边疫指办发〔2020〕7号）文件要求，县市场监管局负责每周选择农贸市场、售卖海鲜的市场（超市）各1家，每个市场至少选择5户商家进行从业人员及农贸市场环境新冠病毒核酸检测，预计抽检费用10.416万元</w:t>
      </w:r>
    </w:p>
    <w:p>
      <w:pPr>
        <w:keepNext w:val="0"/>
        <w:keepLines w:val="0"/>
        <w:pageBreakBefore w:val="0"/>
        <w:kinsoku/>
        <w:wordWrap/>
        <w:overflowPunct/>
        <w:topLinePunct w:val="0"/>
        <w:bidi w:val="0"/>
        <w:spacing w:line="560" w:lineRule="exact"/>
        <w:ind w:left="0" w:right="0"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2.资金到位。</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盐财资行〔2021〕3号下达新冠肺炎监测工作经费10万元。</w:t>
      </w:r>
    </w:p>
    <w:p>
      <w:pPr>
        <w:keepNext w:val="0"/>
        <w:keepLines w:val="0"/>
        <w:pageBreakBefore w:val="0"/>
        <w:kinsoku/>
        <w:wordWrap/>
        <w:overflowPunct/>
        <w:topLinePunct w:val="0"/>
        <w:bidi w:val="0"/>
        <w:spacing w:line="560" w:lineRule="exact"/>
        <w:ind w:left="0" w:right="0" w:firstLine="482" w:firstLineChars="15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3.资金使用。</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截止评价时点该项目资金已使用3.5万元，未使用的资金财政已收回。资金开支范围、支付依据合规合法，资金支付与预算相符。资金使用率35%，其主要原因是年初向县政府报告此笔经费是核酸检测抽检费用较高，当年下调过很多次核酸检测费用，从年初的近100元一次调整为10元一次，导致成本大幅下降。</w:t>
      </w:r>
    </w:p>
    <w:p>
      <w:pPr>
        <w:keepNext w:val="0"/>
        <w:keepLines w:val="0"/>
        <w:pageBreakBefore w:val="0"/>
        <w:kinsoku/>
        <w:wordWrap/>
        <w:overflowPunct/>
        <w:topLinePunct w:val="0"/>
        <w:bidi w:val="0"/>
        <w:spacing w:line="560" w:lineRule="exact"/>
        <w:ind w:left="0" w:right="0" w:firstLine="320" w:firstLineChars="1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（三）项目财务管理情况。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新冠肺炎监测专项经费实行专款专用，严格执行财务管理制度，账务处理及时，会计核算规范。</w:t>
      </w:r>
    </w:p>
    <w:p>
      <w:pPr>
        <w:keepNext w:val="0"/>
        <w:keepLines w:val="0"/>
        <w:pageBreakBefore w:val="0"/>
        <w:kinsoku/>
        <w:wordWrap/>
        <w:overflowPunct/>
        <w:topLinePunct w:val="0"/>
        <w:bidi w:val="0"/>
        <w:adjustRightInd w:val="0"/>
        <w:snapToGrid w:val="0"/>
        <w:spacing w:line="560" w:lineRule="exact"/>
        <w:ind w:left="0" w:right="0"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pPr>
        <w:keepNext w:val="0"/>
        <w:keepLines w:val="0"/>
        <w:pageBreakBefore w:val="0"/>
        <w:kinsoku/>
        <w:wordWrap/>
        <w:overflowPunct/>
        <w:topLinePunct w:val="0"/>
        <w:bidi w:val="0"/>
        <w:adjustRightInd w:val="0"/>
        <w:snapToGrid w:val="0"/>
        <w:spacing w:line="560" w:lineRule="exact"/>
        <w:ind w:left="0" w:right="0" w:firstLine="482" w:firstLineChars="15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（一）项目组织架构及实施流程。</w:t>
      </w:r>
      <w:r>
        <w:rPr>
          <w:rFonts w:hint="default" w:ascii="Times New Roman" w:hAnsi="Times New Roman" w:eastAsia="仿宋_GB2312" w:cs="Times New Roman"/>
          <w:sz w:val="32"/>
          <w:szCs w:val="32"/>
          <w:lang w:val="zh-CN"/>
        </w:rPr>
        <w:t>实施项目的准备和保障，包括分析重点风险人群，制定</w:t>
      </w:r>
      <w:r>
        <w:rPr>
          <w:rFonts w:hint="eastAsia" w:eastAsia="仿宋_GB2312" w:cs="Times New Roman"/>
          <w:sz w:val="32"/>
          <w:szCs w:val="32"/>
          <w:lang w:val="zh-CN"/>
        </w:rPr>
        <w:t>核酸检测</w:t>
      </w:r>
      <w:r>
        <w:rPr>
          <w:rFonts w:hint="default" w:ascii="Times New Roman" w:hAnsi="Times New Roman" w:eastAsia="仿宋_GB2312" w:cs="Times New Roman"/>
          <w:sz w:val="32"/>
          <w:szCs w:val="32"/>
          <w:lang w:val="zh-CN"/>
        </w:rPr>
        <w:t>计划，人员保障。项目实施的工作流程和组织方式，主要包括：根据上级文件要求，安排</w:t>
      </w:r>
      <w:r>
        <w:rPr>
          <w:rFonts w:hint="eastAsia" w:eastAsia="仿宋_GB2312" w:cs="Times New Roman"/>
          <w:sz w:val="32"/>
          <w:szCs w:val="32"/>
          <w:lang w:val="zh-CN"/>
        </w:rPr>
        <w:t>核酸检测</w:t>
      </w:r>
      <w:r>
        <w:rPr>
          <w:rFonts w:hint="default" w:ascii="Times New Roman" w:hAnsi="Times New Roman" w:eastAsia="仿宋_GB2312" w:cs="Times New Roman"/>
          <w:sz w:val="32"/>
          <w:szCs w:val="32"/>
          <w:lang w:val="zh-CN"/>
        </w:rPr>
        <w:t>计划，摸底本地区重点风险人群，建立项目研究管理制度及项目经费管理制度，建立项目资金使用专账，并由专业财务人员管理，实现项目资金规范合理化使用，专款专用，保障项目顺利实施。</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（二）项目管理情况。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b/>
          <w:sz w:val="32"/>
          <w:szCs w:val="32"/>
          <w:lang w:val="zh-CN"/>
        </w:rPr>
      </w:pPr>
      <w:r>
        <w:rPr>
          <w:rFonts w:hint="default" w:ascii="Times New Roman" w:hAnsi="Times New Roman" w:eastAsia="仿宋_GB2312" w:cs="Times New Roman"/>
          <w:kern w:val="0"/>
          <w:sz w:val="32"/>
          <w:szCs w:val="32"/>
        </w:rPr>
        <w:t>承检机构程序合法、记录齐备、按照监测计划完成监测任务。对检验数据的真实性、准确性负责，结合项目特点，严格按照</w:t>
      </w:r>
      <w:r>
        <w:rPr>
          <w:rFonts w:hint="default" w:ascii="Times New Roman" w:hAnsi="Times New Roman" w:eastAsia="仿宋_GB2312" w:cs="Times New Roman"/>
          <w:kern w:val="0"/>
          <w:sz w:val="32"/>
          <w:szCs w:val="32"/>
          <w:lang w:val="zh-CN"/>
        </w:rPr>
        <w:t>《四川省新冠肺炎监测技术方案（第三版修订版）》</w:t>
      </w:r>
      <w:r>
        <w:rPr>
          <w:rFonts w:hint="default" w:ascii="Times New Roman" w:hAnsi="Times New Roman" w:eastAsia="仿宋_GB2312" w:cs="Times New Roman"/>
          <w:kern w:val="0"/>
          <w:sz w:val="32"/>
          <w:szCs w:val="32"/>
        </w:rPr>
        <w:t>中的要求落实。</w:t>
      </w:r>
    </w:p>
    <w:p>
      <w:pPr>
        <w:keepNext w:val="0"/>
        <w:keepLines w:val="0"/>
        <w:pageBreakBefore w:val="0"/>
        <w:numPr>
          <w:ilvl w:val="0"/>
          <w:numId w:val="2"/>
        </w:numPr>
        <w:kinsoku/>
        <w:wordWrap/>
        <w:overflowPunct/>
        <w:topLinePunct w:val="0"/>
        <w:bidi w:val="0"/>
        <w:adjustRightInd w:val="0"/>
        <w:snapToGrid w:val="0"/>
        <w:spacing w:line="560" w:lineRule="exact"/>
        <w:ind w:left="0" w:right="0"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项目监管情况。</w:t>
      </w:r>
    </w:p>
    <w:p>
      <w:pPr>
        <w:keepNext w:val="0"/>
        <w:keepLines w:val="0"/>
        <w:pageBreakBefore w:val="0"/>
        <w:kinsoku/>
        <w:wordWrap/>
        <w:overflowPunct/>
        <w:topLinePunct w:val="0"/>
        <w:bidi w:val="0"/>
        <w:adjustRightInd w:val="0"/>
        <w:snapToGrid w:val="0"/>
        <w:spacing w:line="560" w:lineRule="exact"/>
        <w:ind w:left="0" w:right="0" w:firstLine="640" w:firstLineChars="200"/>
        <w:textAlignment w:val="auto"/>
        <w:rPr>
          <w:rFonts w:hint="default" w:ascii="Times New Roman" w:hAnsi="Times New Roman" w:eastAsia="楷体_GB2312" w:cs="Times New Roman"/>
          <w:b/>
          <w:sz w:val="32"/>
          <w:szCs w:val="32"/>
          <w:lang w:val="zh-CN"/>
        </w:rPr>
      </w:pPr>
      <w:r>
        <w:rPr>
          <w:rFonts w:hint="default" w:ascii="Times New Roman" w:hAnsi="Times New Roman" w:eastAsia="仿宋_GB2312" w:cs="Times New Roman"/>
          <w:kern w:val="0"/>
          <w:sz w:val="32"/>
          <w:szCs w:val="32"/>
        </w:rPr>
        <w:t>对承检机构的资质检验，对抽样人员和监测人员的资质检验，由医院工作人员进行抽样，对被抽样物品保存、标识严格按照标准进行，检验报告要有检验人员签字，盖检验机构鲜章。</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黑体" w:cs="Times New Roman"/>
          <w:sz w:val="32"/>
          <w:szCs w:val="32"/>
        </w:rPr>
        <w:t>四、项目绩效情况</w:t>
      </w:r>
      <w:r>
        <w:rPr>
          <w:rFonts w:hint="default" w:ascii="Times New Roman" w:hAnsi="Times New Roman" w:eastAsia="仿宋_GB2312" w:cs="Times New Roman"/>
          <w:sz w:val="32"/>
          <w:szCs w:val="32"/>
          <w:lang w:val="zh-CN"/>
        </w:rPr>
        <w:tab/>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（一）项目完成情况</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楷体_GB2312" w:cs="Times New Roman"/>
          <w:b/>
          <w:sz w:val="32"/>
          <w:szCs w:val="32"/>
        </w:rPr>
      </w:pPr>
      <w:r>
        <w:rPr>
          <w:rFonts w:hint="default" w:ascii="Times New Roman" w:hAnsi="Times New Roman" w:eastAsia="方正仿宋_GBK" w:cs="Times New Roman"/>
          <w:kern w:val="0"/>
          <w:sz w:val="32"/>
          <w:szCs w:val="32"/>
        </w:rPr>
        <w:t>2021年1月至12月，完成对</w:t>
      </w:r>
      <w:r>
        <w:rPr>
          <w:rFonts w:hint="default" w:ascii="Times New Roman" w:hAnsi="Times New Roman" w:eastAsia="仿宋_GB2312" w:cs="Times New Roman"/>
          <w:sz w:val="32"/>
          <w:szCs w:val="32"/>
          <w:lang w:val="zh-CN"/>
        </w:rPr>
        <w:t>市场监管系统一线工作人员；农贸（集贸）市场及超市从业人员；农贸（集贸）、市场环境</w:t>
      </w:r>
      <w:r>
        <w:rPr>
          <w:rFonts w:hint="eastAsia" w:eastAsia="仿宋_GB2312" w:cs="Times New Roman"/>
          <w:sz w:val="32"/>
          <w:szCs w:val="32"/>
          <w:lang w:val="zh-CN"/>
        </w:rPr>
        <w:t>核酸检测</w:t>
      </w:r>
      <w:r>
        <w:rPr>
          <w:rFonts w:hint="default" w:ascii="Times New Roman" w:hAnsi="Times New Roman" w:eastAsia="仿宋_GB2312" w:cs="Times New Roman"/>
          <w:sz w:val="32"/>
          <w:szCs w:val="32"/>
          <w:lang w:val="zh-CN"/>
        </w:rPr>
        <w:t>，</w:t>
      </w:r>
      <w:r>
        <w:rPr>
          <w:rFonts w:hint="default" w:ascii="Times New Roman" w:hAnsi="Times New Roman" w:eastAsia="方正仿宋_GBK" w:cs="Times New Roman"/>
          <w:kern w:val="0"/>
          <w:sz w:val="32"/>
          <w:szCs w:val="32"/>
        </w:rPr>
        <w:t>阴性率100%。</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（二）项目效益情况</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通过对人、物、环境新冠肺炎监测工作</w:t>
      </w:r>
      <w:r>
        <w:rPr>
          <w:rFonts w:hint="eastAsia" w:eastAsia="方正仿宋_GBK" w:cs="Times New Roman"/>
          <w:kern w:val="0"/>
          <w:sz w:val="32"/>
          <w:szCs w:val="32"/>
          <w:lang w:eastAsia="zh-CN"/>
        </w:rPr>
        <w:t>核酸检测</w:t>
      </w:r>
      <w:r>
        <w:rPr>
          <w:rFonts w:hint="default" w:ascii="Times New Roman" w:hAnsi="Times New Roman" w:eastAsia="仿宋_GB2312" w:cs="Times New Roman"/>
          <w:sz w:val="32"/>
          <w:szCs w:val="32"/>
          <w:lang w:val="zh-CN"/>
        </w:rPr>
        <w:t>及时发现新冠肺炎传染源，做到早发现、早报告，及时采取防控措施进行处置，防止疫情扩散。</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pPr>
        <w:pStyle w:val="7"/>
        <w:keepNext w:val="0"/>
        <w:keepLines w:val="0"/>
        <w:pageBreakBefore w:val="0"/>
        <w:widowControl/>
        <w:shd w:val="clear" w:color="auto" w:fill="FFFFFF"/>
        <w:kinsoku/>
        <w:wordWrap/>
        <w:overflowPunct/>
        <w:topLinePunct w:val="0"/>
        <w:bidi w:val="0"/>
        <w:spacing w:before="0" w:beforeAutospacing="0" w:after="0" w:afterAutospacing="0" w:line="560" w:lineRule="exact"/>
        <w:ind w:left="0" w:right="0"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项目按预计计划执行，符合相关要求。项目完成合同规定任务指标，成效明显。项目资金预决算符合规定。无存在问题，无改进建议。</w:t>
      </w:r>
    </w:p>
    <w:p>
      <w:pPr>
        <w:pStyle w:val="7"/>
        <w:keepNext w:val="0"/>
        <w:keepLines w:val="0"/>
        <w:pageBreakBefore w:val="0"/>
        <w:widowControl/>
        <w:shd w:val="clear" w:color="auto" w:fill="FFFFFF"/>
        <w:kinsoku/>
        <w:wordWrap/>
        <w:overflowPunct/>
        <w:topLinePunct w:val="0"/>
        <w:bidi w:val="0"/>
        <w:spacing w:before="0" w:beforeAutospacing="0" w:after="0" w:afterAutospacing="0" w:line="560" w:lineRule="exact"/>
        <w:ind w:left="0" w:right="0"/>
        <w:textAlignment w:val="auto"/>
        <w:rPr>
          <w:rFonts w:hint="default" w:ascii="Times New Roman" w:hAnsi="Times New Roman" w:eastAsia="微软雅黑" w:cs="Times New Roman"/>
          <w:szCs w:val="2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640" w:lineRule="exact"/>
        <w:ind w:left="0" w:right="0"/>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盐边县市场监督管理局</w:t>
      </w:r>
    </w:p>
    <w:p>
      <w:pPr>
        <w:keepNext w:val="0"/>
        <w:keepLines w:val="0"/>
        <w:pageBreakBefore w:val="0"/>
        <w:widowControl w:val="0"/>
        <w:kinsoku/>
        <w:wordWrap/>
        <w:overflowPunct/>
        <w:topLinePunct w:val="0"/>
        <w:autoSpaceDE/>
        <w:autoSpaceDN/>
        <w:bidi w:val="0"/>
        <w:adjustRightInd/>
        <w:snapToGrid/>
        <w:spacing w:line="640" w:lineRule="exact"/>
        <w:ind w:left="0" w:right="0"/>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农贸市场新冠肺炎疫情防控资金绩效自评报告</w:t>
      </w:r>
    </w:p>
    <w:p>
      <w:pPr>
        <w:pStyle w:val="3"/>
        <w:keepNext w:val="0"/>
        <w:keepLines w:val="0"/>
        <w:pageBreakBefore w:val="0"/>
        <w:kinsoku/>
        <w:wordWrap/>
        <w:overflowPunct/>
        <w:topLinePunct w:val="0"/>
        <w:bidi w:val="0"/>
        <w:spacing w:line="560" w:lineRule="exact"/>
        <w:ind w:left="0" w:right="0" w:firstLine="720" w:firstLineChars="200"/>
        <w:jc w:val="center"/>
        <w:textAlignment w:val="auto"/>
        <w:rPr>
          <w:rFonts w:hint="default" w:ascii="Times New Roman" w:hAnsi="Times New Roman" w:eastAsia="方正小标宋_GBK" w:cs="Times New Roman"/>
          <w:sz w:val="36"/>
          <w:szCs w:val="36"/>
        </w:rPr>
      </w:pP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一、项目概况</w:t>
      </w:r>
    </w:p>
    <w:p>
      <w:pPr>
        <w:pStyle w:val="2"/>
        <w:keepNext w:val="0"/>
        <w:keepLines w:val="0"/>
        <w:pageBreakBefore w:val="0"/>
        <w:kinsoku/>
        <w:wordWrap/>
        <w:overflowPunct/>
        <w:topLinePunct w:val="0"/>
        <w:bidi w:val="0"/>
        <w:spacing w:line="560" w:lineRule="exact"/>
        <w:ind w:left="0" w:right="0" w:firstLine="640" w:firstLineChars="200"/>
        <w:jc w:val="left"/>
        <w:textAlignment w:val="auto"/>
        <w:rPr>
          <w:rFonts w:hint="default" w:ascii="Times New Roman" w:hAnsi="Times New Roman" w:eastAsia="仿宋_GB2312" w:cs="Times New Roman"/>
        </w:rPr>
      </w:pPr>
      <w:r>
        <w:rPr>
          <w:rFonts w:hint="default" w:ascii="Times New Roman" w:hAnsi="Times New Roman" w:eastAsia="仿宋_GB2312" w:cs="Times New Roman"/>
        </w:rPr>
        <w:t>（一）项目基本情况。</w:t>
      </w:r>
    </w:p>
    <w:p>
      <w:pPr>
        <w:pStyle w:val="2"/>
        <w:keepNext w:val="0"/>
        <w:keepLines w:val="0"/>
        <w:pageBreakBefore w:val="0"/>
        <w:kinsoku/>
        <w:wordWrap/>
        <w:overflowPunct/>
        <w:topLinePunct w:val="0"/>
        <w:bidi w:val="0"/>
        <w:spacing w:line="560" w:lineRule="exact"/>
        <w:ind w:left="0" w:right="0" w:firstLine="640" w:firstLineChars="200"/>
        <w:jc w:val="left"/>
        <w:textAlignment w:val="auto"/>
        <w:rPr>
          <w:rFonts w:hint="default" w:ascii="Times New Roman" w:hAnsi="Times New Roman" w:eastAsia="仿宋_GB2312" w:cs="Times New Roman"/>
          <w:kern w:val="0"/>
        </w:rPr>
      </w:pPr>
      <w:r>
        <w:rPr>
          <w:rFonts w:hint="default" w:ascii="Times New Roman" w:hAnsi="Times New Roman" w:eastAsia="仿宋_GB2312" w:cs="Times New Roman"/>
        </w:rPr>
        <w:t>1．盐边县应对新型冠状病毒肺炎疫情应急指挥部市场监管组负责做好新冠肺炎疫情相关商品交易行为监管；对全县农（集）贸市场的监督管理，为统筹推进疫情防控和经济社会发展，督促农贸市场业主做好新冠肺炎疫情常态化防控工作。</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2．项目立项、资金申报的依据。</w:t>
      </w:r>
      <w:r>
        <w:rPr>
          <w:rFonts w:hint="default" w:ascii="Times New Roman" w:hAnsi="Times New Roman" w:eastAsia="仿宋_GB2312" w:cs="Times New Roman"/>
          <w:sz w:val="32"/>
          <w:szCs w:val="32"/>
        </w:rPr>
        <w:t>为贯彻落实党中央国务院、省委省政府、市委市政府、县委县政府近期有关疫情防控的系列决策部署，进一步压实“四方责任”，坚决织密织牢我县的疫情防控网，第一时间发现、管控传染源，切断传播途径，巩固我县的防控成果。根据当前集（农）贸市场新冠肺炎疫情防控形势，需对全县集（农）贸市场新冠肺炎疫情防控工作开展整治，以确保疫情防控安全。</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3．资金管理办法制定情况，资金支持具体项目的条件、范围与支持方式概况。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4．资金分配的原则及考虑因素。</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（二）项目绩效目标。</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1．项目主要内容。</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在农贸市场疫情防控工作中，盐边县应对新型冠状病毒肺炎疫情应急指挥部市场监管组 负责对全县农（ 集） 贸市场的监督管理：</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1.对农贸市场进行集中冲洗，单价1.2万/次，预计6次，共计7.2万元。</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2.鑫盛农贸市场落实两戴一测等疫情防控措施雇佣人员所需费用180元/天/人，预计90天，共计1.62万元。</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鑫盛农贸市场保洁人员费用250元/天/人，预计90天，共计4.5万元。鑫盛农贸市场环境卫生清扫、保洁、消毒所需物资费用（含水、电、消毒物资、清扫工具等物资），共计1.2万元。按照一日一清扫、一日一消毒、一周一大扫除要求。</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4.云归市场、鑫盛农贸市场、红格镇集贸市场、渔门碧兴集贸市场多余出口硬质围挡封闭及后续维护、管理费用，15处，3800元/处，共计5.7万元，每处按平均费用计算。</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5.市场卡点值守招募志愿者费用，预计90天，50元/天/人，共计1.8万元。</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6.集贸市场宣传氛围营造所需广告费用，预计6次，共计2.5万元，含横幅、水牌、宣传单等。</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7.其他集贸市场用于疫情防控有关风险控制所需费用，如临时性购买其他所需防疫物资等，共计1.5万元。</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rPr>
        <w:t>以上金额共计21.52万元。</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2．项目应实现的具体绩效目标，包括目标的量化、细化情况以及项目实施进度计划等。</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3．分析评价申报内容是否与实际相符，申报目标是否合理可行。</w:t>
      </w:r>
    </w:p>
    <w:p>
      <w:pPr>
        <w:pStyle w:val="2"/>
        <w:keepNext w:val="0"/>
        <w:keepLines w:val="0"/>
        <w:pageBreakBefore w:val="0"/>
        <w:kinsoku/>
        <w:wordWrap/>
        <w:overflowPunct/>
        <w:topLinePunct w:val="0"/>
        <w:bidi w:val="0"/>
        <w:spacing w:line="560" w:lineRule="exact"/>
        <w:ind w:left="0" w:right="0" w:firstLine="640"/>
        <w:textAlignment w:val="auto"/>
        <w:rPr>
          <w:rFonts w:hint="default" w:ascii="Times New Roman" w:hAnsi="Times New Roman" w:cs="Times New Roman"/>
        </w:rPr>
      </w:pPr>
      <w:r>
        <w:rPr>
          <w:rFonts w:hint="default" w:ascii="Times New Roman" w:hAnsi="Times New Roman" w:eastAsia="仿宋_GB2312" w:cs="Times New Roman"/>
        </w:rPr>
        <w:t>根据《四川省应对新型冠状病毒肺炎疫情应急指挥部关于印发&lt;四川省2021年新冠肺炎疫情防控工作指南第四版&gt;的通知》（川疫指发〔2021〕58号）《盐边县应对新型冠状病毒肺炎疫情应急指挥部疫情防控组关于印发&lt;盐边县新冠肺炎疫情防控工作方案&gt;的通知》（盐防控组〔2021〕63号）《盐边县创建省级文明城市指挥部办公室关于印发&lt;盐边县创建第六届省级文明城市复查行动计划（2021—2023年）&gt;&lt;盐边县创建第六届省级文明城市复查2021年工作安排&gt;的通知》（盐边创文指办〔2021〕4号）等一系列管理制度和措施，加强对农贸市场交易环境的监督管理，申报内容与实际相符，申报目标合理可靠。</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黑体" w:cs="Times New Roman"/>
          <w:kern w:val="0"/>
          <w:sz w:val="32"/>
          <w:szCs w:val="32"/>
        </w:rPr>
        <w:t>二、项目资金申报及使用情况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（一）项目资金申报及批复情况。</w:t>
      </w:r>
    </w:p>
    <w:p>
      <w:pPr>
        <w:keepNext w:val="0"/>
        <w:keepLines w:val="0"/>
        <w:pageBreakBefore w:val="0"/>
        <w:kinsoku/>
        <w:wordWrap/>
        <w:overflowPunct/>
        <w:topLinePunct w:val="0"/>
        <w:autoSpaceDE w:val="0"/>
        <w:autoSpaceDN w:val="0"/>
        <w:bidi w:val="0"/>
        <w:adjustRightInd w:val="0"/>
        <w:spacing w:line="560" w:lineRule="exact"/>
        <w:ind w:left="0" w:right="0" w:firstLine="800" w:firstLineChars="25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我局以盐边市管〔2021〕7号《盐边县市场监督管理局关于申请解决农贸市场新冠肺炎疫情防控专项资金的请示》向县政府请示拨付预估经费19.82万元，盐财资行〔2021〕29号下达2021农贸市场新冠肺炎疫情防控专项资金19.82万元。</w:t>
      </w:r>
    </w:p>
    <w:p>
      <w:pPr>
        <w:keepNext w:val="0"/>
        <w:keepLines w:val="0"/>
        <w:pageBreakBefore w:val="0"/>
        <w:kinsoku/>
        <w:wordWrap/>
        <w:overflowPunct/>
        <w:topLinePunct w:val="0"/>
        <w:autoSpaceDE w:val="0"/>
        <w:autoSpaceDN w:val="0"/>
        <w:bidi w:val="0"/>
        <w:adjustRightInd w:val="0"/>
        <w:spacing w:line="560" w:lineRule="exact"/>
        <w:ind w:left="0" w:right="0" w:firstLine="320" w:firstLineChars="1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（二）资金计划、到位及使用情况。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1．资金计划。</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集（农）贸市场新冠肺炎疫情防控形势，现需对全县集（农）贸市场新冠肺炎疫情防控工作开展集中整治，以确保疫情防控安全，该项工作预计产生以下费用：包含市场环境卫生清扫、消毒、保洁所需人员、物资费用；落实两戴一测等疫情防控措施所需人员、物资费用；市场多余通道封闭及后续管理维护费用；疫情防控宣传氛围营造所需广告费用；其他与疫情防控有关风险控制费用。该项工作预估需专项资金19.82万元</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2．资金到位。</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盐财资行〔2021〕29号下达农贸市场新冠肺炎疫情防控专项资金19.82万元。</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3．资金使用。</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截止评价时点该项目资金已使用8.69万元，未使用的资金财政已收回。资金开支范围、支付依据合规合法，资金支付与预算相符。资金使用率43.84%，其主要原因是年初向县政府报告此笔经费是按预估经费，核算时按实际发生额结算。</w:t>
      </w:r>
    </w:p>
    <w:p>
      <w:pPr>
        <w:keepNext w:val="0"/>
        <w:keepLines w:val="0"/>
        <w:pageBreakBefore w:val="0"/>
        <w:kinsoku/>
        <w:wordWrap/>
        <w:overflowPunct/>
        <w:topLinePunct w:val="0"/>
        <w:autoSpaceDE w:val="0"/>
        <w:autoSpaceDN w:val="0"/>
        <w:bidi w:val="0"/>
        <w:adjustRightInd w:val="0"/>
        <w:spacing w:line="560" w:lineRule="exact"/>
        <w:ind w:left="0" w:right="0" w:firstLine="480" w:firstLineChars="15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（三）项目财务管理情况。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农贸市场新冠肺炎疫情防控专项经费实行专款专用，严格执行财务管理制度，账务处理及时，会计核算规范。</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三、项目实施及管理情况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（一）项目组织架构及实施流程。</w:t>
      </w:r>
    </w:p>
    <w:p>
      <w:pPr>
        <w:keepNext w:val="0"/>
        <w:keepLines w:val="0"/>
        <w:pageBreakBefore w:val="0"/>
        <w:kinsoku/>
        <w:wordWrap/>
        <w:overflowPunct/>
        <w:topLinePunct w:val="0"/>
        <w:bidi w:val="0"/>
        <w:adjustRightInd w:val="0"/>
        <w:snapToGrid w:val="0"/>
        <w:spacing w:line="560" w:lineRule="exact"/>
        <w:ind w:left="0"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zh-CN"/>
        </w:rPr>
        <w:t>实施项目的准备和保障，包括</w:t>
      </w:r>
      <w:r>
        <w:rPr>
          <w:rFonts w:hint="default" w:ascii="Times New Roman" w:hAnsi="Times New Roman" w:eastAsia="仿宋_GB2312" w:cs="Times New Roman"/>
          <w:sz w:val="32"/>
          <w:szCs w:val="32"/>
        </w:rPr>
        <w:t>前期准备、组织实施和分析评价，</w:t>
      </w:r>
      <w:r>
        <w:rPr>
          <w:rFonts w:hint="default" w:ascii="Times New Roman" w:hAnsi="Times New Roman" w:eastAsia="仿宋_GB2312" w:cs="Times New Roman"/>
          <w:sz w:val="32"/>
          <w:szCs w:val="32"/>
          <w:lang w:val="zh-CN"/>
        </w:rPr>
        <w:t>项目实施的工作流程和组织方式，主要包括：</w:t>
      </w:r>
      <w:r>
        <w:rPr>
          <w:rFonts w:hint="default" w:ascii="Times New Roman" w:hAnsi="Times New Roman" w:eastAsia="仿宋_GB2312" w:cs="Times New Roman"/>
          <w:sz w:val="32"/>
          <w:szCs w:val="32"/>
        </w:rPr>
        <w:t>前期准备好</w:t>
      </w:r>
      <w:r>
        <w:rPr>
          <w:rFonts w:hint="default" w:ascii="Times New Roman" w:hAnsi="Times New Roman" w:eastAsia="仿宋_GB2312" w:cs="Times New Roman"/>
          <w:sz w:val="32"/>
          <w:szCs w:val="32"/>
          <w:lang w:val="zh-CN"/>
        </w:rPr>
        <w:t>人员和资金保障，根据上级要求和市场监管职责，做好组织管理、物资设施、环境防控、从业人员防护、广泛宣传及消费者查验，实现项目资金规范合理化使用，专款专用，保障项目顺利实施。</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楷体_GB2312" w:cs="Times New Roman"/>
          <w:kern w:val="0"/>
          <w:sz w:val="32"/>
          <w:szCs w:val="32"/>
        </w:rPr>
        <w:t>（二）项目管理情况。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lang w:val="zh-CN"/>
        </w:rPr>
        <w:t>项目资金规范合理化使用，</w:t>
      </w:r>
      <w:r>
        <w:rPr>
          <w:rFonts w:hint="default" w:ascii="Times New Roman" w:hAnsi="Times New Roman" w:eastAsia="仿宋_GB2312" w:cs="Times New Roman"/>
          <w:kern w:val="0"/>
          <w:sz w:val="32"/>
          <w:szCs w:val="32"/>
        </w:rPr>
        <w:t>全面落实党中央、国务院和省、市关于做好防控工作的决策防控部署，在农贸市场疫情防控方面提高效率，建立疫情防控常态体系。</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楷体_GB2312" w:cs="Times New Roman"/>
          <w:kern w:val="0"/>
          <w:sz w:val="32"/>
          <w:szCs w:val="32"/>
        </w:rPr>
        <w:t>（三）项目监管情况。</w:t>
      </w:r>
    </w:p>
    <w:p>
      <w:pPr>
        <w:keepNext w:val="0"/>
        <w:keepLines w:val="0"/>
        <w:pageBreakBefore w:val="0"/>
        <w:kinsoku/>
        <w:wordWrap/>
        <w:overflowPunct/>
        <w:topLinePunct w:val="0"/>
        <w:bidi w:val="0"/>
        <w:adjustRightInd w:val="0"/>
        <w:snapToGrid w:val="0"/>
        <w:spacing w:line="560" w:lineRule="exact"/>
        <w:ind w:left="0" w:right="0"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完成上级交办的任务，加强农贸市场疫情防控的管理，督促农贸市场业主履行主体责任，对扫码亮码验码戴口罩、场所消杀、经营场所卫生清扫、防疫物资储备、人员体温监测、志愿者到岗值守等情况进行监督，对存在的问题责令业主和经营者立即整改，明确场所疫情防控主要责任人，确保疫情防控措施落实。</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四、项目绩效情况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（一）项目完成情况。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rPr>
        <w:t>盐边县应对新型冠状病毒肺炎疫情应急指挥部市场监管组根据当前集（农）贸市场新冠肺炎疫情防控形势，坚决织密织牢我县的疫情防控网，第一时间发现、管控传染源，切断传播途径，对全县集（农）贸市场新冠肺炎疫情防控工作开展整治，确保疫情防控安全,</w:t>
      </w:r>
      <w:r>
        <w:rPr>
          <w:rFonts w:hint="default" w:ascii="Times New Roman" w:hAnsi="Times New Roman" w:eastAsia="仿宋_GB2312" w:cs="Times New Roman"/>
          <w:sz w:val="32"/>
          <w:szCs w:val="32"/>
          <w:lang w:val="zh-CN"/>
        </w:rPr>
        <w:t>大力改善农贸市场卫生环境。</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（二）项目效益情况。</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一是第一时间发现、管控传染源，切断传播途径，确保疫情防控安全</w:t>
      </w:r>
      <w:r>
        <w:rPr>
          <w:rFonts w:hint="default" w:ascii="Times New Roman" w:hAnsi="Times New Roman" w:eastAsia="仿宋_GB2312" w:cs="Times New Roman"/>
          <w:sz w:val="32"/>
          <w:szCs w:val="32"/>
        </w:rPr>
        <w:t>,二是</w:t>
      </w:r>
      <w:r>
        <w:rPr>
          <w:rFonts w:hint="default" w:ascii="Times New Roman" w:hAnsi="Times New Roman" w:eastAsia="仿宋_GB2312" w:cs="Times New Roman"/>
          <w:sz w:val="32"/>
          <w:szCs w:val="32"/>
          <w:lang w:val="zh-CN"/>
        </w:rPr>
        <w:t>大力改善农贸市场卫生环境，三是市场经营主体法律意识提高，履行疫情防控主体责任，共同打造一个干净卫生安全的经营环境氛围。</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五、评价结论及建议</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（一）评价结论。</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云归市场、鑫盛市场、红格市场、渔门市场设置围栏、增设进口扫码验码人员值守、冲洗市场、加大增设疫情防控宣传画和横幅，</w:t>
      </w:r>
      <w:r>
        <w:rPr>
          <w:rFonts w:hint="default" w:ascii="Times New Roman" w:hAnsi="Times New Roman" w:eastAsia="仿宋_GB2312" w:cs="Times New Roman"/>
          <w:sz w:val="32"/>
          <w:szCs w:val="32"/>
        </w:rPr>
        <w:t>进一步提升疫情防控主体责任意识，落实疫情防控主体责任，促使市场内环境卫生整治、卫生清洁、通风消毒、从业人员防护、加强针接种和未戴口罩人员劝导等工作，严格执行进入人员戴口罩、测温、亮码、扫码通行、一米线等疫情防控措施。</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（二）存在的问题。</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rPr>
        <w:t>农贸市场疫情防控，仅有县市场监管局督促巡查力度是不足的，检查时业主值守和相关疫情防控相关职责基本到位，但其他时段就有松动，值守不到位情况，环境卫生清理不及时等问题。</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楷体_GB2312" w:cs="Times New Roman"/>
          <w:kern w:val="0"/>
          <w:sz w:val="32"/>
          <w:szCs w:val="32"/>
        </w:rPr>
      </w:pPr>
      <w:r>
        <w:rPr>
          <w:rFonts w:hint="default" w:ascii="Times New Roman" w:hAnsi="Times New Roman" w:eastAsia="楷体_GB2312" w:cs="Times New Roman"/>
          <w:kern w:val="0"/>
          <w:sz w:val="32"/>
          <w:szCs w:val="32"/>
        </w:rPr>
        <w:t>（三）相关建议。</w:t>
      </w:r>
    </w:p>
    <w:p>
      <w:pPr>
        <w:keepNext w:val="0"/>
        <w:keepLines w:val="0"/>
        <w:pageBreakBefore w:val="0"/>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建议：属地政府、社区派志愿者参与农贸市场疫情防控值守，保证进出口值守无断档，保证测温、亮码、扫码通行等疫情防控措施落实到位，市场监管局加强对市场内经营户的检查，督促经营户戴好口罩，保持经营场所环境卫生，做好疫情防控相关工作。</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eastAsia" w:ascii="Times New Roman" w:hAnsi="Times New Roman" w:eastAsia="方正小标宋简体" w:cs="Times New Roman"/>
          <w:color w:val="000000"/>
          <w:kern w:val="0"/>
          <w:sz w:val="44"/>
          <w:szCs w:val="44"/>
          <w:lang w:eastAsia="zh-CN"/>
        </w:rPr>
      </w:pPr>
      <w:r>
        <w:rPr>
          <w:rFonts w:hint="eastAsia" w:eastAsia="方正小标宋简体" w:cs="Times New Roman"/>
          <w:color w:val="000000"/>
          <w:kern w:val="0"/>
          <w:sz w:val="44"/>
          <w:szCs w:val="44"/>
          <w:lang w:eastAsia="zh-CN"/>
        </w:rPr>
        <w:t>盐边县市场监督管理局</w:t>
      </w: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2018年专利资助资金绩效自评报告</w:t>
      </w:r>
    </w:p>
    <w:p>
      <w:pPr>
        <w:keepNext w:val="0"/>
        <w:keepLines w:val="0"/>
        <w:pageBreakBefore w:val="0"/>
        <w:tabs>
          <w:tab w:val="left" w:pos="1386"/>
        </w:tabs>
        <w:kinsoku/>
        <w:wordWrap/>
        <w:overflowPunct/>
        <w:topLinePunct w:val="0"/>
        <w:bidi w:val="0"/>
        <w:spacing w:line="560" w:lineRule="exact"/>
        <w:ind w:left="0" w:right="0"/>
        <w:jc w:val="center"/>
        <w:textAlignment w:val="auto"/>
        <w:rPr>
          <w:rFonts w:hint="default" w:ascii="Times New Roman" w:hAnsi="Times New Roman" w:eastAsia="黑体" w:cs="Times New Roman"/>
          <w:sz w:val="44"/>
          <w:szCs w:val="44"/>
          <w:lang w:val="zh-CN"/>
        </w:rPr>
      </w:pPr>
    </w:p>
    <w:p>
      <w:pPr>
        <w:keepNext w:val="0"/>
        <w:keepLines w:val="0"/>
        <w:pageBreakBefore w:val="0"/>
        <w:tabs>
          <w:tab w:val="left" w:pos="1386"/>
        </w:tabs>
        <w:kinsoku/>
        <w:wordWrap/>
        <w:overflowPunct/>
        <w:topLinePunct w:val="0"/>
        <w:bidi w:val="0"/>
        <w:spacing w:line="560" w:lineRule="exact"/>
        <w:ind w:left="0" w:right="0"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一、项目概况</w:t>
      </w:r>
    </w:p>
    <w:p>
      <w:pPr>
        <w:keepNext w:val="0"/>
        <w:keepLines w:val="0"/>
        <w:pageBreakBefore w:val="0"/>
        <w:tabs>
          <w:tab w:val="left" w:pos="1386"/>
        </w:tabs>
        <w:kinsoku/>
        <w:wordWrap/>
        <w:overflowPunct/>
        <w:topLinePunct w:val="0"/>
        <w:bidi w:val="0"/>
        <w:spacing w:line="560" w:lineRule="exact"/>
        <w:ind w:left="0" w:right="0" w:firstLine="640" w:firstLineChars="200"/>
        <w:textAlignment w:val="auto"/>
        <w:rPr>
          <w:rFonts w:hint="default" w:ascii="Times New Roman" w:hAnsi="Times New Roman" w:eastAsia="黑体" w:cs="Times New Roman"/>
          <w:color w:val="FF0000"/>
          <w:sz w:val="32"/>
          <w:szCs w:val="32"/>
        </w:rPr>
      </w:pPr>
      <w:r>
        <w:rPr>
          <w:rFonts w:hint="default" w:ascii="Times New Roman" w:hAnsi="Times New Roman" w:eastAsia="仿宋_GB2312" w:cs="Times New Roman"/>
          <w:sz w:val="32"/>
          <w:szCs w:val="32"/>
          <w:lang w:val="zh-CN"/>
        </w:rPr>
        <w:t>为了促进我县自主创新成果知识产权化，加强知识产权保护，鼓励发明创造和申请专利的积极性，全面推进我县技术创新工作，根据省、市《专利申请资助管理办法》和《盐边县人民政府关于进一步加强知识产权工作的实施意见》（盐边政府发[2010年]15号）的有关规定，进一步做好我县专利申请资金管理工作。</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（一）项目基本情况</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 xml:space="preserve">1．对盐边县2018年获得授权的发明专利、实用新型专利和外观专利进行专项补助，本次补助资金共计24.24万元。 </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2．项目立项、资金申报的依据：盐边县科学技术和知识产权局、盐边县财政局《关于做好专利申请资助资金管理工作的通知》（盐科知[2014]18号）</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3．资金管理办法：</w:t>
      </w:r>
      <w:r>
        <w:rPr>
          <w:rFonts w:hint="default" w:ascii="Times New Roman" w:hAnsi="Times New Roman" w:eastAsia="仿宋_GB2312" w:cs="Times New Roman"/>
          <w:sz w:val="32"/>
          <w:szCs w:val="32"/>
        </w:rPr>
        <w:t>资金使用规范，符合国家财经法规和财务管理以及有关专项资金管理办法的规定；资金的拨付有完整的审批程序和手续；不存在截留、挤占、挪用、虚列支出等情况。保障会计核算准确、财务资料完整。</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资金支持范围：第一专利权人在本县行政区域范围内注册的单位和本县正式户口的个人，均可申请资助。</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资金支持方向：⑴发明专利。⑵实用新型专利。⑶外观设计专利。⑷涉外专利。⑸专利企业。</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4．资金分配的原则：根据盐边县科学技术和知识产权局、盐边县财政局《关于做好专利申请资助资金管理工作的通知》（盐科知[2014]18号）的规定，结合形式审查，对符合条件项目进行资助。</w:t>
      </w:r>
    </w:p>
    <w:p>
      <w:pPr>
        <w:keepNext w:val="0"/>
        <w:keepLines w:val="0"/>
        <w:pageBreakBefore w:val="0"/>
        <w:tabs>
          <w:tab w:val="left" w:pos="1386"/>
        </w:tabs>
        <w:kinsoku/>
        <w:wordWrap/>
        <w:overflowPunct/>
        <w:topLinePunct w:val="0"/>
        <w:bidi w:val="0"/>
        <w:adjustRightInd w:val="0"/>
        <w:snapToGrid w:val="0"/>
        <w:spacing w:line="560" w:lineRule="exact"/>
        <w:ind w:left="0" w:right="0" w:firstLine="482" w:firstLineChars="15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（二）项目绩效目标</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1．项目主要内容：</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拥有发明专利、实用新型专利、外观设计专利、涉外专利、专利企业的第一专利权人在本县行政区域范围内注册的单位和本县正式户口的个人，可申请资助。</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2．项目应实现的具体绩效目标：⑴促进我县自主创新成果知识产权化；⑵加强知识产权保护，鼓励发明创造和申请专利的积极性，全面推进我县技术创新。</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工作项目实施进度计划：2018年12月前领取《盐边县专利资助经费申请表》；</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2018年12月前将规定的申请资料报送盐边县科知局办理资助资金正式申请手续；</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2018年12月10日通过形式审查。</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2021年1-6月确认2018年专利资助名单和金额。</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2021年12月发放资助金。</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（三）项目自评步骤及方法</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1.申报验收。将规定的申请资料报送盐边县科知局办理资助资金正式申请手续。</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2. 形式审查。根据盐边县科学技术和知识产权局、盐边县财政局《关于做好专利申请资助资金管理工作的通知》（盐科知[2014]18号）的规定对符合资助条件的给予资助；</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3.项目绩效目标评价。开展2021年项目绩效目标自评工作，按照要求填报2021年度省级知识产权专项资金绩效目标自评表。</w:t>
      </w:r>
    </w:p>
    <w:p>
      <w:pPr>
        <w:keepNext w:val="0"/>
        <w:keepLines w:val="0"/>
        <w:pageBreakBefore w:val="0"/>
        <w:tabs>
          <w:tab w:val="left" w:pos="1386"/>
        </w:tabs>
        <w:kinsoku/>
        <w:wordWrap/>
        <w:overflowPunct/>
        <w:topLinePunct w:val="0"/>
        <w:bidi w:val="0"/>
        <w:spacing w:line="560" w:lineRule="exact"/>
        <w:ind w:left="0" w:right="0"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pPr>
        <w:keepNext w:val="0"/>
        <w:keepLines w:val="0"/>
        <w:pageBreakBefore w:val="0"/>
        <w:tabs>
          <w:tab w:val="left" w:pos="1386"/>
        </w:tabs>
        <w:kinsoku/>
        <w:wordWrap/>
        <w:overflowPunct/>
        <w:topLinePunct w:val="0"/>
        <w:bidi w:val="0"/>
        <w:spacing w:line="560" w:lineRule="exact"/>
        <w:ind w:left="0" w:right="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（一）项目资金申报及批复情况。</w:t>
      </w:r>
    </w:p>
    <w:p>
      <w:pPr>
        <w:keepNext w:val="0"/>
        <w:keepLines w:val="0"/>
        <w:pageBreakBefore w:val="0"/>
        <w:tabs>
          <w:tab w:val="left" w:pos="1386"/>
        </w:tabs>
        <w:kinsoku/>
        <w:wordWrap/>
        <w:overflowPunct/>
        <w:topLinePunct w:val="0"/>
        <w:autoSpaceDE w:val="0"/>
        <w:autoSpaceDN w:val="0"/>
        <w:bidi w:val="0"/>
        <w:adjustRightInd w:val="0"/>
        <w:spacing w:line="560" w:lineRule="exact"/>
        <w:ind w:left="0" w:right="0" w:firstLine="800" w:firstLineChars="25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我局以盐边市管〔2021〕37号《盐边县市场监督管理局关于申请解决2018年专利补助资金的请示》向县政府请示</w:t>
      </w:r>
      <w:r>
        <w:rPr>
          <w:rFonts w:hint="default" w:ascii="Times New Roman" w:hAnsi="Times New Roman" w:eastAsia="仿宋_GB2312" w:cs="Times New Roman"/>
          <w:sz w:val="32"/>
          <w:szCs w:val="32"/>
        </w:rPr>
        <w:t>兑现</w:t>
      </w:r>
      <w:r>
        <w:rPr>
          <w:rFonts w:hint="default" w:ascii="Times New Roman" w:hAnsi="Times New Roman" w:eastAsia="仿宋_GB2312" w:cs="Times New Roman"/>
          <w:bCs/>
          <w:sz w:val="32"/>
          <w:szCs w:val="32"/>
        </w:rPr>
        <w:t>2018</w:t>
      </w:r>
      <w:r>
        <w:rPr>
          <w:rFonts w:hint="default" w:ascii="Times New Roman" w:hAnsi="Times New Roman" w:eastAsia="仿宋_GB2312" w:cs="Times New Roman"/>
          <w:sz w:val="32"/>
          <w:szCs w:val="32"/>
        </w:rPr>
        <w:t>年企业或个人专利申请资助资金共计</w:t>
      </w:r>
      <w:r>
        <w:rPr>
          <w:rFonts w:hint="default" w:ascii="Times New Roman" w:hAnsi="Times New Roman" w:eastAsia="仿宋_GB2312" w:cs="Times New Roman"/>
          <w:bCs/>
          <w:sz w:val="32"/>
          <w:szCs w:val="32"/>
        </w:rPr>
        <w:t>24.24万</w:t>
      </w:r>
      <w:r>
        <w:rPr>
          <w:rFonts w:hint="default" w:ascii="Times New Roman" w:hAnsi="Times New Roman" w:eastAsia="仿宋_GB2312" w:cs="Times New Roman"/>
          <w:sz w:val="32"/>
          <w:szCs w:val="32"/>
        </w:rPr>
        <w:t>元</w:t>
      </w:r>
      <w:r>
        <w:rPr>
          <w:rFonts w:hint="default" w:ascii="Times New Roman" w:hAnsi="Times New Roman" w:cs="Times New Roman"/>
          <w:szCs w:val="32"/>
        </w:rPr>
        <w:t>。</w:t>
      </w:r>
      <w:r>
        <w:rPr>
          <w:rFonts w:hint="default" w:ascii="Times New Roman" w:hAnsi="Times New Roman" w:eastAsia="仿宋_GB2312" w:cs="Times New Roman"/>
          <w:kern w:val="0"/>
          <w:sz w:val="32"/>
          <w:szCs w:val="32"/>
        </w:rPr>
        <w:t>盐财资行〔2021〕360号下达2018年专利补助资金24.24万元。</w:t>
      </w:r>
    </w:p>
    <w:p>
      <w:pPr>
        <w:keepNext w:val="0"/>
        <w:keepLines w:val="0"/>
        <w:pageBreakBefore w:val="0"/>
        <w:tabs>
          <w:tab w:val="left" w:pos="1386"/>
        </w:tabs>
        <w:kinsoku/>
        <w:wordWrap/>
        <w:overflowPunct/>
        <w:topLinePunct w:val="0"/>
        <w:bidi w:val="0"/>
        <w:spacing w:line="560" w:lineRule="exact"/>
        <w:ind w:left="0" w:right="0" w:firstLine="480" w:firstLineChars="15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（二）资金计划、到位及使用情况。</w:t>
      </w:r>
    </w:p>
    <w:p>
      <w:pPr>
        <w:keepNext w:val="0"/>
        <w:keepLines w:val="0"/>
        <w:pageBreakBefore w:val="0"/>
        <w:tabs>
          <w:tab w:val="left" w:pos="1386"/>
        </w:tabs>
        <w:kinsoku/>
        <w:wordWrap/>
        <w:overflowPunct/>
        <w:topLinePunct w:val="0"/>
        <w:bidi w:val="0"/>
        <w:spacing w:line="560" w:lineRule="exact"/>
        <w:ind w:left="0" w:right="0"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1.资金计划。</w:t>
      </w:r>
    </w:p>
    <w:p>
      <w:pPr>
        <w:keepNext w:val="0"/>
        <w:keepLines w:val="0"/>
        <w:pageBreakBefore w:val="0"/>
        <w:tabs>
          <w:tab w:val="left" w:pos="1386"/>
        </w:tabs>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kern w:val="0"/>
          <w:sz w:val="32"/>
          <w:szCs w:val="32"/>
        </w:rPr>
        <w:t>我局以盐边市管〔2021〕37号《盐边县市场监督管理局关于申请解决2018年专利补助资金的请示》向县政府请示</w:t>
      </w:r>
      <w:r>
        <w:rPr>
          <w:rFonts w:hint="default" w:ascii="Times New Roman" w:hAnsi="Times New Roman" w:eastAsia="仿宋_GB2312" w:cs="Times New Roman"/>
          <w:sz w:val="32"/>
          <w:szCs w:val="32"/>
        </w:rPr>
        <w:t>兑现</w:t>
      </w:r>
      <w:r>
        <w:rPr>
          <w:rFonts w:hint="default" w:ascii="Times New Roman" w:hAnsi="Times New Roman" w:eastAsia="仿宋_GB2312" w:cs="Times New Roman"/>
          <w:bCs/>
          <w:sz w:val="32"/>
          <w:szCs w:val="32"/>
        </w:rPr>
        <w:t>2018</w:t>
      </w:r>
      <w:r>
        <w:rPr>
          <w:rFonts w:hint="default" w:ascii="Times New Roman" w:hAnsi="Times New Roman" w:eastAsia="仿宋_GB2312" w:cs="Times New Roman"/>
          <w:sz w:val="32"/>
          <w:szCs w:val="32"/>
        </w:rPr>
        <w:t>年企业或个人专利申请资助资金共计</w:t>
      </w:r>
      <w:r>
        <w:rPr>
          <w:rFonts w:hint="default" w:ascii="Times New Roman" w:hAnsi="Times New Roman" w:eastAsia="仿宋_GB2312" w:cs="Times New Roman"/>
          <w:bCs/>
          <w:sz w:val="32"/>
          <w:szCs w:val="32"/>
        </w:rPr>
        <w:t>24.24万</w:t>
      </w:r>
      <w:r>
        <w:rPr>
          <w:rFonts w:hint="default" w:ascii="Times New Roman" w:hAnsi="Times New Roman" w:eastAsia="仿宋_GB2312" w:cs="Times New Roman"/>
          <w:sz w:val="32"/>
          <w:szCs w:val="32"/>
        </w:rPr>
        <w:t>元</w:t>
      </w:r>
      <w:r>
        <w:rPr>
          <w:rFonts w:hint="default" w:ascii="Times New Roman" w:hAnsi="Times New Roman" w:cs="Times New Roman"/>
          <w:szCs w:val="32"/>
        </w:rPr>
        <w:t>。</w:t>
      </w:r>
    </w:p>
    <w:p>
      <w:pPr>
        <w:keepNext w:val="0"/>
        <w:keepLines w:val="0"/>
        <w:pageBreakBefore w:val="0"/>
        <w:tabs>
          <w:tab w:val="left" w:pos="1386"/>
        </w:tabs>
        <w:kinsoku/>
        <w:wordWrap/>
        <w:overflowPunct/>
        <w:topLinePunct w:val="0"/>
        <w:bidi w:val="0"/>
        <w:spacing w:line="560" w:lineRule="exact"/>
        <w:ind w:left="0" w:right="0"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2.资金到位。</w:t>
      </w:r>
    </w:p>
    <w:p>
      <w:pPr>
        <w:keepNext w:val="0"/>
        <w:keepLines w:val="0"/>
        <w:pageBreakBefore w:val="0"/>
        <w:tabs>
          <w:tab w:val="left" w:pos="1386"/>
        </w:tabs>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盐财资行〔2021〕360号下达2018年专利补助资金24.24万元。</w:t>
      </w:r>
    </w:p>
    <w:p>
      <w:pPr>
        <w:keepNext w:val="0"/>
        <w:keepLines w:val="0"/>
        <w:pageBreakBefore w:val="0"/>
        <w:tabs>
          <w:tab w:val="left" w:pos="1386"/>
        </w:tabs>
        <w:kinsoku/>
        <w:wordWrap/>
        <w:overflowPunct/>
        <w:topLinePunct w:val="0"/>
        <w:bidi w:val="0"/>
        <w:spacing w:line="560" w:lineRule="exact"/>
        <w:ind w:left="0" w:right="0"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3.资金使用。</w:t>
      </w:r>
    </w:p>
    <w:p>
      <w:pPr>
        <w:keepNext w:val="0"/>
        <w:keepLines w:val="0"/>
        <w:pageBreakBefore w:val="0"/>
        <w:tabs>
          <w:tab w:val="left" w:pos="1386"/>
        </w:tabs>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截止评价时点该项目资金已全部使用完，支付2018年度</w:t>
      </w:r>
      <w:r>
        <w:rPr>
          <w:rFonts w:hint="default" w:ascii="Times New Roman" w:hAnsi="Times New Roman" w:eastAsia="仿宋_GB2312" w:cs="Times New Roman"/>
          <w:sz w:val="32"/>
          <w:szCs w:val="32"/>
        </w:rPr>
        <w:t>企业或个人专利申请资助资金</w:t>
      </w:r>
      <w:r>
        <w:rPr>
          <w:rFonts w:hint="default" w:ascii="Times New Roman" w:hAnsi="Times New Roman" w:eastAsia="仿宋_GB2312" w:cs="Times New Roman"/>
          <w:kern w:val="0"/>
          <w:sz w:val="32"/>
          <w:szCs w:val="32"/>
        </w:rPr>
        <w:t>24.24万元。资金开支范围、支付依据合规合法，资金支付与预算相符。</w:t>
      </w:r>
    </w:p>
    <w:p>
      <w:pPr>
        <w:keepNext w:val="0"/>
        <w:keepLines w:val="0"/>
        <w:pageBreakBefore w:val="0"/>
        <w:tabs>
          <w:tab w:val="left" w:pos="1386"/>
        </w:tabs>
        <w:kinsoku/>
        <w:wordWrap/>
        <w:overflowPunct/>
        <w:topLinePunct w:val="0"/>
        <w:bidi w:val="0"/>
        <w:spacing w:line="560" w:lineRule="exact"/>
        <w:ind w:left="0" w:right="0" w:firstLine="480" w:firstLineChars="15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（三）项目财务管理情况。</w:t>
      </w:r>
    </w:p>
    <w:p>
      <w:pPr>
        <w:keepNext w:val="0"/>
        <w:keepLines w:val="0"/>
        <w:pageBreakBefore w:val="0"/>
        <w:tabs>
          <w:tab w:val="left" w:pos="1386"/>
        </w:tabs>
        <w:kinsoku/>
        <w:wordWrap/>
        <w:overflowPunct/>
        <w:topLinePunct w:val="0"/>
        <w:autoSpaceDE w:val="0"/>
        <w:autoSpaceDN w:val="0"/>
        <w:bidi w:val="0"/>
        <w:adjustRightInd w:val="0"/>
        <w:spacing w:line="560" w:lineRule="exact"/>
        <w:ind w:left="0" w:right="0"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专利补助专项经费实行专款专用，严格执行财务管理制度，账务处理及时，会计核算规范。</w:t>
      </w:r>
    </w:p>
    <w:p>
      <w:pPr>
        <w:keepNext w:val="0"/>
        <w:keepLines w:val="0"/>
        <w:pageBreakBefore w:val="0"/>
        <w:tabs>
          <w:tab w:val="left" w:pos="1386"/>
        </w:tabs>
        <w:kinsoku/>
        <w:wordWrap/>
        <w:overflowPunct/>
        <w:topLinePunct w:val="0"/>
        <w:bidi w:val="0"/>
        <w:adjustRightInd w:val="0"/>
        <w:snapToGrid w:val="0"/>
        <w:spacing w:line="560" w:lineRule="exact"/>
        <w:ind w:left="0" w:right="0" w:firstLine="800" w:firstLineChars="25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（一）项目组织架构及实施流程。</w:t>
      </w:r>
      <w:r>
        <w:rPr>
          <w:rFonts w:hint="default" w:ascii="Times New Roman" w:hAnsi="Times New Roman" w:eastAsia="仿宋_GB2312" w:cs="Times New Roman"/>
          <w:sz w:val="32"/>
          <w:szCs w:val="32"/>
          <w:lang w:val="zh-CN"/>
        </w:rPr>
        <w:t>根据盐边县科学技术和知识产权局、盐边县财政局《关于做好专利申请资助资金管理工作的通知》（盐科知[2014]18号）的规定，对申请的材料进行了形式审查，财政拨付专项资金24.24万元，截止2021年12月已兑现资助金24.24万元。</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（二）项目管理情况。</w:t>
      </w:r>
      <w:r>
        <w:rPr>
          <w:rFonts w:hint="default" w:ascii="Times New Roman" w:hAnsi="Times New Roman" w:eastAsia="仿宋_GB2312" w:cs="Times New Roman"/>
          <w:sz w:val="32"/>
          <w:szCs w:val="32"/>
        </w:rPr>
        <w:t>2018年专利资助项目发放工作由我局负责发放，具体安排1名人员进行审核，同时结果由财政局审核，做到公开透明。</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楷体_GB2312" w:cs="Times New Roman"/>
          <w:b/>
          <w:sz w:val="32"/>
          <w:szCs w:val="32"/>
          <w:lang w:val="zh-CN"/>
        </w:rPr>
        <w:t>（三）项目监管情况。</w:t>
      </w:r>
      <w:r>
        <w:rPr>
          <w:rFonts w:hint="default" w:ascii="Times New Roman" w:hAnsi="Times New Roman" w:eastAsia="仿宋_GB2312" w:cs="Times New Roman"/>
          <w:sz w:val="32"/>
          <w:szCs w:val="32"/>
          <w:lang w:val="zh-CN"/>
        </w:rPr>
        <w:t>盐边县市场监督管理局按照专利资助相关管理办法和文件，对获得资助的10家企业(个人)实施省级知识产权专项资金项目的实施进行指导、管理，并在项目完成后组织专家进行验收和绩效评价。</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黑体" w:cs="Times New Roman"/>
          <w:sz w:val="32"/>
          <w:szCs w:val="32"/>
        </w:rPr>
        <w:t>四、项目绩效情况</w:t>
      </w:r>
      <w:r>
        <w:rPr>
          <w:rFonts w:hint="default" w:ascii="Times New Roman" w:hAnsi="Times New Roman" w:eastAsia="仿宋_GB2312" w:cs="Times New Roman"/>
          <w:sz w:val="32"/>
          <w:szCs w:val="32"/>
          <w:lang w:val="zh-CN"/>
        </w:rPr>
        <w:tab/>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（一）项目完成情况</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发明专利52件、实用新型专利54件、外观设计专利40 件。共10家企业（个人），共资助24.24万元。</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楷体_GB2312" w:cs="Times New Roman"/>
          <w:b/>
          <w:sz w:val="32"/>
          <w:szCs w:val="32"/>
          <w:lang w:val="zh-CN"/>
        </w:rPr>
      </w:pPr>
      <w:r>
        <w:rPr>
          <w:rFonts w:hint="default" w:ascii="Times New Roman" w:hAnsi="Times New Roman" w:eastAsia="楷体_GB2312" w:cs="Times New Roman"/>
          <w:b/>
          <w:sz w:val="32"/>
          <w:szCs w:val="32"/>
          <w:lang w:val="zh-CN"/>
        </w:rPr>
        <w:t>（二）项目效益情况</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促进了我县自主创新成果知识产权化，加强了知识产权保护，鼓励了发明创造和申请专利的积极性，全面推进我县技术创新工作。</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pPr>
        <w:keepNext w:val="0"/>
        <w:keepLines w:val="0"/>
        <w:pageBreakBefore w:val="0"/>
        <w:tabs>
          <w:tab w:val="left" w:pos="1386"/>
        </w:tabs>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rPr>
        <w:t>本项目自评分为100分，评价等级为优秀等级，达到预期绩效目标。</w:t>
      </w:r>
      <w:r>
        <w:rPr>
          <w:rFonts w:hint="default" w:ascii="Times New Roman" w:hAnsi="Times New Roman" w:eastAsia="仿宋_GB2312" w:cs="Times New Roman"/>
          <w:sz w:val="32"/>
          <w:szCs w:val="32"/>
          <w:lang w:val="zh-CN"/>
        </w:rPr>
        <w:t>项目组提供资料较齐全，符合相关要求。项目完成合同规定任务指标，成效明显。项目资金预决算收支一致，符合规定。</w:t>
      </w: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盐边县市场监督管理局</w:t>
      </w: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省级市场监管补助资金项目绩效自评报告</w:t>
      </w: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楷体_GBK" w:cs="Times New Roman"/>
          <w:b/>
          <w:bCs/>
          <w:sz w:val="44"/>
          <w:szCs w:val="44"/>
        </w:rPr>
      </w:pP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一、项目概况</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（一）项目基本情况。</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1.我局在该项目管理中的职能。</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促进全县市场监管事业持续健康发展，保障市场监管部门依法履行职能职责。</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2.项目立项、资金申报的依据。</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根据《四川省财政厅  四川省市场监督管理局关于&lt;印发四川省省市场监管专项资金管理办法&gt;的通知》（川财行〔2021〕0056号，下达各地市场监管补助资金。</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3.资金管理办法制定情况，资金支持具体项目的条件、范围与支持方式概况。</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根据《四川省市场监管专项资金管理办法》和《省级市场监管专项资金实施方案》使用。</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4.资金分配的原则及考虑因素。</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（二）项目绩效目标。</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1.项目主要内容。</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紧紧围绕省局确定的年度重点工作，深入实施质量强省战略，全面提升全省市场监管能力。严守食品、重要工业产品质量、特种设备全条安全底线。强化计量技术保障、筑牢标准化基础、完善认可和检验检测监管体系。强化消费引导、深入推进放心舒心消费环境。开展“春雷行动”、加强反垄断和反不正当竞争执法等监管、提高综合行政执法水平。</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2.项目应实现的具体绩效目标，包括目标的量化、细化情况以及项目实施进度计划。</w:t>
      </w:r>
    </w:p>
    <w:p>
      <w:pPr>
        <w:keepNext w:val="0"/>
        <w:keepLines w:val="0"/>
        <w:pageBreakBefore w:val="0"/>
        <w:kinsoku/>
        <w:wordWrap/>
        <w:overflowPunct/>
        <w:topLinePunct w:val="0"/>
        <w:bidi w:val="0"/>
        <w:spacing w:line="560" w:lineRule="exact"/>
        <w:ind w:left="0" w:right="0" w:firstLine="643" w:firstLineChars="200"/>
        <w:textAlignment w:val="auto"/>
        <w:rPr>
          <w:rFonts w:hint="default" w:ascii="Times New Roman" w:hAnsi="Times New Roman" w:eastAsia="仿宋_GB2312" w:cs="Times New Roman"/>
          <w:b/>
          <w:bCs/>
          <w:sz w:val="32"/>
          <w:szCs w:val="32"/>
          <w:shd w:val="clear" w:color="auto" w:fill="FFFFFF"/>
        </w:rPr>
      </w:pPr>
      <w:r>
        <w:rPr>
          <w:rFonts w:hint="default" w:ascii="Times New Roman" w:hAnsi="Times New Roman" w:eastAsia="仿宋_GB2312" w:cs="Times New Roman"/>
          <w:b/>
          <w:bCs/>
          <w:sz w:val="32"/>
          <w:szCs w:val="32"/>
          <w:shd w:val="clear" w:color="auto" w:fill="FFFFFF"/>
        </w:rPr>
        <w:t>（1）持续深化商事登记制度改革</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深化“放管服”改革，优化内部流程，简化登记手续，提升窗口效能，力争实现电子营业执照网上办理有突破。稳步推进企业信用建设，强化企业年报、信息公示制度执行，做好企业异常名录的录入、告知工作。</w:t>
      </w:r>
    </w:p>
    <w:p>
      <w:pPr>
        <w:keepNext w:val="0"/>
        <w:keepLines w:val="0"/>
        <w:pageBreakBefore w:val="0"/>
        <w:kinsoku/>
        <w:wordWrap/>
        <w:overflowPunct/>
        <w:topLinePunct w:val="0"/>
        <w:bidi w:val="0"/>
        <w:spacing w:line="560" w:lineRule="exact"/>
        <w:ind w:left="0" w:right="0" w:firstLine="643" w:firstLineChars="200"/>
        <w:textAlignment w:val="auto"/>
        <w:rPr>
          <w:rFonts w:hint="default" w:ascii="Times New Roman" w:hAnsi="Times New Roman" w:eastAsia="仿宋_GB2312" w:cs="Times New Roman"/>
          <w:b/>
          <w:bCs/>
          <w:color w:val="000000"/>
          <w:sz w:val="32"/>
          <w:szCs w:val="32"/>
        </w:rPr>
      </w:pPr>
      <w:r>
        <w:rPr>
          <w:rFonts w:hint="default" w:ascii="Times New Roman" w:hAnsi="Times New Roman" w:eastAsia="仿宋_GB2312" w:cs="Times New Roman"/>
          <w:b/>
          <w:bCs/>
          <w:color w:val="000000"/>
          <w:sz w:val="32"/>
          <w:szCs w:val="32"/>
        </w:rPr>
        <w:t>（2）促进民营经济健康发展</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color w:val="000000"/>
          <w:sz w:val="32"/>
          <w:szCs w:val="32"/>
        </w:rPr>
        <w:t>认真贯彻落实国务院以及省、市、县委和政府的安排部署，简政放权、放管结合、优化服务协同推进，“放管服”三管齐下，在放宽市场准入，加强事中事后监管，促进民营企业发展方面，充分发挥自身职能，做好新时期市场监管工作。</w:t>
      </w:r>
    </w:p>
    <w:p>
      <w:pPr>
        <w:keepNext w:val="0"/>
        <w:keepLines w:val="0"/>
        <w:pageBreakBefore w:val="0"/>
        <w:kinsoku/>
        <w:wordWrap/>
        <w:overflowPunct/>
        <w:topLinePunct w:val="0"/>
        <w:bidi w:val="0"/>
        <w:spacing w:line="560" w:lineRule="exact"/>
        <w:ind w:left="0" w:right="0" w:firstLine="643" w:firstLineChars="200"/>
        <w:textAlignment w:val="auto"/>
        <w:rPr>
          <w:rFonts w:hint="default" w:ascii="Times New Roman" w:hAnsi="Times New Roman" w:eastAsia="仿宋_GB2312" w:cs="Times New Roman"/>
          <w:b/>
          <w:bCs/>
          <w:sz w:val="32"/>
          <w:szCs w:val="32"/>
          <w:shd w:val="clear" w:color="auto" w:fill="FFFFFF"/>
        </w:rPr>
      </w:pPr>
      <w:r>
        <w:rPr>
          <w:rFonts w:hint="default" w:ascii="Times New Roman" w:hAnsi="Times New Roman" w:eastAsia="仿宋_GB2312" w:cs="Times New Roman"/>
          <w:b/>
          <w:bCs/>
          <w:sz w:val="32"/>
          <w:szCs w:val="32"/>
          <w:shd w:val="clear" w:color="auto" w:fill="FFFFFF"/>
        </w:rPr>
        <w:t>（3）全力抓好市场监管工作</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一是强化经营主体责任落实。强化市场主体信用信息公示作用，落实年报信息公示抽查、年报信息抽查，提高企业信用度，自觉履行主体责任。二是提升监管现代化水平。实施跨部门协同监管和联合惩戒，做好企业经营异常名录制度和严重违法失信企业名单管理，推动无证无照经营协同共治。三是突出市场监管重点。全面加强网络商品交易监管，严查虚假违法广告、生产销售假冒伪劣商品、侵害消费者合法权益等行为。</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3. </w:t>
      </w:r>
      <w:r>
        <w:rPr>
          <w:rFonts w:hint="default" w:ascii="Times New Roman" w:hAnsi="Times New Roman" w:eastAsia="仿宋_GB2312" w:cs="Times New Roman"/>
          <w:sz w:val="32"/>
          <w:szCs w:val="32"/>
          <w:lang w:val="zh-CN"/>
        </w:rPr>
        <w:t>项目内容与具体实施内容相符、申报目标合理可行</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（三）项目自评步骤及方法。</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按照年初绩效目标表和市场监管项目资金实施方案组织实施开展自评。</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二、项目资金申报及使用情况</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（一）项目资金申报及批复情况。</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2021年度盐财资行〔2020〕552号下达2020年市场监督管理专项资金6万元，盐财资行〔2021〕59号下达市场监管资金2.74万元。</w:t>
      </w:r>
    </w:p>
    <w:p>
      <w:pPr>
        <w:keepNext w:val="0"/>
        <w:keepLines w:val="0"/>
        <w:pageBreakBefore w:val="0"/>
        <w:kinsoku/>
        <w:wordWrap/>
        <w:overflowPunct/>
        <w:topLinePunct w:val="0"/>
        <w:bidi w:val="0"/>
        <w:spacing w:line="560" w:lineRule="exact"/>
        <w:ind w:left="0" w:right="0" w:firstLine="320" w:firstLineChars="100"/>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（二）资金计划、到位及使用情况。</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1.资金计划</w:t>
      </w:r>
      <w:r>
        <w:rPr>
          <w:rFonts w:hint="default" w:ascii="Times New Roman" w:hAnsi="Times New Roman" w:eastAsia="仿宋_GB2312" w:cs="Times New Roman"/>
          <w:b/>
          <w:bCs/>
          <w:color w:val="000000"/>
          <w:sz w:val="32"/>
          <w:szCs w:val="32"/>
        </w:rPr>
        <w:t>。</w:t>
      </w:r>
      <w:r>
        <w:rPr>
          <w:rFonts w:hint="default" w:ascii="Times New Roman" w:hAnsi="Times New Roman" w:eastAsia="仿宋_GB2312" w:cs="Times New Roman"/>
          <w:color w:val="000000"/>
          <w:sz w:val="32"/>
          <w:szCs w:val="32"/>
        </w:rPr>
        <w:t>2021年度省市场监督管理局补助市场监管综合业务经费8.74万元</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2.资金到位。</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已于2021年拨付补助资金8.74万元。</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3.资金使用。</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2021年使用上年度结转资金6万元，本年度资金2.74万元。资金支出方向：主要用于开展2021年度春雷行动、企业年报、市场监管、促进民营经济发展等工作报产生的差旅费、业务网络费、执法车运行维护费、办公及印刷费等。</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（三）项目财务管理情况。</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市场监督管理专项资金实行专款专用，严格执行财务管理制度、财务处理及时、会计核算规范。</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三、项目实施及管理情况</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根据《四川省市场监管专项资金管理办法》和《省级市场监管专项资金实施方案》结合本局自身情况安排使用。</w:t>
      </w:r>
    </w:p>
    <w:p>
      <w:pPr>
        <w:keepNext w:val="0"/>
        <w:keepLines w:val="0"/>
        <w:pageBreakBefore w:val="0"/>
        <w:kinsoku/>
        <w:wordWrap/>
        <w:overflowPunct/>
        <w:topLinePunct w:val="0"/>
        <w:bidi w:val="0"/>
        <w:spacing w:line="560" w:lineRule="exact"/>
        <w:ind w:left="0" w:right="0" w:firstLine="800" w:firstLineChars="25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四、项目绩效情况</w:t>
      </w:r>
      <w:r>
        <w:rPr>
          <w:rFonts w:hint="default" w:ascii="Times New Roman" w:hAnsi="Times New Roman" w:eastAsia="黑体" w:cs="Times New Roman"/>
          <w:color w:val="000000"/>
          <w:sz w:val="32"/>
          <w:szCs w:val="32"/>
        </w:rPr>
        <w:tab/>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（一）项目完成情况。</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截止评价时间点，已下达的省级补助市场监督管理专项资金使用完成率100%。</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（二）项目效益情况。</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2021年度相关工作已完成目标任务。</w:t>
      </w:r>
    </w:p>
    <w:p>
      <w:pPr>
        <w:keepNext w:val="0"/>
        <w:keepLines w:val="0"/>
        <w:pageBreakBefore w:val="0"/>
        <w:kinsoku/>
        <w:wordWrap/>
        <w:overflowPunct/>
        <w:topLinePunct w:val="0"/>
        <w:bidi w:val="0"/>
        <w:adjustRightInd w:val="0"/>
        <w:snapToGrid w:val="0"/>
        <w:spacing w:line="560" w:lineRule="exact"/>
        <w:ind w:left="0" w:right="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1.优化准入环境，活跃市场主体</w:t>
      </w:r>
    </w:p>
    <w:p>
      <w:pPr>
        <w:keepNext w:val="0"/>
        <w:keepLines w:val="0"/>
        <w:pageBreakBefore w:val="0"/>
        <w:kinsoku/>
        <w:wordWrap/>
        <w:overflowPunct/>
        <w:topLinePunct w:val="0"/>
        <w:bidi w:val="0"/>
        <w:adjustRightInd w:val="0"/>
        <w:snapToGrid w:val="0"/>
        <w:spacing w:line="560" w:lineRule="exact"/>
        <w:ind w:left="0" w:righ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（1）优化营商环境。</w:t>
      </w:r>
      <w:r>
        <w:rPr>
          <w:rFonts w:hint="default" w:ascii="Times New Roman" w:hAnsi="Times New Roman" w:eastAsia="仿宋_GB2312" w:cs="Times New Roman"/>
          <w:sz w:val="32"/>
          <w:szCs w:val="32"/>
        </w:rPr>
        <w:t>2021年继续优化“一网通办、一窗通办、跨省通办”改革措施，不断提升审批效率和用户体验，推动更多事项“一次不跑”“最多跑一次”。全县登记在册各类市场主体（含分支机构）16569户，其中企业2382户，农民专业合作社521户，个体工商户13666户；办理食品经营许可证141件（核发69件，变更20件，延续23件，注销29件）；“三小”备案证1010件，其中新办：小餐饮213件，食品销售小经营店183件，小作坊171件，延续198件，变更6件，注销239件；办理二类医疗器械备案14件，其中核发5件，变更5件，注销4件；办理药品经营许可15件，其中核发6件，变更12件，延续0件，注销4件；特种设备备案266件，其中新办212件，注销停用报废54件。</w:t>
      </w:r>
    </w:p>
    <w:p>
      <w:pPr>
        <w:keepNext w:val="0"/>
        <w:keepLines w:val="0"/>
        <w:pageBreakBefore w:val="0"/>
        <w:kinsoku/>
        <w:wordWrap/>
        <w:overflowPunct/>
        <w:topLinePunct w:val="0"/>
        <w:bidi w:val="0"/>
        <w:adjustRightInd w:val="0"/>
        <w:snapToGrid w:val="0"/>
        <w:spacing w:line="560" w:lineRule="exact"/>
        <w:ind w:left="0" w:right="0" w:firstLine="643" w:firstLineChars="200"/>
        <w:textAlignment w:val="auto"/>
        <w:rPr>
          <w:rFonts w:hint="default" w:ascii="Times New Roman" w:hAnsi="Times New Roman" w:eastAsia="仿宋_GB2312" w:cs="Times New Roman"/>
          <w:color w:val="FF0000"/>
          <w:sz w:val="32"/>
          <w:szCs w:val="32"/>
        </w:rPr>
      </w:pPr>
      <w:r>
        <w:rPr>
          <w:rFonts w:hint="default" w:ascii="Times New Roman" w:hAnsi="Times New Roman" w:eastAsia="仿宋_GB2312" w:cs="Times New Roman"/>
          <w:b/>
          <w:bCs/>
          <w:sz w:val="32"/>
          <w:szCs w:val="32"/>
        </w:rPr>
        <w:t>（2）</w:t>
      </w:r>
      <w:r>
        <w:rPr>
          <w:rFonts w:hint="default" w:ascii="Times New Roman" w:hAnsi="Times New Roman" w:eastAsia="仿宋_GB2312" w:cs="Times New Roman"/>
          <w:b/>
          <w:bCs/>
          <w:sz w:val="32"/>
          <w:szCs w:val="24"/>
        </w:rPr>
        <w:t>提升窗口服务效能。</w:t>
      </w:r>
      <w:r>
        <w:rPr>
          <w:rFonts w:hint="default" w:ascii="Times New Roman" w:hAnsi="Times New Roman" w:eastAsia="仿宋_GB2312" w:cs="Times New Roman"/>
          <w:sz w:val="32"/>
          <w:szCs w:val="24"/>
        </w:rPr>
        <w:t>为群众提供精准服务，通过在线办理、零见面办理、邮寄办理等方式，2021年共受理电话咨询4620人/次，QQ群咨询1283人/次，全程电子化网上办理2034户、零见面邮寄办理114户，自公告平台受理办结了57户小微企业注册登记，通过“一窗通办”窗口办理业务245件。</w:t>
      </w:r>
    </w:p>
    <w:p>
      <w:pPr>
        <w:keepNext w:val="0"/>
        <w:keepLines w:val="0"/>
        <w:pageBreakBefore w:val="0"/>
        <w:kinsoku/>
        <w:wordWrap/>
        <w:overflowPunct/>
        <w:topLinePunct w:val="0"/>
        <w:bidi w:val="0"/>
        <w:adjustRightInd w:val="0"/>
        <w:snapToGrid w:val="0"/>
        <w:spacing w:line="560" w:lineRule="exact"/>
        <w:ind w:left="0" w:right="0" w:firstLine="643" w:firstLineChars="200"/>
        <w:textAlignment w:val="auto"/>
        <w:rPr>
          <w:rFonts w:hint="default" w:ascii="Times New Roman" w:hAnsi="Times New Roman" w:eastAsia="仿宋_GB2312" w:cs="Times New Roman"/>
          <w:color w:val="FF0000"/>
          <w:sz w:val="32"/>
          <w:szCs w:val="32"/>
        </w:rPr>
      </w:pPr>
      <w:r>
        <w:rPr>
          <w:rFonts w:hint="default" w:ascii="Times New Roman" w:hAnsi="Times New Roman" w:eastAsia="仿宋_GB2312" w:cs="Times New Roman"/>
          <w:b/>
          <w:bCs/>
          <w:sz w:val="32"/>
          <w:szCs w:val="32"/>
        </w:rPr>
        <w:t>（3）</w:t>
      </w:r>
      <w:r>
        <w:rPr>
          <w:rFonts w:hint="default" w:ascii="Times New Roman" w:hAnsi="Times New Roman" w:eastAsia="仿宋_GB2312" w:cs="Times New Roman"/>
          <w:b/>
          <w:bCs/>
          <w:sz w:val="32"/>
          <w:szCs w:val="24"/>
        </w:rPr>
        <w:t>市场主体2020年度年报公示工作。</w:t>
      </w:r>
      <w:r>
        <w:rPr>
          <w:rFonts w:hint="default" w:ascii="Times New Roman" w:hAnsi="Times New Roman" w:eastAsia="仿宋_GB2312" w:cs="Times New Roman"/>
          <w:sz w:val="32"/>
          <w:szCs w:val="24"/>
        </w:rPr>
        <w:t>持续推进2020年度市场主体年报公示工作，企业年报率94.91%、农专社年报率86.98%、个体年报率42.19%。开展长期停业未经营企业清理工作，对连续两年未年报企业于11月底前完成清理吊销工作工作。</w:t>
      </w:r>
    </w:p>
    <w:p>
      <w:pPr>
        <w:keepNext w:val="0"/>
        <w:keepLines w:val="0"/>
        <w:pageBreakBefore w:val="0"/>
        <w:kinsoku/>
        <w:wordWrap/>
        <w:overflowPunct/>
        <w:topLinePunct w:val="0"/>
        <w:bidi w:val="0"/>
        <w:adjustRightInd w:val="0"/>
        <w:snapToGrid w:val="0"/>
        <w:spacing w:line="560" w:lineRule="exact"/>
        <w:ind w:left="0" w:right="0"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2.严守食品底线，保障饮食安全</w:t>
      </w:r>
    </w:p>
    <w:p>
      <w:pPr>
        <w:keepNext w:val="0"/>
        <w:keepLines w:val="0"/>
        <w:pageBreakBefore w:val="0"/>
        <w:kinsoku/>
        <w:wordWrap/>
        <w:overflowPunct/>
        <w:topLinePunct w:val="0"/>
        <w:bidi w:val="0"/>
        <w:adjustRightInd w:val="0"/>
        <w:snapToGrid w:val="0"/>
        <w:spacing w:line="560" w:lineRule="exact"/>
        <w:ind w:left="0" w:right="0" w:firstLine="643" w:firstLineChars="200"/>
        <w:textAlignment w:val="auto"/>
        <w:rPr>
          <w:rFonts w:hint="default" w:ascii="Times New Roman" w:hAnsi="Times New Roman" w:eastAsia="仿宋_GB2312" w:cs="Times New Roman"/>
          <w:color w:val="FF0000"/>
          <w:sz w:val="32"/>
          <w:szCs w:val="32"/>
        </w:rPr>
      </w:pPr>
      <w:r>
        <w:rPr>
          <w:rFonts w:hint="default" w:ascii="Times New Roman" w:hAnsi="Times New Roman" w:eastAsia="仿宋_GB2312" w:cs="Times New Roman"/>
          <w:b/>
          <w:bCs/>
          <w:sz w:val="32"/>
          <w:szCs w:val="32"/>
        </w:rPr>
        <w:t>（1）加强食品安全监管。</w:t>
      </w:r>
      <w:r>
        <w:rPr>
          <w:rFonts w:hint="default" w:ascii="Times New Roman" w:hAnsi="Times New Roman" w:eastAsia="仿宋_GB2312" w:cs="Times New Roman"/>
          <w:sz w:val="32"/>
          <w:szCs w:val="32"/>
        </w:rPr>
        <w:t>开展各类食品安全专项整治18次，出动执法人员4012人次，检查食品生产经营单位4812户次，其中生产企业574户次，食品流通2132户次，餐饮服务2106户次。检查过程中，签订品安全承诺书1000余份，发放高中考食品安全告知书100余份，发放散装白酒和自制泡酒标签800余份，张贴禁止向未成年人销售酒类标签800余份，开展食品安全保障12次。</w:t>
      </w:r>
    </w:p>
    <w:p>
      <w:pPr>
        <w:keepNext w:val="0"/>
        <w:keepLines w:val="0"/>
        <w:pageBreakBefore w:val="0"/>
        <w:kinsoku/>
        <w:wordWrap/>
        <w:overflowPunct/>
        <w:topLinePunct w:val="0"/>
        <w:bidi w:val="0"/>
        <w:adjustRightInd w:val="0"/>
        <w:snapToGrid w:val="0"/>
        <w:spacing w:line="560" w:lineRule="exact"/>
        <w:ind w:left="0" w:righ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（2）开展食品安全监督抽检。</w:t>
      </w:r>
      <w:r>
        <w:rPr>
          <w:rFonts w:hint="default" w:ascii="Times New Roman" w:hAnsi="Times New Roman" w:eastAsia="仿宋_GB2312" w:cs="Times New Roman"/>
          <w:sz w:val="32"/>
          <w:szCs w:val="32"/>
        </w:rPr>
        <w:t>开展食品安全监督抽检342批次，其中省级食品及食用农产品监督抽检11批次，市级食品及食用农产品抽检121批次,县级食品及食用农产品抽检210批次。抽检结果为：32批次不合格，其中食品安全监督抽检28批次，风险监测4批次，不合格产品已全部启动核查处置程序。</w:t>
      </w:r>
    </w:p>
    <w:p>
      <w:pPr>
        <w:keepNext w:val="0"/>
        <w:keepLines w:val="0"/>
        <w:pageBreakBefore w:val="0"/>
        <w:kinsoku/>
        <w:wordWrap/>
        <w:overflowPunct/>
        <w:topLinePunct w:val="0"/>
        <w:bidi w:val="0"/>
        <w:adjustRightInd w:val="0"/>
        <w:snapToGrid w:val="0"/>
        <w:spacing w:line="560" w:lineRule="exact"/>
        <w:ind w:left="0" w:righ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（3）开展食品生产经营风险分级管理。</w:t>
      </w:r>
      <w:r>
        <w:rPr>
          <w:rFonts w:hint="default" w:ascii="Times New Roman" w:hAnsi="Times New Roman" w:eastAsia="仿宋_GB2312" w:cs="Times New Roman"/>
          <w:sz w:val="32"/>
          <w:szCs w:val="32"/>
        </w:rPr>
        <w:t>全县投入生产的食品生产企业32户，A级（优秀）4户，B级（良好）18户，C级（一般）8户，新获证待评级2户；食品经营单位1032户，A级12户，B级638户，C级372户，D级10户，三个月内新办3户待评级；餐饮服务单位964户，A级23户、B级548户、C级366户，三个月内新办27户（其中许可8户，备案19户）待评级。</w:t>
      </w:r>
    </w:p>
    <w:p>
      <w:pPr>
        <w:keepNext w:val="0"/>
        <w:keepLines w:val="0"/>
        <w:pageBreakBefore w:val="0"/>
        <w:kinsoku/>
        <w:wordWrap/>
        <w:overflowPunct/>
        <w:topLinePunct w:val="0"/>
        <w:bidi w:val="0"/>
        <w:adjustRightInd w:val="0"/>
        <w:snapToGrid w:val="0"/>
        <w:spacing w:line="560" w:lineRule="exact"/>
        <w:ind w:left="0" w:righ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（4）开展餐饮服务单位明厨亮灶。</w:t>
      </w:r>
      <w:r>
        <w:rPr>
          <w:rFonts w:hint="default" w:ascii="Times New Roman" w:hAnsi="Times New Roman" w:eastAsia="仿宋_GB2312" w:cs="Times New Roman"/>
          <w:sz w:val="32"/>
          <w:szCs w:val="32"/>
        </w:rPr>
        <w:t>对286户持食品经营许可的餐饮单位实施明厨亮灶，实施率为100%，其中透明厨房51户，隔断厨房158户，视频厨房77户。</w:t>
      </w:r>
    </w:p>
    <w:p>
      <w:pPr>
        <w:keepNext w:val="0"/>
        <w:keepLines w:val="0"/>
        <w:pageBreakBefore w:val="0"/>
        <w:kinsoku/>
        <w:wordWrap/>
        <w:overflowPunct/>
        <w:topLinePunct w:val="0"/>
        <w:bidi w:val="0"/>
        <w:adjustRightInd w:val="0"/>
        <w:snapToGrid w:val="0"/>
        <w:spacing w:line="560" w:lineRule="exact"/>
        <w:ind w:left="0" w:righ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（5）落实食品安全主体责任。</w:t>
      </w:r>
      <w:r>
        <w:rPr>
          <w:rFonts w:hint="default" w:ascii="Times New Roman" w:hAnsi="Times New Roman" w:eastAsia="仿宋_GB2312" w:cs="Times New Roman"/>
          <w:sz w:val="32"/>
          <w:szCs w:val="32"/>
        </w:rPr>
        <w:t>召开学校食堂食品安全知识培训会3次，270余人参加培训；开展行政约谈4次，约谈食品生产经营单位21家。加强宣传，发放野生菌食品安全知识宣传单700余份，张贴光盘行动等标识600份，发布食品消费提示2期，开展食品安全知识培训5期，开展食品安全科普知识进社区、进校园6次。</w:t>
      </w:r>
    </w:p>
    <w:p>
      <w:pPr>
        <w:keepNext w:val="0"/>
        <w:keepLines w:val="0"/>
        <w:pageBreakBefore w:val="0"/>
        <w:kinsoku/>
        <w:wordWrap/>
        <w:overflowPunct/>
        <w:topLinePunct w:val="0"/>
        <w:bidi w:val="0"/>
        <w:adjustRightInd w:val="0"/>
        <w:snapToGrid w:val="0"/>
        <w:spacing w:line="560" w:lineRule="exact"/>
        <w:ind w:left="0" w:right="0" w:firstLine="800" w:firstLineChars="25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3.严守特种设备底线，消除事故隐患</w:t>
      </w:r>
    </w:p>
    <w:p>
      <w:pPr>
        <w:keepNext w:val="0"/>
        <w:keepLines w:val="0"/>
        <w:pageBreakBefore w:val="0"/>
        <w:kinsoku/>
        <w:wordWrap/>
        <w:overflowPunct/>
        <w:topLinePunct w:val="0"/>
        <w:bidi w:val="0"/>
        <w:adjustRightInd w:val="0"/>
        <w:snapToGrid w:val="0"/>
        <w:spacing w:line="560" w:lineRule="exact"/>
        <w:ind w:left="0" w:right="0" w:firstLine="643" w:firstLineChars="200"/>
        <w:textAlignment w:val="auto"/>
        <w:rPr>
          <w:rFonts w:hint="default" w:ascii="Times New Roman" w:hAnsi="Times New Roman" w:eastAsia="仿宋_GB2312" w:cs="Times New Roman"/>
          <w:color w:val="FF0000"/>
          <w:sz w:val="32"/>
          <w:szCs w:val="32"/>
        </w:rPr>
      </w:pPr>
      <w:r>
        <w:rPr>
          <w:rFonts w:hint="default" w:ascii="Times New Roman" w:hAnsi="Times New Roman" w:eastAsia="仿宋_GB2312" w:cs="Times New Roman"/>
          <w:b/>
          <w:bCs/>
          <w:sz w:val="32"/>
          <w:szCs w:val="32"/>
        </w:rPr>
        <w:t>（1）加强隐患排查治理，守底线、保安全。</w:t>
      </w:r>
      <w:r>
        <w:rPr>
          <w:rFonts w:hint="default" w:ascii="Times New Roman" w:hAnsi="Times New Roman" w:eastAsia="仿宋_GB2312" w:cs="Times New Roman"/>
          <w:sz w:val="32"/>
          <w:szCs w:val="32"/>
        </w:rPr>
        <w:t>积极推进特种设备分类分级监管。开展各类重大节日特种设备领域各项安全检查和隐患排查整治行动9次，出动特种设备安全执法人员304人次，检查特种设备使用单位222家次，抽查各类特种设备807台／套，发现安全隐患和问题94起，发出《特种设备安全监察指令书》7份，责令相关单位按照要求认真整改，且及时跟踪督促，使事故隐患和问题得到整改落实。</w:t>
      </w:r>
    </w:p>
    <w:p>
      <w:pPr>
        <w:keepNext w:val="0"/>
        <w:keepLines w:val="0"/>
        <w:pageBreakBefore w:val="0"/>
        <w:kinsoku/>
        <w:wordWrap/>
        <w:overflowPunct/>
        <w:topLinePunct w:val="0"/>
        <w:bidi w:val="0"/>
        <w:adjustRightInd w:val="0"/>
        <w:snapToGrid w:val="0"/>
        <w:spacing w:line="560" w:lineRule="exact"/>
        <w:ind w:left="0" w:righ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（2）强化特种设备使用单位落实安全主体责任。</w:t>
      </w:r>
      <w:r>
        <w:rPr>
          <w:rFonts w:hint="default" w:ascii="Times New Roman" w:hAnsi="Times New Roman" w:eastAsia="仿宋_GB2312" w:cs="Times New Roman"/>
          <w:sz w:val="32"/>
          <w:szCs w:val="32"/>
        </w:rPr>
        <w:t>一是督促130余家特种设备在用单位和瓶装液化石油气销售站签订《盐边县2021年度气瓶安全责任承诺书》《盐边县2021年度特种设备使用管理安全责任承诺书》《盐边县2021年度电梯安全使用承诺书》。二是督促指导了50余家特种设备使用单位开展了《特种设备使用管理安全责任清单》工作。三是对四川风行电梯有限公司未开展盐边县红格镇驴王酒楼电梯年度维保、季度维保的情况进行了行政约谈，提高维保公司思想认识、加强管理、采取措施消除事故隐患。</w:t>
      </w:r>
    </w:p>
    <w:p>
      <w:pPr>
        <w:keepNext w:val="0"/>
        <w:keepLines w:val="0"/>
        <w:pageBreakBefore w:val="0"/>
        <w:kinsoku/>
        <w:wordWrap/>
        <w:overflowPunct/>
        <w:topLinePunct w:val="0"/>
        <w:bidi w:val="0"/>
        <w:adjustRightInd w:val="0"/>
        <w:snapToGrid w:val="0"/>
        <w:spacing w:line="560" w:lineRule="exact"/>
        <w:ind w:left="0" w:righ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（3）加强宣传培训。</w:t>
      </w:r>
      <w:r>
        <w:rPr>
          <w:rFonts w:hint="default" w:ascii="Times New Roman" w:hAnsi="Times New Roman" w:eastAsia="仿宋_GB2312" w:cs="Times New Roman"/>
          <w:sz w:val="32"/>
          <w:szCs w:val="32"/>
        </w:rPr>
        <w:t>开展特种设备安全法律法规宣贯及相关安全知识宣传，发放宣传资料2000余份，张贴电梯安全宣传挂图80余张。</w:t>
      </w:r>
    </w:p>
    <w:p>
      <w:pPr>
        <w:keepNext w:val="0"/>
        <w:keepLines w:val="0"/>
        <w:pageBreakBefore w:val="0"/>
        <w:kinsoku/>
        <w:wordWrap/>
        <w:overflowPunct/>
        <w:topLinePunct w:val="0"/>
        <w:bidi w:val="0"/>
        <w:adjustRightInd w:val="0"/>
        <w:snapToGrid w:val="0"/>
        <w:spacing w:line="560" w:lineRule="exact"/>
        <w:ind w:left="0" w:right="0" w:firstLine="800" w:firstLineChars="25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4.促进公平竞争，维护市场秩序</w:t>
      </w:r>
    </w:p>
    <w:p>
      <w:pPr>
        <w:keepNext w:val="0"/>
        <w:keepLines w:val="0"/>
        <w:pageBreakBefore w:val="0"/>
        <w:kinsoku/>
        <w:wordWrap/>
        <w:overflowPunct/>
        <w:topLinePunct w:val="0"/>
        <w:bidi w:val="0"/>
        <w:adjustRightInd w:val="0"/>
        <w:snapToGrid w:val="0"/>
        <w:spacing w:line="560" w:lineRule="exact"/>
        <w:ind w:left="0" w:righ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（1）强化价格监管。</w:t>
      </w:r>
      <w:r>
        <w:rPr>
          <w:rFonts w:hint="default" w:ascii="Times New Roman" w:hAnsi="Times New Roman" w:eastAsia="仿宋_GB2312" w:cs="Times New Roman"/>
          <w:sz w:val="32"/>
          <w:szCs w:val="32"/>
        </w:rPr>
        <w:t>对一次性医用外科口罩、84消毒液、医用酒精、额温枪、散装大米、普通面粉、非转基因大豆油、猪精瘦肉、鸡蛋、白菜、生姜、大蒜、苹果、香蕉等25种重要民生商品及防疫商品开展价格监测60次。</w:t>
      </w:r>
    </w:p>
    <w:p>
      <w:pPr>
        <w:keepNext w:val="0"/>
        <w:keepLines w:val="0"/>
        <w:pageBreakBefore w:val="0"/>
        <w:kinsoku/>
        <w:wordWrap/>
        <w:overflowPunct/>
        <w:topLinePunct w:val="0"/>
        <w:bidi w:val="0"/>
        <w:adjustRightInd w:val="0"/>
        <w:snapToGrid w:val="0"/>
        <w:spacing w:line="560" w:lineRule="exact"/>
        <w:ind w:left="0" w:right="0" w:firstLine="482" w:firstLineChars="15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（2）强化广告监管。</w:t>
      </w:r>
      <w:r>
        <w:rPr>
          <w:rFonts w:hint="default" w:ascii="Times New Roman" w:hAnsi="Times New Roman" w:eastAsia="仿宋_GB2312" w:cs="Times New Roman"/>
          <w:sz w:val="32"/>
          <w:szCs w:val="32"/>
        </w:rPr>
        <w:t>监测户外广告400余条次，召开规范商业宣传2次，当场拆除不规范的药品、医疗等广告40余条。召开违法违规虚假宣传专项整治行政指导工作会2次，24家企业参会，签订《房地产广告审查提示》24份，发放法律法规汇编资料24份。开展烟草广告联合整治2次，撤除不规范广告20余幅。</w:t>
      </w:r>
    </w:p>
    <w:p>
      <w:pPr>
        <w:keepNext w:val="0"/>
        <w:keepLines w:val="0"/>
        <w:pageBreakBefore w:val="0"/>
        <w:kinsoku/>
        <w:wordWrap/>
        <w:overflowPunct/>
        <w:topLinePunct w:val="0"/>
        <w:bidi w:val="0"/>
        <w:adjustRightInd w:val="0"/>
        <w:snapToGrid w:val="0"/>
        <w:spacing w:line="560" w:lineRule="exact"/>
        <w:ind w:left="0" w:right="0" w:firstLine="321" w:firstLineChars="1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（3）纵深推进放心舒心消费环境建设。</w:t>
      </w:r>
      <w:r>
        <w:rPr>
          <w:rFonts w:hint="default" w:ascii="Times New Roman" w:hAnsi="Times New Roman" w:eastAsia="仿宋_GB2312" w:cs="Times New Roman"/>
          <w:sz w:val="32"/>
          <w:szCs w:val="32"/>
        </w:rPr>
        <w:t>强化12315投诉举报流程处理和督办，受理各类投诉举报共125件，投诉65件，举报60件（其中全国12315平台投诉61件，举报48件）；受理并调解投诉结案63件，为消费者挽回经济损失16535元；受理并处理举报结案58件，对其中8件立案查处，处罚款14512元，其余50件经过调查核实后举报不实不予立案。</w:t>
      </w:r>
    </w:p>
    <w:p>
      <w:pPr>
        <w:keepNext w:val="0"/>
        <w:keepLines w:val="0"/>
        <w:pageBreakBefore w:val="0"/>
        <w:kinsoku/>
        <w:wordWrap/>
        <w:overflowPunct/>
        <w:topLinePunct w:val="0"/>
        <w:bidi w:val="0"/>
        <w:adjustRightInd w:val="0"/>
        <w:snapToGrid w:val="0"/>
        <w:spacing w:line="560" w:lineRule="exact"/>
        <w:ind w:left="0" w:right="0" w:firstLine="643" w:firstLineChars="200"/>
        <w:textAlignment w:val="auto"/>
        <w:rPr>
          <w:rFonts w:hint="default" w:ascii="Times New Roman" w:hAnsi="Times New Roman" w:eastAsia="仿宋_GB2312" w:cs="Times New Roman"/>
          <w:color w:val="FF0000"/>
          <w:sz w:val="32"/>
          <w:szCs w:val="32"/>
        </w:rPr>
      </w:pPr>
      <w:r>
        <w:rPr>
          <w:rFonts w:hint="default" w:ascii="Times New Roman" w:hAnsi="Times New Roman" w:eastAsia="仿宋_GB2312" w:cs="Times New Roman"/>
          <w:b/>
          <w:bCs/>
          <w:sz w:val="32"/>
          <w:szCs w:val="32"/>
        </w:rPr>
        <w:t>（4）</w:t>
      </w:r>
      <w:r>
        <w:rPr>
          <w:rFonts w:hint="default" w:ascii="Times New Roman" w:hAnsi="Times New Roman" w:eastAsia="仿宋_GB2312" w:cs="Times New Roman"/>
          <w:b/>
          <w:bCs/>
          <w:sz w:val="32"/>
          <w:szCs w:val="24"/>
        </w:rPr>
        <w:t>强化“双随机、一公开”监管。</w:t>
      </w:r>
      <w:r>
        <w:rPr>
          <w:rFonts w:hint="default" w:ascii="Times New Roman" w:hAnsi="Times New Roman" w:eastAsia="仿宋_GB2312" w:cs="Times New Roman"/>
          <w:sz w:val="32"/>
          <w:szCs w:val="24"/>
        </w:rPr>
        <w:t>做到“进一次门，查多项事”，拟计划抽查企业83户。</w:t>
      </w:r>
    </w:p>
    <w:p>
      <w:pPr>
        <w:keepNext w:val="0"/>
        <w:keepLines w:val="0"/>
        <w:pageBreakBefore w:val="0"/>
        <w:kinsoku/>
        <w:wordWrap/>
        <w:overflowPunct/>
        <w:topLinePunct w:val="0"/>
        <w:bidi w:val="0"/>
        <w:adjustRightInd w:val="0"/>
        <w:snapToGrid w:val="0"/>
        <w:spacing w:line="560" w:lineRule="exact"/>
        <w:ind w:left="0" w:right="0" w:firstLine="643" w:firstLineChars="200"/>
        <w:textAlignment w:val="auto"/>
        <w:rPr>
          <w:rFonts w:hint="default" w:ascii="Times New Roman" w:hAnsi="Times New Roman" w:eastAsia="仿宋_GB2312" w:cs="Times New Roman"/>
          <w:color w:val="FF0000"/>
          <w:sz w:val="32"/>
          <w:szCs w:val="32"/>
        </w:rPr>
      </w:pPr>
      <w:r>
        <w:rPr>
          <w:rFonts w:hint="default" w:ascii="Times New Roman" w:hAnsi="Times New Roman" w:eastAsia="仿宋_GB2312" w:cs="Times New Roman"/>
          <w:b/>
          <w:bCs/>
          <w:sz w:val="32"/>
          <w:szCs w:val="32"/>
        </w:rPr>
        <w:t>（5）禁止向未成年人销售烟酒。</w:t>
      </w:r>
      <w:r>
        <w:rPr>
          <w:rFonts w:hint="default" w:ascii="Times New Roman" w:hAnsi="Times New Roman" w:eastAsia="仿宋_GB2312" w:cs="Times New Roman"/>
          <w:sz w:val="32"/>
          <w:szCs w:val="32"/>
        </w:rPr>
        <w:t>联合检查3次，出动执法人员60余人次，检查经营户100余户，学校２家，商店25户，酒吧4家、歌舞厅9户，张贴了“禁止向未成年人销售酒”的警示标志69张。</w:t>
      </w:r>
    </w:p>
    <w:p>
      <w:pPr>
        <w:keepNext w:val="0"/>
        <w:keepLines w:val="0"/>
        <w:pageBreakBefore w:val="0"/>
        <w:kinsoku/>
        <w:wordWrap/>
        <w:overflowPunct/>
        <w:topLinePunct w:val="0"/>
        <w:bidi w:val="0"/>
        <w:adjustRightInd w:val="0"/>
        <w:snapToGrid w:val="0"/>
        <w:spacing w:line="560" w:lineRule="exact"/>
        <w:ind w:left="0" w:righ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（6）开展长江禁捕工作。</w:t>
      </w:r>
      <w:r>
        <w:rPr>
          <w:rFonts w:hint="default" w:ascii="Times New Roman" w:hAnsi="Times New Roman" w:eastAsia="仿宋_GB2312" w:cs="Times New Roman"/>
          <w:sz w:val="32"/>
          <w:szCs w:val="32"/>
        </w:rPr>
        <w:t>出动执法人员820余人次，检查市场经营主体2200余户次，排查农贸市场170余个次，监测电商网站120个次，查办案件4件，向县公安局移送案件1件，处罚没款共计4.957万元。在餐饮服务单位及活鱼销售点张贴《承诺书》450份，张贴宣传海报1200余张，拆除不规范广告5副。</w:t>
      </w:r>
    </w:p>
    <w:p>
      <w:pPr>
        <w:keepNext w:val="0"/>
        <w:keepLines w:val="0"/>
        <w:pageBreakBefore w:val="0"/>
        <w:kinsoku/>
        <w:wordWrap/>
        <w:overflowPunct/>
        <w:topLinePunct w:val="0"/>
        <w:bidi w:val="0"/>
        <w:spacing w:line="560" w:lineRule="exact"/>
        <w:ind w:left="0" w:right="0" w:firstLine="321" w:firstLineChars="100"/>
        <w:textAlignment w:val="auto"/>
        <w:rPr>
          <w:rFonts w:hint="default" w:ascii="Times New Roman" w:hAnsi="Times New Roman" w:eastAsia="仿宋_GB2312" w:cs="Times New Roman"/>
          <w:sz w:val="32"/>
          <w:szCs w:val="32"/>
        </w:rPr>
      </w:pPr>
      <w:r>
        <w:rPr>
          <w:rFonts w:hint="default" w:ascii="Times New Roman" w:hAnsi="Times New Roman" w:cs="Times New Roman"/>
          <w:b/>
          <w:bCs/>
          <w:sz w:val="32"/>
          <w:szCs w:val="32"/>
        </w:rPr>
        <w:t>（7）</w:t>
      </w:r>
      <w:r>
        <w:rPr>
          <w:rFonts w:hint="default" w:ascii="Times New Roman" w:hAnsi="Times New Roman" w:eastAsia="仿宋_GB2312" w:cs="Times New Roman"/>
          <w:b/>
          <w:bCs/>
          <w:sz w:val="32"/>
          <w:szCs w:val="32"/>
        </w:rPr>
        <w:t>促进蚕桑产业健康发展工作。</w:t>
      </w:r>
      <w:r>
        <w:rPr>
          <w:rFonts w:hint="default" w:ascii="Times New Roman" w:hAnsi="Times New Roman" w:eastAsia="仿宋_GB2312" w:cs="Times New Roman"/>
          <w:sz w:val="32"/>
          <w:szCs w:val="32"/>
        </w:rPr>
        <w:t>联合集中执法检查5次，规范蚕茧收购市场秩序初见成效，19家收购蚕茧经营主体证照齐全，计量器具电子秤均已检定合格，实际收购经营主体都已有仪评记录，对仪评记录不规范已责令整改，对未收购经营主体也提出了要求依法依规收购</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五、评价结论及建议</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（一）评价结论。</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完成情况较好。</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（二）存在的问题。</w:t>
      </w:r>
    </w:p>
    <w:p>
      <w:pPr>
        <w:pStyle w:val="12"/>
        <w:keepNext w:val="0"/>
        <w:keepLines w:val="0"/>
        <w:pageBreakBefore w:val="0"/>
        <w:kinsoku/>
        <w:wordWrap/>
        <w:overflowPunct/>
        <w:topLinePunct w:val="0"/>
        <w:bidi w:val="0"/>
        <w:spacing w:line="560" w:lineRule="exact"/>
        <w:ind w:left="0" w:right="0" w:firstLine="720" w:firstLineChars="225"/>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通过自评，对项目执行过程有效约束不够，存在一定的偏差，今后要进一步完善专项资金管理制度，实行更有力的措施，力求将财务方面的工作做得更好。</w:t>
      </w:r>
      <w:r>
        <w:rPr>
          <w:rFonts w:hint="default" w:ascii="Times New Roman" w:hAnsi="Times New Roman" w:eastAsia="仿宋_GB2312" w:cs="Times New Roman"/>
          <w:color w:val="auto"/>
          <w:sz w:val="32"/>
          <w:szCs w:val="32"/>
          <w:shd w:val="clear" w:color="auto" w:fill="FFFFFF"/>
        </w:rPr>
        <w:t>要加强专项资金管理，严格按照专项实施内容和专项资金使用范围安排支出，坚决杜绝与项目无关的不合理支出，要强化绩效管理理念，开展项目支出绩效评价工作，推动全面实施预算绩效管理工作常态化、制度化、规范化</w:t>
      </w:r>
      <w:r>
        <w:rPr>
          <w:rFonts w:hint="default" w:ascii="Times New Roman" w:hAnsi="Times New Roman" w:eastAsia="仿宋_GB2312" w:cs="Times New Roman"/>
          <w:color w:val="auto"/>
          <w:sz w:val="32"/>
          <w:szCs w:val="32"/>
        </w:rPr>
        <w:t>  。</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（三）相关建议。</w:t>
      </w:r>
    </w:p>
    <w:p>
      <w:pPr>
        <w:keepNext w:val="0"/>
        <w:keepLines w:val="0"/>
        <w:pageBreakBefore w:val="0"/>
        <w:kinsoku/>
        <w:wordWrap/>
        <w:overflowPunct/>
        <w:topLinePunct w:val="0"/>
        <w:bidi w:val="0"/>
        <w:spacing w:line="560" w:lineRule="exact"/>
        <w:ind w:left="0" w:right="0"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rPr>
        <w:t>建议各级财政能够在每年年初下达补助资金，并将专项资金及时拨付，以便于当年的资金安排及使用。</w:t>
      </w:r>
    </w:p>
    <w:p>
      <w:pPr>
        <w:keepNext w:val="0"/>
        <w:keepLines w:val="0"/>
        <w:pageBreakBefore w:val="0"/>
        <w:kinsoku/>
        <w:wordWrap/>
        <w:overflowPunct/>
        <w:topLinePunct w:val="0"/>
        <w:bidi w:val="0"/>
        <w:adjustRightInd w:val="0"/>
        <w:snapToGrid w:val="0"/>
        <w:spacing w:line="560" w:lineRule="exact"/>
        <w:ind w:left="0" w:right="0" w:firstLine="720"/>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bidi w:val="0"/>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rPr>
          <w:rFonts w:hint="default" w:ascii="Times New Roman" w:hAnsi="Times New Roman" w:eastAsia="方正小标宋简体" w:cs="Times New Roman"/>
          <w:color w:val="000000"/>
          <w:kern w:val="0"/>
          <w:sz w:val="44"/>
          <w:szCs w:val="44"/>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FSong-XB-80-Win-GB">
    <w:altName w:val="微软雅黑"/>
    <w:panose1 w:val="00000000000000000000"/>
    <w:charset w:val="86"/>
    <w:family w:val="swiss"/>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C51717"/>
    <w:multiLevelType w:val="singleLevel"/>
    <w:tmpl w:val="E9C51717"/>
    <w:lvl w:ilvl="0" w:tentative="0">
      <w:start w:val="3"/>
      <w:numFmt w:val="chineseCounting"/>
      <w:suff w:val="nothing"/>
      <w:lvlText w:val="（%1）"/>
      <w:lvlJc w:val="left"/>
      <w:rPr>
        <w:rFonts w:hint="eastAsia"/>
      </w:rPr>
    </w:lvl>
  </w:abstractNum>
  <w:abstractNum w:abstractNumId="1">
    <w:nsid w:val="7E734CDB"/>
    <w:multiLevelType w:val="singleLevel"/>
    <w:tmpl w:val="7E734CDB"/>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AwMmEwYTBmNGMxNDk4Nzc3NmYyNGJhMDVlMTNkNjEifQ=="/>
  </w:docVars>
  <w:rsids>
    <w:rsidRoot w:val="00E96F9E"/>
    <w:rsid w:val="000400EA"/>
    <w:rsid w:val="00080FB2"/>
    <w:rsid w:val="000F7E08"/>
    <w:rsid w:val="001274A4"/>
    <w:rsid w:val="00151CC4"/>
    <w:rsid w:val="00193380"/>
    <w:rsid w:val="001C043F"/>
    <w:rsid w:val="001C536C"/>
    <w:rsid w:val="001C7E3D"/>
    <w:rsid w:val="001D297F"/>
    <w:rsid w:val="001F4D68"/>
    <w:rsid w:val="00202728"/>
    <w:rsid w:val="0020506B"/>
    <w:rsid w:val="00207B81"/>
    <w:rsid w:val="00281073"/>
    <w:rsid w:val="00281FD5"/>
    <w:rsid w:val="00312127"/>
    <w:rsid w:val="00316B6D"/>
    <w:rsid w:val="00384648"/>
    <w:rsid w:val="0038642F"/>
    <w:rsid w:val="003B0B5F"/>
    <w:rsid w:val="003F3D46"/>
    <w:rsid w:val="00422E8E"/>
    <w:rsid w:val="0043656F"/>
    <w:rsid w:val="00441BDB"/>
    <w:rsid w:val="004739CD"/>
    <w:rsid w:val="0049387A"/>
    <w:rsid w:val="004A4B6B"/>
    <w:rsid w:val="004C5C3B"/>
    <w:rsid w:val="004C6B01"/>
    <w:rsid w:val="004F3908"/>
    <w:rsid w:val="004F5B34"/>
    <w:rsid w:val="004F5C2A"/>
    <w:rsid w:val="00522F8B"/>
    <w:rsid w:val="0054047C"/>
    <w:rsid w:val="00552901"/>
    <w:rsid w:val="00575F69"/>
    <w:rsid w:val="005776B7"/>
    <w:rsid w:val="005F0A2D"/>
    <w:rsid w:val="0060054B"/>
    <w:rsid w:val="00615185"/>
    <w:rsid w:val="006158B0"/>
    <w:rsid w:val="00640C38"/>
    <w:rsid w:val="006460BE"/>
    <w:rsid w:val="006572E9"/>
    <w:rsid w:val="00667F6F"/>
    <w:rsid w:val="006A0C29"/>
    <w:rsid w:val="006A0D1D"/>
    <w:rsid w:val="006A0D1E"/>
    <w:rsid w:val="007178E1"/>
    <w:rsid w:val="00732DFF"/>
    <w:rsid w:val="00746E6E"/>
    <w:rsid w:val="00757B9A"/>
    <w:rsid w:val="0077328F"/>
    <w:rsid w:val="007A0A62"/>
    <w:rsid w:val="007D41AC"/>
    <w:rsid w:val="007D5CAF"/>
    <w:rsid w:val="007E7F44"/>
    <w:rsid w:val="008240E1"/>
    <w:rsid w:val="008C5EF9"/>
    <w:rsid w:val="00924913"/>
    <w:rsid w:val="009440CC"/>
    <w:rsid w:val="009474F7"/>
    <w:rsid w:val="009618F2"/>
    <w:rsid w:val="00A1519C"/>
    <w:rsid w:val="00A54F80"/>
    <w:rsid w:val="00A76A01"/>
    <w:rsid w:val="00A77649"/>
    <w:rsid w:val="00AA7C5C"/>
    <w:rsid w:val="00AE272D"/>
    <w:rsid w:val="00B801B4"/>
    <w:rsid w:val="00BA6F15"/>
    <w:rsid w:val="00BC044E"/>
    <w:rsid w:val="00BF5B76"/>
    <w:rsid w:val="00C22052"/>
    <w:rsid w:val="00C2530B"/>
    <w:rsid w:val="00C346A4"/>
    <w:rsid w:val="00C34BDF"/>
    <w:rsid w:val="00C366D5"/>
    <w:rsid w:val="00C90671"/>
    <w:rsid w:val="00CB2128"/>
    <w:rsid w:val="00CD6BED"/>
    <w:rsid w:val="00CE0AE3"/>
    <w:rsid w:val="00D37D1E"/>
    <w:rsid w:val="00D5328B"/>
    <w:rsid w:val="00D66DCD"/>
    <w:rsid w:val="00D84250"/>
    <w:rsid w:val="00E83788"/>
    <w:rsid w:val="00E96F9E"/>
    <w:rsid w:val="00EB266B"/>
    <w:rsid w:val="00F205DF"/>
    <w:rsid w:val="00F35EBD"/>
    <w:rsid w:val="00F82B1D"/>
    <w:rsid w:val="00FB22AC"/>
    <w:rsid w:val="33B22CE5"/>
    <w:rsid w:val="5B1F5718"/>
    <w:rsid w:val="61E42F7D"/>
    <w:rsid w:val="67AF687A"/>
    <w:rsid w:val="73D21D9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7"/>
    <w:qFormat/>
    <w:uiPriority w:val="0"/>
    <w:rPr>
      <w:rFonts w:ascii="Calibri" w:hAnsi="Calibri"/>
      <w:sz w:val="32"/>
      <w:szCs w:val="32"/>
    </w:rPr>
  </w:style>
  <w:style w:type="paragraph" w:styleId="3">
    <w:name w:val="Plain Text"/>
    <w:basedOn w:val="1"/>
    <w:link w:val="14"/>
    <w:qFormat/>
    <w:uiPriority w:val="0"/>
    <w:rPr>
      <w:rFonts w:ascii="宋体" w:hAnsi="Courier New"/>
      <w:szCs w:val="24"/>
    </w:rPr>
  </w:style>
  <w:style w:type="paragraph" w:styleId="4">
    <w:name w:val="Balloon Text"/>
    <w:basedOn w:val="1"/>
    <w:link w:val="18"/>
    <w:semiHidden/>
    <w:unhideWhenUsed/>
    <w:qFormat/>
    <w:uiPriority w:val="99"/>
    <w:rPr>
      <w:sz w:val="18"/>
      <w:szCs w:val="1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kern w:val="0"/>
      <w:sz w:val="24"/>
    </w:rPr>
  </w:style>
  <w:style w:type="character" w:customStyle="1" w:styleId="10">
    <w:name w:val="页眉 Char"/>
    <w:link w:val="6"/>
    <w:qFormat/>
    <w:locked/>
    <w:uiPriority w:val="99"/>
    <w:rPr>
      <w:rFonts w:ascii="Times New Roman" w:hAnsi="Times New Roman" w:eastAsia="宋体" w:cs="Times New Roman"/>
      <w:kern w:val="2"/>
      <w:sz w:val="18"/>
      <w:szCs w:val="18"/>
    </w:rPr>
  </w:style>
  <w:style w:type="character" w:customStyle="1" w:styleId="11">
    <w:name w:val="页脚 Char"/>
    <w:link w:val="5"/>
    <w:qFormat/>
    <w:locked/>
    <w:uiPriority w:val="99"/>
    <w:rPr>
      <w:rFonts w:ascii="Times New Roman" w:hAnsi="Times New Roman" w:eastAsia="宋体" w:cs="Times New Roman"/>
      <w:kern w:val="2"/>
      <w:sz w:val="18"/>
      <w:szCs w:val="18"/>
    </w:rPr>
  </w:style>
  <w:style w:type="paragraph" w:customStyle="1" w:styleId="12">
    <w:name w:val="Default"/>
    <w:uiPriority w:val="99"/>
    <w:pPr>
      <w:widowControl w:val="0"/>
      <w:autoSpaceDE w:val="0"/>
      <w:autoSpaceDN w:val="0"/>
      <w:adjustRightInd w:val="0"/>
    </w:pPr>
    <w:rPr>
      <w:rFonts w:ascii="DFSong-XB-80-Win-GB" w:hAnsi="Calibri" w:eastAsia="DFSong-XB-80-Win-GB" w:cs="DFSong-XB-80-Win-GB"/>
      <w:color w:val="000000"/>
      <w:sz w:val="24"/>
      <w:szCs w:val="24"/>
      <w:lang w:val="en-US" w:eastAsia="zh-CN" w:bidi="ar-SA"/>
    </w:rPr>
  </w:style>
  <w:style w:type="paragraph" w:customStyle="1" w:styleId="13">
    <w:name w:val="正文2"/>
    <w:basedOn w:val="1"/>
    <w:next w:val="1"/>
    <w:qFormat/>
    <w:uiPriority w:val="99"/>
    <w:rPr>
      <w:rFonts w:ascii="Calibri" w:hAnsi="Calibri"/>
      <w:szCs w:val="24"/>
    </w:rPr>
  </w:style>
  <w:style w:type="character" w:customStyle="1" w:styleId="14">
    <w:name w:val="纯文本 Char"/>
    <w:link w:val="3"/>
    <w:uiPriority w:val="0"/>
    <w:rPr>
      <w:rFonts w:ascii="宋体" w:hAnsi="Courier New"/>
      <w:kern w:val="2"/>
      <w:sz w:val="21"/>
      <w:szCs w:val="24"/>
    </w:rPr>
  </w:style>
  <w:style w:type="character" w:customStyle="1" w:styleId="15">
    <w:name w:val="fontstyle01"/>
    <w:qFormat/>
    <w:uiPriority w:val="0"/>
    <w:rPr>
      <w:rFonts w:hint="eastAsia" w:ascii="仿宋_GB2312" w:eastAsia="仿宋_GB2312"/>
      <w:color w:val="000000"/>
      <w:sz w:val="32"/>
      <w:szCs w:val="32"/>
    </w:rPr>
  </w:style>
  <w:style w:type="paragraph" w:customStyle="1" w:styleId="16">
    <w:name w:val="Body text|1"/>
    <w:basedOn w:val="1"/>
    <w:qFormat/>
    <w:uiPriority w:val="0"/>
    <w:pPr>
      <w:spacing w:line="425" w:lineRule="auto"/>
      <w:ind w:firstLine="400"/>
    </w:pPr>
    <w:rPr>
      <w:rFonts w:ascii="宋体" w:hAnsi="宋体" w:cs="宋体"/>
      <w:sz w:val="28"/>
      <w:szCs w:val="28"/>
      <w:lang w:val="zh-TW" w:eastAsia="zh-TW" w:bidi="zh-TW"/>
    </w:rPr>
  </w:style>
  <w:style w:type="character" w:customStyle="1" w:styleId="17">
    <w:name w:val="正文文本 Char"/>
    <w:link w:val="2"/>
    <w:qFormat/>
    <w:uiPriority w:val="0"/>
    <w:rPr>
      <w:kern w:val="2"/>
      <w:sz w:val="32"/>
      <w:szCs w:val="32"/>
    </w:rPr>
  </w:style>
  <w:style w:type="character" w:customStyle="1" w:styleId="18">
    <w:name w:val="批注框文本 Char"/>
    <w:link w:val="4"/>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WwW.YlmF.CoM</Company>
  <Pages>49</Pages>
  <Words>20522</Words>
  <Characters>21627</Characters>
  <Lines>156</Lines>
  <Paragraphs>44</Paragraphs>
  <TotalTime>68</TotalTime>
  <ScaleCrop>false</ScaleCrop>
  <LinksUpToDate>false</LinksUpToDate>
  <CharactersWithSpaces>21676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Owner</cp:lastModifiedBy>
  <cp:lastPrinted>2022-05-14T05:57:00Z</cp:lastPrinted>
  <dcterms:modified xsi:type="dcterms:W3CDTF">2023-07-17T09:19:30Z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9C89156186264BCB8A5A3BCA27DECCBE</vt:lpwstr>
  </property>
</Properties>
</file>