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left"/>
        <w:rPr>
          <w:rFonts w:ascii="Times New Roman" w:hAnsi="Times New Roman" w:eastAsia="仿宋_GB2312"/>
          <w:sz w:val="32"/>
          <w:szCs w:val="32"/>
        </w:rPr>
      </w:pPr>
    </w:p>
    <w:p>
      <w:pPr>
        <w:spacing w:line="600" w:lineRule="exact"/>
        <w:rPr>
          <w:rFonts w:ascii="方正小标宋简体" w:hAnsi="宋体" w:eastAsia="方正小标宋简体" w:cs="方正小标宋简体"/>
          <w:b/>
          <w:color w:val="000000"/>
          <w:kern w:val="0"/>
          <w:sz w:val="40"/>
          <w:szCs w:val="40"/>
        </w:rPr>
      </w:pPr>
    </w:p>
    <w:p>
      <w:pPr>
        <w:spacing w:line="600" w:lineRule="exact"/>
        <w:jc w:val="center"/>
        <w:rPr>
          <w:rFonts w:cs="方正小标宋简体" w:asciiTheme="majorEastAsia" w:hAnsiTheme="majorEastAsia" w:eastAsiaTheme="majorEastAsia"/>
          <w:b/>
          <w:color w:val="000000"/>
          <w:kern w:val="0"/>
          <w:sz w:val="40"/>
          <w:szCs w:val="40"/>
          <w:lang w:val="zh-CN"/>
        </w:rPr>
      </w:pPr>
      <w:r>
        <w:rPr>
          <w:rFonts w:hint="eastAsia" w:cs="方正小标宋简体" w:asciiTheme="majorEastAsia" w:hAnsiTheme="majorEastAsia" w:eastAsiaTheme="majorEastAsia"/>
          <w:b/>
          <w:color w:val="000000"/>
          <w:kern w:val="0"/>
          <w:sz w:val="40"/>
          <w:szCs w:val="40"/>
        </w:rPr>
        <w:t>盐边县乡村振兴局2021年部门预算</w:t>
      </w:r>
      <w:r>
        <w:rPr>
          <w:rFonts w:hint="eastAsia" w:cs="方正小标宋简体" w:asciiTheme="majorEastAsia" w:hAnsiTheme="majorEastAsia" w:eastAsiaTheme="majorEastAsia"/>
          <w:b/>
          <w:color w:val="000000"/>
          <w:kern w:val="0"/>
          <w:sz w:val="40"/>
          <w:szCs w:val="40"/>
          <w:lang w:val="zh-CN"/>
        </w:rPr>
        <w:t>整体支出绩效自评报告</w:t>
      </w:r>
    </w:p>
    <w:p>
      <w:pPr>
        <w:spacing w:line="560" w:lineRule="exact"/>
        <w:ind w:firstLine="643" w:firstLineChars="20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一、部门概况</w:t>
      </w:r>
    </w:p>
    <w:p>
      <w:pPr>
        <w:widowControl/>
        <w:adjustRightInd w:val="0"/>
        <w:snapToGrid w:val="0"/>
        <w:spacing w:line="560" w:lineRule="exact"/>
        <w:ind w:firstLine="643" w:firstLineChars="200"/>
        <w:jc w:val="left"/>
        <w:rPr>
          <w:rFonts w:cs="仿宋_GB2312" w:asciiTheme="majorEastAsia" w:hAnsiTheme="majorEastAsia" w:eastAsiaTheme="majorEastAsia"/>
          <w:b/>
          <w:color w:val="000000"/>
          <w:kern w:val="0"/>
          <w:sz w:val="32"/>
          <w:szCs w:val="32"/>
          <w:shd w:val="clear" w:color="auto" w:fill="FFFFFF"/>
          <w:lang w:val="zh-CN"/>
        </w:rPr>
      </w:pPr>
      <w:r>
        <w:rPr>
          <w:rFonts w:hint="eastAsia" w:cs="仿宋_GB2312" w:asciiTheme="majorEastAsia" w:hAnsiTheme="majorEastAsia" w:eastAsiaTheme="majorEastAsia"/>
          <w:b/>
          <w:color w:val="000000"/>
          <w:kern w:val="0"/>
          <w:sz w:val="32"/>
          <w:szCs w:val="32"/>
          <w:shd w:val="clear" w:color="auto" w:fill="FFFFFF"/>
          <w:lang w:val="zh-CN"/>
        </w:rPr>
        <w:t>（一）机构组成</w:t>
      </w:r>
    </w:p>
    <w:p>
      <w:pPr>
        <w:widowControl/>
        <w:shd w:val="clear" w:color="auto" w:fill="FFFFFF"/>
        <w:spacing w:line="590" w:lineRule="atLeast"/>
        <w:jc w:val="left"/>
        <w:rPr>
          <w:rFonts w:cs="宋体" w:asciiTheme="majorEastAsia" w:hAnsiTheme="majorEastAsia" w:eastAsiaTheme="majorEastAsia"/>
          <w:color w:val="333333"/>
          <w:kern w:val="0"/>
          <w:sz w:val="32"/>
          <w:szCs w:val="32"/>
        </w:rPr>
      </w:pPr>
      <w:r>
        <w:rPr>
          <w:rFonts w:hint="eastAsia" w:cs="宋体" w:asciiTheme="majorEastAsia" w:hAnsiTheme="majorEastAsia" w:eastAsiaTheme="majorEastAsia"/>
          <w:b/>
          <w:color w:val="000000"/>
          <w:kern w:val="0"/>
          <w:sz w:val="32"/>
          <w:szCs w:val="32"/>
        </w:rPr>
        <w:t xml:space="preserve">  </w:t>
      </w:r>
      <w:r>
        <w:rPr>
          <w:rFonts w:hint="eastAsia" w:cs="宋体" w:asciiTheme="majorEastAsia" w:hAnsiTheme="majorEastAsia" w:eastAsiaTheme="majorEastAsia"/>
          <w:color w:val="000000"/>
          <w:kern w:val="0"/>
          <w:sz w:val="32"/>
          <w:szCs w:val="32"/>
        </w:rPr>
        <w:t xml:space="preserve"> 局机关内设办公室、扶贫开发股、</w:t>
      </w:r>
      <w:r>
        <w:rPr>
          <w:rStyle w:val="13"/>
          <w:rFonts w:hint="default" w:asciiTheme="majorEastAsia" w:hAnsiTheme="majorEastAsia" w:eastAsiaTheme="majorEastAsia"/>
          <w:sz w:val="32"/>
          <w:szCs w:val="32"/>
        </w:rPr>
        <w:t>移民规安采煤沉陷区综合股</w:t>
      </w:r>
      <w:r>
        <w:rPr>
          <w:rFonts w:hint="eastAsia" w:cs="宋体" w:asciiTheme="majorEastAsia" w:hAnsiTheme="majorEastAsia" w:eastAsiaTheme="majorEastAsia"/>
          <w:color w:val="000000"/>
          <w:kern w:val="0"/>
          <w:sz w:val="32"/>
          <w:szCs w:val="32"/>
        </w:rPr>
        <w:t>等5个职能股（室）和1个下属事业单位盐边县扶贫移民服务中心。</w:t>
      </w:r>
    </w:p>
    <w:p>
      <w:pPr>
        <w:widowControl/>
        <w:numPr>
          <w:ilvl w:val="0"/>
          <w:numId w:val="1"/>
        </w:numPr>
        <w:adjustRightInd w:val="0"/>
        <w:snapToGrid w:val="0"/>
        <w:spacing w:line="560" w:lineRule="exact"/>
        <w:ind w:firstLine="643" w:firstLineChars="200"/>
        <w:jc w:val="left"/>
        <w:rPr>
          <w:rFonts w:cs="仿宋_GB2312" w:asciiTheme="majorEastAsia" w:hAnsiTheme="majorEastAsia" w:eastAsiaTheme="majorEastAsia"/>
          <w:b/>
          <w:color w:val="000000"/>
          <w:kern w:val="0"/>
          <w:sz w:val="32"/>
          <w:szCs w:val="32"/>
          <w:shd w:val="clear" w:color="auto" w:fill="FFFFFF"/>
        </w:rPr>
      </w:pPr>
      <w:r>
        <w:rPr>
          <w:rFonts w:hint="eastAsia" w:cs="仿宋_GB2312" w:asciiTheme="majorEastAsia" w:hAnsiTheme="majorEastAsia" w:eastAsiaTheme="majorEastAsia"/>
          <w:b/>
          <w:color w:val="000000"/>
          <w:kern w:val="0"/>
          <w:sz w:val="32"/>
          <w:szCs w:val="32"/>
          <w:shd w:val="clear" w:color="auto" w:fill="FFFFFF"/>
          <w:lang w:val="zh-CN"/>
        </w:rPr>
        <w:t>机构职能</w:t>
      </w:r>
    </w:p>
    <w:p>
      <w:pPr>
        <w:widowControl/>
        <w:adjustRightInd w:val="0"/>
        <w:snapToGrid w:val="0"/>
        <w:spacing w:line="560" w:lineRule="exact"/>
        <w:ind w:left="640"/>
        <w:jc w:val="left"/>
        <w:rPr>
          <w:rStyle w:val="14"/>
          <w:rFonts w:hint="default" w:asciiTheme="majorEastAsia" w:hAnsiTheme="majorEastAsia" w:eastAsiaTheme="majorEastAsia"/>
          <w:sz w:val="32"/>
          <w:szCs w:val="32"/>
        </w:rPr>
      </w:pPr>
      <w:r>
        <w:rPr>
          <w:rFonts w:hint="eastAsia" w:cs="仿宋_GB2312" w:asciiTheme="majorEastAsia" w:hAnsiTheme="majorEastAsia" w:eastAsiaTheme="majorEastAsia"/>
          <w:color w:val="000000"/>
          <w:kern w:val="0"/>
          <w:sz w:val="32"/>
          <w:szCs w:val="32"/>
          <w:shd w:val="clear" w:color="auto" w:fill="FFFFFF"/>
        </w:rPr>
        <w:t xml:space="preserve">  1、</w:t>
      </w:r>
      <w:r>
        <w:rPr>
          <w:rStyle w:val="13"/>
          <w:rFonts w:hint="default" w:asciiTheme="majorEastAsia" w:hAnsiTheme="majorEastAsia" w:eastAsiaTheme="majorEastAsia"/>
        </w:rPr>
        <w:t>负责职责范围内的安全生产和职业健康、 生态环境保护、 审批服务便民化等工作。</w:t>
      </w:r>
      <w:r>
        <w:rPr>
          <w:rFonts w:asciiTheme="majorEastAsia" w:hAnsiTheme="majorEastAsia" w:eastAsiaTheme="majorEastAsia"/>
          <w:color w:val="000000"/>
          <w:sz w:val="28"/>
          <w:szCs w:val="28"/>
        </w:rPr>
        <w:br w:type="textWrapping"/>
      </w:r>
      <w:r>
        <w:rPr>
          <w:rStyle w:val="13"/>
          <w:rFonts w:hint="default" w:asciiTheme="majorEastAsia" w:hAnsiTheme="majorEastAsia" w:eastAsiaTheme="majorEastAsia"/>
        </w:rPr>
        <w:t xml:space="preserve">  2、与县发展改革局有关职责分工。 </w:t>
      </w:r>
      <w:r>
        <w:rPr>
          <w:rStyle w:val="14"/>
          <w:rFonts w:hint="default" w:asciiTheme="majorEastAsia" w:hAnsiTheme="majorEastAsia" w:eastAsiaTheme="majorEastAsia"/>
        </w:rPr>
        <w:t>贯彻中央、省、市采煤沉陷区综合治理的方针政策。县发展改革局负责采煤沉陷区规划编制、项目争取相关工作。县乡村振兴局牵头采煤沉陷区综合治理工作，指导、督促县级相关部门做好采煤沉陷区综合治理项目的组织实施工作</w:t>
      </w:r>
    </w:p>
    <w:p>
      <w:pPr>
        <w:widowControl/>
        <w:adjustRightInd w:val="0"/>
        <w:snapToGrid w:val="0"/>
        <w:spacing w:line="560" w:lineRule="exact"/>
        <w:ind w:firstLine="420" w:firstLineChars="200"/>
        <w:jc w:val="left"/>
        <w:rPr>
          <w:rFonts w:asciiTheme="majorEastAsia" w:hAnsiTheme="majorEastAsia" w:eastAsiaTheme="majorEastAsia"/>
          <w:color w:val="333333"/>
        </w:rPr>
      </w:pPr>
    </w:p>
    <w:p>
      <w:pPr>
        <w:widowControl/>
        <w:adjustRightInd w:val="0"/>
        <w:snapToGrid w:val="0"/>
        <w:spacing w:line="560" w:lineRule="exact"/>
        <w:ind w:firstLine="643" w:firstLineChars="200"/>
        <w:jc w:val="left"/>
        <w:rPr>
          <w:rFonts w:cs="仿宋_GB2312" w:asciiTheme="majorEastAsia" w:hAnsiTheme="majorEastAsia" w:eastAsiaTheme="majorEastAsia"/>
          <w:b/>
          <w:color w:val="333333"/>
          <w:sz w:val="32"/>
          <w:szCs w:val="32"/>
          <w:shd w:val="clear" w:color="auto" w:fill="FFFFFF"/>
        </w:rPr>
      </w:pPr>
      <w:r>
        <w:rPr>
          <w:rFonts w:hint="eastAsia" w:cs="仿宋_GB2312" w:asciiTheme="majorEastAsia" w:hAnsiTheme="majorEastAsia" w:eastAsiaTheme="majorEastAsia"/>
          <w:b/>
          <w:color w:val="000000"/>
          <w:kern w:val="0"/>
          <w:sz w:val="32"/>
          <w:szCs w:val="32"/>
          <w:shd w:val="clear" w:color="auto" w:fill="FFFFFF"/>
          <w:lang w:val="zh-CN"/>
        </w:rPr>
        <w:t>（三）人员概况</w:t>
      </w:r>
    </w:p>
    <w:p>
      <w:pPr>
        <w:widowControl/>
        <w:adjustRightInd w:val="0"/>
        <w:snapToGrid w:val="0"/>
        <w:spacing w:line="560" w:lineRule="exact"/>
        <w:ind w:firstLine="640" w:firstLineChars="200"/>
        <w:jc w:val="left"/>
        <w:rPr>
          <w:rFonts w:cs="仿宋_GB2312" w:asciiTheme="majorEastAsia" w:hAnsiTheme="majorEastAsia" w:eastAsiaTheme="majorEastAsia"/>
          <w:color w:val="000000"/>
          <w:kern w:val="0"/>
          <w:sz w:val="32"/>
          <w:szCs w:val="32"/>
          <w:shd w:val="clear" w:color="auto" w:fill="FFFFFF"/>
          <w:lang w:val="zh-CN"/>
        </w:rPr>
      </w:pPr>
      <w:r>
        <w:rPr>
          <w:rFonts w:hint="eastAsia" w:cs="仿宋_GB2312" w:asciiTheme="majorEastAsia" w:hAnsiTheme="majorEastAsia" w:eastAsiaTheme="majorEastAsia"/>
          <w:color w:val="333333"/>
          <w:sz w:val="32"/>
          <w:szCs w:val="32"/>
          <w:shd w:val="clear" w:color="auto" w:fill="FFFFFF"/>
        </w:rPr>
        <w:t>盐边县乡村振兴局现有编制数</w:t>
      </w:r>
      <w:r>
        <w:rPr>
          <w:rFonts w:asciiTheme="majorEastAsia" w:hAnsiTheme="majorEastAsia" w:eastAsiaTheme="majorEastAsia"/>
          <w:sz w:val="32"/>
          <w:szCs w:val="32"/>
        </w:rPr>
        <w:t>20</w:t>
      </w:r>
      <w:r>
        <w:rPr>
          <w:rFonts w:hint="eastAsia" w:cs="仿宋_GB2312" w:asciiTheme="majorEastAsia" w:hAnsiTheme="majorEastAsia" w:eastAsiaTheme="majorEastAsia"/>
          <w:color w:val="333333"/>
          <w:sz w:val="32"/>
          <w:szCs w:val="32"/>
          <w:shd w:val="clear" w:color="auto" w:fill="FFFFFF"/>
        </w:rPr>
        <w:t>人，</w:t>
      </w:r>
      <w:r>
        <w:rPr>
          <w:rFonts w:hint="eastAsia" w:cs="仿宋_GB2312" w:asciiTheme="majorEastAsia" w:hAnsiTheme="majorEastAsia" w:eastAsiaTheme="majorEastAsia"/>
          <w:color w:val="000000"/>
          <w:sz w:val="32"/>
          <w:szCs w:val="32"/>
          <w:shd w:val="clear" w:color="auto" w:fill="FFFFFF"/>
        </w:rPr>
        <w:t>其中：行政编制15人，</w:t>
      </w:r>
      <w:r>
        <w:rPr>
          <w:rFonts w:hint="eastAsia" w:cs="仿宋_GB2312" w:asciiTheme="majorEastAsia" w:hAnsiTheme="majorEastAsia" w:eastAsiaTheme="majorEastAsia"/>
          <w:color w:val="333333"/>
          <w:sz w:val="32"/>
          <w:szCs w:val="32"/>
          <w:shd w:val="clear" w:color="auto" w:fill="FFFFFF"/>
        </w:rPr>
        <w:t>工勤人员1人，事业编制4人，2019年年末在职人员18人，其中行政编制12人，工勤编制5人，事业编制1人。</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二、部门资金基本情况</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（一）年初部门预算安排及支出情况</w:t>
      </w:r>
    </w:p>
    <w:p>
      <w:pPr>
        <w:pStyle w:val="4"/>
        <w:numPr>
          <w:ilvl w:val="0"/>
          <w:numId w:val="2"/>
        </w:numPr>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基本支出安排及使用情况</w:t>
      </w:r>
    </w:p>
    <w:p>
      <w:pPr>
        <w:pStyle w:val="4"/>
        <w:spacing w:line="560" w:lineRule="exact"/>
        <w:ind w:firstLine="640" w:firstLineChars="200"/>
        <w:jc w:val="left"/>
        <w:rPr>
          <w:rFonts w:asciiTheme="majorEastAsia" w:hAnsiTheme="majorEastAsia" w:eastAsiaTheme="majorEastAsia"/>
          <w:sz w:val="32"/>
          <w:szCs w:val="32"/>
        </w:rPr>
      </w:pPr>
      <w:r>
        <w:rPr>
          <w:rFonts w:asciiTheme="majorEastAsia" w:hAnsiTheme="majorEastAsia" w:eastAsiaTheme="majorEastAsia"/>
          <w:sz w:val="32"/>
          <w:szCs w:val="32"/>
        </w:rPr>
        <w:t>2</w:t>
      </w:r>
      <w:r>
        <w:rPr>
          <w:rFonts w:hint="eastAsia" w:asciiTheme="majorEastAsia" w:hAnsiTheme="majorEastAsia" w:eastAsiaTheme="majorEastAsia"/>
          <w:sz w:val="32"/>
          <w:szCs w:val="32"/>
        </w:rPr>
        <w:t>021年度收入8919.47万元，与</w:t>
      </w:r>
      <w:r>
        <w:rPr>
          <w:rFonts w:asciiTheme="majorEastAsia" w:hAnsiTheme="majorEastAsia" w:eastAsiaTheme="majorEastAsia"/>
          <w:sz w:val="32"/>
          <w:szCs w:val="32"/>
        </w:rPr>
        <w:t>2</w:t>
      </w:r>
      <w:r>
        <w:rPr>
          <w:rFonts w:hint="eastAsia" w:asciiTheme="majorEastAsia" w:hAnsiTheme="majorEastAsia" w:eastAsiaTheme="majorEastAsia"/>
          <w:sz w:val="32"/>
          <w:szCs w:val="32"/>
        </w:rPr>
        <w:t>020年9202.72万元相比，收入增加283.25万元，减少</w:t>
      </w:r>
      <w:r>
        <w:rPr>
          <w:rFonts w:asciiTheme="majorEastAsia" w:hAnsiTheme="majorEastAsia" w:eastAsiaTheme="majorEastAsia"/>
          <w:sz w:val="32"/>
          <w:szCs w:val="32"/>
        </w:rPr>
        <w:t>1</w:t>
      </w:r>
      <w:r>
        <w:rPr>
          <w:rFonts w:hint="eastAsia" w:asciiTheme="majorEastAsia" w:hAnsiTheme="majorEastAsia" w:eastAsiaTheme="majorEastAsia"/>
          <w:sz w:val="32"/>
          <w:szCs w:val="32"/>
        </w:rPr>
        <w:t>3</w:t>
      </w:r>
      <w:r>
        <w:rPr>
          <w:rFonts w:asciiTheme="majorEastAsia" w:hAnsiTheme="majorEastAsia" w:eastAsiaTheme="majorEastAsia"/>
          <w:sz w:val="32"/>
          <w:szCs w:val="32"/>
        </w:rPr>
        <w:t>%</w:t>
      </w:r>
      <w:r>
        <w:rPr>
          <w:rFonts w:hint="eastAsia" w:asciiTheme="majorEastAsia" w:hAnsiTheme="majorEastAsia" w:eastAsiaTheme="majorEastAsia"/>
          <w:sz w:val="32"/>
          <w:szCs w:val="32"/>
        </w:rPr>
        <w:t>；2021年度支出15032.47万元，与2020年7790.08万元相比增加7242.39万元，增长92.96</w:t>
      </w:r>
      <w:r>
        <w:rPr>
          <w:rFonts w:asciiTheme="majorEastAsia" w:hAnsiTheme="majorEastAsia" w:eastAsiaTheme="majorEastAsia"/>
          <w:sz w:val="32"/>
          <w:szCs w:val="32"/>
        </w:rPr>
        <w:t>%</w:t>
      </w:r>
      <w:r>
        <w:rPr>
          <w:rFonts w:hint="eastAsia" w:asciiTheme="majorEastAsia" w:hAnsiTheme="majorEastAsia" w:eastAsiaTheme="majorEastAsia"/>
          <w:sz w:val="32"/>
          <w:szCs w:val="32"/>
        </w:rPr>
        <w:t>。主要变动原因是扶贫支出项目增加。基本支出448.29万元，主要用于基本工资、津贴补贴、办公费、差旅费、水电邮电费、等日常公用经费。其中：社会保障和就业支出89.78万元，农林水支出305.23万元，，住房保障支出33.3万元。</w:t>
      </w:r>
    </w:p>
    <w:p>
      <w:pPr>
        <w:pStyle w:val="4"/>
        <w:numPr>
          <w:ilvl w:val="0"/>
          <w:numId w:val="3"/>
        </w:numPr>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部门预算项目安排及支出情况</w:t>
      </w:r>
    </w:p>
    <w:p>
      <w:pPr>
        <w:pStyle w:val="4"/>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项目支出</w:t>
      </w:r>
      <w:r>
        <w:rPr>
          <w:rFonts w:asciiTheme="majorEastAsia" w:hAnsiTheme="majorEastAsia" w:eastAsiaTheme="majorEastAsia"/>
          <w:sz w:val="32"/>
          <w:szCs w:val="32"/>
        </w:rPr>
        <w:t>520.18</w:t>
      </w:r>
      <w:r>
        <w:rPr>
          <w:rFonts w:hint="eastAsia" w:asciiTheme="majorEastAsia" w:hAnsiTheme="majorEastAsia" w:eastAsiaTheme="majorEastAsia"/>
          <w:sz w:val="32"/>
          <w:szCs w:val="32"/>
        </w:rPr>
        <w:t>万元，主要用于社会保障和就业支出</w:t>
      </w:r>
      <w:r>
        <w:rPr>
          <w:rFonts w:asciiTheme="majorEastAsia" w:hAnsiTheme="majorEastAsia" w:eastAsiaTheme="majorEastAsia"/>
          <w:sz w:val="32"/>
          <w:szCs w:val="32"/>
        </w:rPr>
        <w:t>6763.52</w:t>
      </w:r>
      <w:r>
        <w:rPr>
          <w:rFonts w:hint="eastAsia" w:asciiTheme="majorEastAsia" w:hAnsiTheme="majorEastAsia" w:eastAsiaTheme="majorEastAsia"/>
          <w:sz w:val="32"/>
          <w:szCs w:val="32"/>
        </w:rPr>
        <w:t>万元，城乡社区支出</w:t>
      </w:r>
      <w:r>
        <w:rPr>
          <w:rFonts w:asciiTheme="majorEastAsia" w:hAnsiTheme="majorEastAsia" w:eastAsiaTheme="majorEastAsia"/>
          <w:sz w:val="32"/>
          <w:szCs w:val="32"/>
        </w:rPr>
        <w:t>7</w:t>
      </w:r>
      <w:r>
        <w:rPr>
          <w:rFonts w:hint="eastAsia" w:asciiTheme="majorEastAsia" w:hAnsiTheme="majorEastAsia" w:eastAsiaTheme="majorEastAsia"/>
          <w:sz w:val="32"/>
          <w:szCs w:val="32"/>
        </w:rPr>
        <w:t>万元，农林水支出2992.26万元。</w:t>
      </w:r>
    </w:p>
    <w:p>
      <w:pPr>
        <w:pStyle w:val="4"/>
        <w:numPr>
          <w:ilvl w:val="0"/>
          <w:numId w:val="4"/>
        </w:numPr>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专项资金安排及支出情况</w:t>
      </w:r>
    </w:p>
    <w:p>
      <w:pPr>
        <w:pStyle w:val="4"/>
        <w:spacing w:line="560" w:lineRule="exact"/>
        <w:ind w:left="1060"/>
        <w:jc w:val="left"/>
        <w:rPr>
          <w:rFonts w:asciiTheme="majorEastAsia" w:hAnsiTheme="majorEastAsia" w:eastAsiaTheme="majorEastAsia"/>
          <w:sz w:val="32"/>
          <w:szCs w:val="32"/>
        </w:rPr>
      </w:pPr>
      <w:r>
        <w:rPr>
          <w:sz w:val="32"/>
          <w:szCs w:val="32"/>
        </w:rPr>
        <w:t>根据川财农【2020】161号下达2021年第一批中央大中型水库移民后期扶持项目资金</w:t>
      </w:r>
      <w:r>
        <w:rPr>
          <w:rFonts w:hint="eastAsia" w:asciiTheme="majorEastAsia" w:hAnsiTheme="majorEastAsia" w:eastAsiaTheme="majorEastAsia"/>
          <w:sz w:val="32"/>
          <w:szCs w:val="32"/>
        </w:rPr>
        <w:t>12119.85万元；</w:t>
      </w:r>
      <w:r>
        <w:rPr>
          <w:sz w:val="32"/>
          <w:szCs w:val="32"/>
        </w:rPr>
        <w:t>根据川财农[2021]0055号下达2021年中央和省级财政衔接推进乡村振兴补助资金（省级资金用于巩固拓展脱贫攻坚成果和乡村振兴任务4616万元</w:t>
      </w:r>
      <w:r>
        <w:rPr>
          <w:rFonts w:hint="eastAsia" w:asciiTheme="majorEastAsia" w:hAnsiTheme="majorEastAsia" w:eastAsiaTheme="majorEastAsia"/>
          <w:sz w:val="32"/>
          <w:szCs w:val="32"/>
        </w:rPr>
        <w:t>；</w:t>
      </w:r>
      <w:r>
        <w:t>根</w:t>
      </w:r>
      <w:r>
        <w:rPr>
          <w:sz w:val="32"/>
          <w:szCs w:val="32"/>
        </w:rPr>
        <w:t>据盐财资预【2021】28号下达2019年9至12月及2020年1至10月对上争取资金奖励</w:t>
      </w:r>
      <w:r>
        <w:rPr>
          <w:rFonts w:hint="eastAsia" w:asciiTheme="majorEastAsia" w:hAnsiTheme="majorEastAsia" w:eastAsiaTheme="majorEastAsia"/>
          <w:sz w:val="32"/>
          <w:szCs w:val="32"/>
        </w:rPr>
        <w:t>5.98万元</w:t>
      </w:r>
      <w:r>
        <w:rPr>
          <w:sz w:val="32"/>
          <w:szCs w:val="32"/>
        </w:rPr>
        <w:t>根据盐财资农【2021】44号下达脱贫攻坚档案归档专用经费</w:t>
      </w:r>
      <w:r>
        <w:rPr>
          <w:rFonts w:hint="eastAsia" w:asciiTheme="majorEastAsia" w:hAnsiTheme="majorEastAsia" w:eastAsiaTheme="majorEastAsia"/>
          <w:sz w:val="32"/>
          <w:szCs w:val="32"/>
        </w:rPr>
        <w:t>19.21万元；</w:t>
      </w:r>
      <w:r>
        <w:rPr>
          <w:sz w:val="32"/>
          <w:szCs w:val="32"/>
        </w:rPr>
        <w:t>根据盐财资农【2021】45号下达2021年二滩库区非农安置移民困难人口1至3月生活补助资金</w:t>
      </w:r>
      <w:r>
        <w:rPr>
          <w:rFonts w:hint="eastAsia" w:asciiTheme="majorEastAsia" w:hAnsiTheme="majorEastAsia" w:eastAsiaTheme="majorEastAsia"/>
          <w:sz w:val="32"/>
          <w:szCs w:val="32"/>
        </w:rPr>
        <w:t>71.91万元；</w:t>
      </w:r>
      <w:r>
        <w:rPr>
          <w:sz w:val="32"/>
          <w:szCs w:val="32"/>
        </w:rPr>
        <w:t>根据盐财资农【2021】89号下达2021年度城乡住户调查工作农村调查户帮扶资金</w:t>
      </w:r>
      <w:r>
        <w:rPr>
          <w:rFonts w:hint="eastAsia" w:asciiTheme="majorEastAsia" w:hAnsiTheme="majorEastAsia" w:eastAsiaTheme="majorEastAsia"/>
          <w:sz w:val="32"/>
          <w:szCs w:val="32"/>
        </w:rPr>
        <w:t>2万元，</w:t>
      </w:r>
      <w:r>
        <w:rPr>
          <w:sz w:val="32"/>
          <w:szCs w:val="32"/>
        </w:rPr>
        <w:t>根据盐财资农【2021】122号下达2021年盐边县巩固脱贫攻坚成果与乡村振兴有效衔接县级配套资金</w:t>
      </w:r>
      <w:r>
        <w:rPr>
          <w:rFonts w:hint="eastAsia" w:asciiTheme="majorEastAsia" w:hAnsiTheme="majorEastAsia" w:eastAsiaTheme="majorEastAsia"/>
          <w:sz w:val="32"/>
          <w:szCs w:val="32"/>
        </w:rPr>
        <w:t>252万元，</w:t>
      </w:r>
      <w:r>
        <w:rPr>
          <w:sz w:val="32"/>
          <w:szCs w:val="32"/>
        </w:rPr>
        <w:t>根据川财农【2020】164号提前下达2021年中央财政专项扶贫资金（中央库款保障乡村振兴资金)</w:t>
      </w:r>
      <w:r>
        <w:rPr>
          <w:rFonts w:hint="eastAsia" w:asciiTheme="majorEastAsia" w:hAnsiTheme="majorEastAsia" w:eastAsiaTheme="majorEastAsia"/>
          <w:sz w:val="32"/>
          <w:szCs w:val="32"/>
        </w:rPr>
        <w:t>2186.03万元，</w:t>
      </w:r>
      <w:r>
        <w:rPr>
          <w:rFonts w:asciiTheme="majorEastAsia" w:hAnsiTheme="majorEastAsia" w:eastAsiaTheme="majorEastAsia"/>
          <w:sz w:val="32"/>
          <w:szCs w:val="32"/>
        </w:rPr>
        <w:t xml:space="preserve"> </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三、绩效目标完成情况分析</w:t>
      </w:r>
    </w:p>
    <w:p>
      <w:pPr>
        <w:pStyle w:val="4"/>
        <w:spacing w:line="560" w:lineRule="exact"/>
        <w:ind w:firstLine="640" w:firstLineChars="200"/>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 xml:space="preserve"> 我局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4"/>
        <w:spacing w:line="560" w:lineRule="exact"/>
        <w:ind w:firstLine="640" w:firstLineChars="200"/>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w:t>
      </w:r>
      <w:bookmarkStart w:id="0" w:name="_GoBack"/>
      <w:bookmarkEnd w:id="0"/>
      <w:r>
        <w:rPr>
          <w:rFonts w:hint="eastAsia" w:cs="仿宋" w:asciiTheme="majorEastAsia" w:hAnsiTheme="majorEastAsia" w:eastAsiaTheme="majorEastAsia"/>
          <w:bCs/>
          <w:sz w:val="32"/>
          <w:szCs w:val="32"/>
        </w:rPr>
        <w:t>行财政资金的管理和使用。项目资金分配严格按照实际工作需要，依据项目进度和开展情况、合理安全、资金严格按照规范程序申请、管理和使用。通过项目实施充分保障了工作需求，切实发挥工作职能，维护全局经济、社会发展。</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（一）县级财政资金绩效目标完成情况</w:t>
      </w:r>
    </w:p>
    <w:p>
      <w:pPr>
        <w:pStyle w:val="4"/>
        <w:spacing w:line="560" w:lineRule="exact"/>
        <w:ind w:firstLine="640" w:firstLineChars="200"/>
        <w:rPr>
          <w:rFonts w:asciiTheme="majorEastAsia" w:hAnsiTheme="majorEastAsia" w:eastAsiaTheme="majorEastAsia"/>
          <w:sz w:val="32"/>
          <w:szCs w:val="32"/>
        </w:rPr>
      </w:pPr>
      <w:r>
        <w:rPr>
          <w:rFonts w:asciiTheme="majorEastAsia" w:hAnsiTheme="majorEastAsia" w:eastAsiaTheme="majorEastAsia"/>
          <w:sz w:val="32"/>
          <w:szCs w:val="32"/>
        </w:rPr>
        <w:t>1.</w:t>
      </w:r>
      <w:r>
        <w:rPr>
          <w:rFonts w:hint="eastAsia" w:asciiTheme="majorEastAsia" w:hAnsiTheme="majorEastAsia" w:eastAsiaTheme="majorEastAsia"/>
          <w:sz w:val="32"/>
          <w:szCs w:val="32"/>
        </w:rPr>
        <w:t>年初部门预算绩效目标完成情况</w:t>
      </w:r>
    </w:p>
    <w:p>
      <w:pPr>
        <w:pStyle w:val="4"/>
        <w:spacing w:line="560" w:lineRule="exact"/>
        <w:ind w:firstLine="640" w:firstLineChars="200"/>
        <w:rPr>
          <w:rFonts w:cs="仿宋" w:asciiTheme="majorEastAsia" w:hAnsiTheme="majorEastAsia" w:eastAsiaTheme="majorEastAsia"/>
          <w:color w:val="000000"/>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1</w:t>
      </w:r>
      <w:r>
        <w:rPr>
          <w:rFonts w:hint="eastAsia" w:asciiTheme="majorEastAsia" w:hAnsiTheme="majorEastAsia" w:eastAsiaTheme="majorEastAsia"/>
          <w:sz w:val="32"/>
          <w:szCs w:val="32"/>
        </w:rPr>
        <w:t>）产出指标完成情况分析。</w:t>
      </w:r>
      <w:r>
        <w:rPr>
          <w:rFonts w:hint="eastAsia" w:cs="仿宋" w:asciiTheme="majorEastAsia" w:hAnsiTheme="majorEastAsia" w:eastAsiaTheme="majorEastAsia"/>
          <w:bCs/>
          <w:sz w:val="32"/>
          <w:szCs w:val="32"/>
        </w:rPr>
        <w:t>我局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cs="仿宋" w:asciiTheme="majorEastAsia" w:hAnsiTheme="majorEastAsia" w:eastAsiaTheme="majorEastAsia"/>
          <w:bCs/>
          <w:color w:val="000000"/>
          <w:sz w:val="32"/>
          <w:szCs w:val="32"/>
        </w:rPr>
      </w:pPr>
      <w:r>
        <w:rPr>
          <w:rFonts w:hint="eastAsia" w:asciiTheme="majorEastAsia" w:hAnsiTheme="majorEastAsia" w:eastAsiaTheme="majorEastAsia"/>
          <w:color w:val="000000"/>
          <w:sz w:val="32"/>
          <w:szCs w:val="32"/>
        </w:rPr>
        <w:t>（</w:t>
      </w:r>
      <w:r>
        <w:rPr>
          <w:rFonts w:asciiTheme="majorEastAsia" w:hAnsiTheme="majorEastAsia" w:eastAsiaTheme="majorEastAsia"/>
          <w:color w:val="000000"/>
          <w:sz w:val="32"/>
          <w:szCs w:val="32"/>
        </w:rPr>
        <w:t>2</w:t>
      </w:r>
      <w:r>
        <w:rPr>
          <w:rFonts w:hint="eastAsia" w:asciiTheme="majorEastAsia" w:hAnsiTheme="majorEastAsia" w:eastAsiaTheme="majorEastAsia"/>
          <w:color w:val="000000"/>
          <w:sz w:val="32"/>
          <w:szCs w:val="32"/>
        </w:rPr>
        <w:t>）效益指标完成情况分析。我局主要安排用于一般公共服务支出、社会保障和就业支出、农林水支出等。</w:t>
      </w:r>
    </w:p>
    <w:p>
      <w:pPr>
        <w:pStyle w:val="4"/>
        <w:spacing w:line="560" w:lineRule="exact"/>
        <w:ind w:firstLine="640" w:firstLineChars="200"/>
        <w:rPr>
          <w:rFonts w:asciiTheme="majorEastAsia" w:hAnsiTheme="majorEastAsia" w:eastAsiaTheme="majorEastAsia"/>
          <w:color w:val="000000"/>
          <w:sz w:val="32"/>
          <w:szCs w:val="32"/>
        </w:rPr>
      </w:pPr>
      <w:r>
        <w:rPr>
          <w:rFonts w:hint="eastAsia" w:asciiTheme="majorEastAsia" w:hAnsiTheme="majorEastAsia" w:eastAsiaTheme="majorEastAsia"/>
          <w:color w:val="000000"/>
          <w:sz w:val="32"/>
          <w:szCs w:val="32"/>
        </w:rPr>
        <w:t>（</w:t>
      </w:r>
      <w:r>
        <w:rPr>
          <w:rFonts w:asciiTheme="majorEastAsia" w:hAnsiTheme="majorEastAsia" w:eastAsiaTheme="majorEastAsia"/>
          <w:color w:val="000000"/>
          <w:sz w:val="32"/>
          <w:szCs w:val="32"/>
        </w:rPr>
        <w:t>3</w:t>
      </w:r>
      <w:r>
        <w:rPr>
          <w:rFonts w:hint="eastAsia" w:asciiTheme="majorEastAsia" w:hAnsiTheme="majorEastAsia" w:eastAsiaTheme="majorEastAsia"/>
          <w:color w:val="000000"/>
          <w:sz w:val="32"/>
          <w:szCs w:val="32"/>
        </w:rPr>
        <w:t>）满意度指标完成情况分析。通过财政绩效目标管理，基本达到满意。</w:t>
      </w:r>
    </w:p>
    <w:p>
      <w:pPr>
        <w:pStyle w:val="4"/>
        <w:spacing w:line="560" w:lineRule="exact"/>
        <w:ind w:firstLine="640" w:firstLineChars="200"/>
        <w:rPr>
          <w:rFonts w:asciiTheme="majorEastAsia" w:hAnsiTheme="majorEastAsia" w:eastAsiaTheme="majorEastAsia"/>
          <w:sz w:val="32"/>
          <w:szCs w:val="32"/>
        </w:rPr>
      </w:pPr>
      <w:r>
        <w:rPr>
          <w:rFonts w:asciiTheme="majorEastAsia" w:hAnsiTheme="majorEastAsia" w:eastAsiaTheme="majorEastAsia"/>
          <w:sz w:val="32"/>
          <w:szCs w:val="32"/>
        </w:rPr>
        <w:t>2.</w:t>
      </w:r>
      <w:r>
        <w:rPr>
          <w:rFonts w:hint="eastAsia" w:asciiTheme="majorEastAsia" w:hAnsiTheme="majorEastAsia" w:eastAsiaTheme="majorEastAsia"/>
          <w:sz w:val="32"/>
          <w:szCs w:val="32"/>
        </w:rPr>
        <w:t>专项（项目）资金绩效目标完成情况</w:t>
      </w:r>
    </w:p>
    <w:p>
      <w:pPr>
        <w:spacing w:line="560" w:lineRule="exact"/>
        <w:ind w:firstLine="640" w:firstLineChars="200"/>
        <w:jc w:val="left"/>
        <w:rPr>
          <w:rFonts w:cs="仿宋" w:asciiTheme="majorEastAsia" w:hAnsiTheme="majorEastAsia" w:eastAsiaTheme="majorEastAsia"/>
          <w:bCs/>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1</w:t>
      </w:r>
      <w:r>
        <w:rPr>
          <w:rFonts w:hint="eastAsia" w:asciiTheme="majorEastAsia" w:hAnsiTheme="majorEastAsia" w:eastAsiaTheme="majorEastAsia"/>
          <w:sz w:val="32"/>
          <w:szCs w:val="32"/>
        </w:rPr>
        <w:t>）产出指标完成情况分析。</w:t>
      </w:r>
      <w:r>
        <w:rPr>
          <w:rFonts w:hint="eastAsia" w:cs="仿宋" w:asciiTheme="majorEastAsia" w:hAnsiTheme="majorEastAsia" w:eastAsiaTheme="majorEastAsia"/>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4"/>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2</w:t>
      </w:r>
      <w:r>
        <w:rPr>
          <w:rFonts w:hint="eastAsia" w:asciiTheme="majorEastAsia" w:hAnsiTheme="majorEastAsia" w:eastAsiaTheme="majorEastAsia"/>
          <w:sz w:val="32"/>
          <w:szCs w:val="32"/>
        </w:rPr>
        <w:t>）效益指标完成情况分析。我局项目资金主要安排用于一般公共服务支出、社会保障和就业支出、卫生健康支出、节能环保支出、城局社区支出、农林水支出、自然资源海洋气象等支出、灾害防治及应急管理支出等。</w:t>
      </w:r>
    </w:p>
    <w:p>
      <w:pPr>
        <w:pStyle w:val="4"/>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3</w:t>
      </w:r>
      <w:r>
        <w:rPr>
          <w:rFonts w:hint="eastAsia" w:asciiTheme="majorEastAsia" w:hAnsiTheme="majorEastAsia" w:eastAsiaTheme="majorEastAsia"/>
          <w:sz w:val="32"/>
          <w:szCs w:val="32"/>
        </w:rPr>
        <w:t>）满意度指标完成情况分析。通过财政绩效目标管理，基本达到满意。</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（二）上级专项（项目）资金绩效目标完成情况</w:t>
      </w:r>
    </w:p>
    <w:p>
      <w:pPr>
        <w:pStyle w:val="4"/>
        <w:spacing w:line="560" w:lineRule="exact"/>
        <w:ind w:left="1060"/>
        <w:jc w:val="left"/>
        <w:rPr>
          <w:rFonts w:asciiTheme="majorEastAsia" w:hAnsiTheme="majorEastAsia" w:eastAsiaTheme="majorEastAsia"/>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1</w:t>
      </w:r>
      <w:r>
        <w:rPr>
          <w:rFonts w:hint="eastAsia" w:asciiTheme="majorEastAsia" w:hAnsiTheme="majorEastAsia" w:eastAsiaTheme="majorEastAsia"/>
          <w:sz w:val="32"/>
          <w:szCs w:val="32"/>
        </w:rPr>
        <w:t>）产出指标完成情况分析。</w:t>
      </w:r>
      <w:r>
        <w:rPr>
          <w:sz w:val="32"/>
          <w:szCs w:val="32"/>
        </w:rPr>
        <w:t>根据川财农【2020】161号下达2021年第一批中央大中型水库移民后期扶持项目资金</w:t>
      </w:r>
      <w:r>
        <w:rPr>
          <w:rFonts w:hint="eastAsia" w:asciiTheme="majorEastAsia" w:hAnsiTheme="majorEastAsia" w:eastAsiaTheme="majorEastAsia"/>
          <w:sz w:val="32"/>
          <w:szCs w:val="32"/>
        </w:rPr>
        <w:t>12119.85万元；</w:t>
      </w:r>
      <w:r>
        <w:rPr>
          <w:sz w:val="32"/>
          <w:szCs w:val="32"/>
        </w:rPr>
        <w:t>根据川财农[2021]0055号下达2021年中央和省级财政衔接推进乡村振兴补助资金（省级资金用于巩固拓展脱贫攻坚成果和乡村振兴任务4616万元</w:t>
      </w:r>
      <w:r>
        <w:rPr>
          <w:rFonts w:hint="eastAsia" w:asciiTheme="majorEastAsia" w:hAnsiTheme="majorEastAsia" w:eastAsiaTheme="majorEastAsia"/>
          <w:sz w:val="32"/>
          <w:szCs w:val="32"/>
        </w:rPr>
        <w:t>；</w:t>
      </w:r>
      <w:r>
        <w:t>根</w:t>
      </w:r>
      <w:r>
        <w:rPr>
          <w:sz w:val="32"/>
          <w:szCs w:val="32"/>
        </w:rPr>
        <w:t>据盐财资预【2021】28号下达2019年9至12月及2020年1至10月对上争取资金奖励</w:t>
      </w:r>
      <w:r>
        <w:rPr>
          <w:rFonts w:hint="eastAsia" w:asciiTheme="majorEastAsia" w:hAnsiTheme="majorEastAsia" w:eastAsiaTheme="majorEastAsia"/>
          <w:sz w:val="32"/>
          <w:szCs w:val="32"/>
        </w:rPr>
        <w:t>5.98万元</w:t>
      </w:r>
      <w:r>
        <w:rPr>
          <w:sz w:val="32"/>
          <w:szCs w:val="32"/>
        </w:rPr>
        <w:t>根据盐财资农【2021】44号下达脱贫攻坚档案归档专用经费</w:t>
      </w:r>
      <w:r>
        <w:rPr>
          <w:rFonts w:hint="eastAsia" w:asciiTheme="majorEastAsia" w:hAnsiTheme="majorEastAsia" w:eastAsiaTheme="majorEastAsia"/>
          <w:sz w:val="32"/>
          <w:szCs w:val="32"/>
        </w:rPr>
        <w:t>19.21万元；</w:t>
      </w:r>
      <w:r>
        <w:rPr>
          <w:sz w:val="32"/>
          <w:szCs w:val="32"/>
        </w:rPr>
        <w:t>根据盐财资农【2021】45号下达2021年二滩库区非农安置移民困难人口1至3月生活补助资金</w:t>
      </w:r>
      <w:r>
        <w:rPr>
          <w:rFonts w:hint="eastAsia" w:asciiTheme="majorEastAsia" w:hAnsiTheme="majorEastAsia" w:eastAsiaTheme="majorEastAsia"/>
          <w:sz w:val="32"/>
          <w:szCs w:val="32"/>
        </w:rPr>
        <w:t>71.91万元；</w:t>
      </w:r>
      <w:r>
        <w:rPr>
          <w:sz w:val="32"/>
          <w:szCs w:val="32"/>
        </w:rPr>
        <w:t>根据盐财资农【2021】89号下达2021年度城乡住户调查工作农村调查户帮扶资金</w:t>
      </w:r>
      <w:r>
        <w:rPr>
          <w:rFonts w:hint="eastAsia" w:asciiTheme="majorEastAsia" w:hAnsiTheme="majorEastAsia" w:eastAsiaTheme="majorEastAsia"/>
          <w:sz w:val="32"/>
          <w:szCs w:val="32"/>
        </w:rPr>
        <w:t>2万元，</w:t>
      </w:r>
      <w:r>
        <w:rPr>
          <w:sz w:val="32"/>
          <w:szCs w:val="32"/>
        </w:rPr>
        <w:t>根据盐财资农【2021】122号下达2021年盐边县巩固脱贫攻坚成果与乡村振兴有效衔接县级配套资金</w:t>
      </w:r>
      <w:r>
        <w:rPr>
          <w:rFonts w:hint="eastAsia" w:asciiTheme="majorEastAsia" w:hAnsiTheme="majorEastAsia" w:eastAsiaTheme="majorEastAsia"/>
          <w:sz w:val="32"/>
          <w:szCs w:val="32"/>
        </w:rPr>
        <w:t>252万元，</w:t>
      </w:r>
      <w:r>
        <w:rPr>
          <w:sz w:val="32"/>
          <w:szCs w:val="32"/>
        </w:rPr>
        <w:t>根据川财农【2020】164号提前下达2021年中央财政专项扶贫资金（中央库款保障乡村振兴资金)</w:t>
      </w:r>
      <w:r>
        <w:rPr>
          <w:rFonts w:hint="eastAsia" w:asciiTheme="majorEastAsia" w:hAnsiTheme="majorEastAsia" w:eastAsiaTheme="majorEastAsia"/>
          <w:sz w:val="32"/>
          <w:szCs w:val="32"/>
        </w:rPr>
        <w:t>2186.03万元，</w:t>
      </w:r>
      <w:r>
        <w:rPr>
          <w:rFonts w:asciiTheme="majorEastAsia" w:hAnsiTheme="majorEastAsia" w:eastAsiaTheme="majorEastAsia"/>
          <w:sz w:val="32"/>
          <w:szCs w:val="32"/>
        </w:rPr>
        <w:t xml:space="preserve"> </w:t>
      </w:r>
    </w:p>
    <w:p>
      <w:pPr>
        <w:pStyle w:val="4"/>
        <w:spacing w:line="560" w:lineRule="exact"/>
        <w:ind w:firstLine="640" w:firstLineChars="200"/>
        <w:jc w:val="left"/>
        <w:rPr>
          <w:rFonts w:asciiTheme="majorEastAsia" w:hAnsiTheme="majorEastAsia" w:eastAsiaTheme="majorEastAsia"/>
          <w:sz w:val="32"/>
          <w:szCs w:val="32"/>
        </w:rPr>
      </w:pPr>
    </w:p>
    <w:p>
      <w:pPr>
        <w:pStyle w:val="4"/>
        <w:spacing w:line="560" w:lineRule="exact"/>
        <w:ind w:firstLine="640" w:firstLineChars="200"/>
        <w:jc w:val="left"/>
        <w:rPr>
          <w:rFonts w:asciiTheme="majorEastAsia" w:hAnsiTheme="majorEastAsia" w:eastAsiaTheme="majorEastAsia"/>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2</w:t>
      </w:r>
      <w:r>
        <w:rPr>
          <w:rFonts w:hint="eastAsia" w:asciiTheme="majorEastAsia" w:hAnsiTheme="majorEastAsia" w:eastAsiaTheme="majorEastAsia"/>
          <w:sz w:val="32"/>
          <w:szCs w:val="32"/>
        </w:rPr>
        <w:t>）效益指标完成情况分析。我局项目资金主要安排用于一般公共服务支出、社会保障和就业支出、农林水支出。</w:t>
      </w:r>
    </w:p>
    <w:p>
      <w:pPr>
        <w:pStyle w:val="4"/>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w:t>
      </w:r>
      <w:r>
        <w:rPr>
          <w:rFonts w:asciiTheme="majorEastAsia" w:hAnsiTheme="majorEastAsia" w:eastAsiaTheme="majorEastAsia"/>
          <w:sz w:val="32"/>
          <w:szCs w:val="32"/>
        </w:rPr>
        <w:t>3</w:t>
      </w:r>
      <w:r>
        <w:rPr>
          <w:rFonts w:hint="eastAsia" w:asciiTheme="majorEastAsia" w:hAnsiTheme="majorEastAsia" w:eastAsiaTheme="majorEastAsia"/>
          <w:sz w:val="32"/>
          <w:szCs w:val="32"/>
        </w:rPr>
        <w:t>）满意度指标完成情况分析。通过财政绩效目标管理，基本达到满意。</w:t>
      </w:r>
    </w:p>
    <w:p>
      <w:pPr>
        <w:pStyle w:val="4"/>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（三）其他需要说明的情况。</w:t>
      </w:r>
    </w:p>
    <w:p>
      <w:pPr>
        <w:pStyle w:val="4"/>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无</w:t>
      </w:r>
    </w:p>
    <w:p>
      <w:pPr>
        <w:pStyle w:val="4"/>
        <w:numPr>
          <w:ilvl w:val="0"/>
          <w:numId w:val="5"/>
        </w:numPr>
        <w:spacing w:line="56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自评结论</w:t>
      </w:r>
    </w:p>
    <w:p>
      <w:pPr>
        <w:pStyle w:val="4"/>
        <w:spacing w:line="560" w:lineRule="exact"/>
        <w:ind w:firstLine="640" w:firstLineChars="200"/>
        <w:rPr>
          <w:rFonts w:asciiTheme="majorEastAsia" w:hAnsiTheme="majorEastAsia" w:eastAsiaTheme="majorEastAsia"/>
          <w:sz w:val="32"/>
          <w:szCs w:val="32"/>
        </w:rPr>
      </w:pPr>
      <w:r>
        <w:rPr>
          <w:rFonts w:hint="eastAsia" w:cs="仿宋" w:asciiTheme="majorEastAsia" w:hAnsiTheme="majorEastAsia" w:eastAsiaTheme="majorEastAsia"/>
          <w:bCs/>
          <w:sz w:val="32"/>
          <w:szCs w:val="32"/>
        </w:rPr>
        <w:t>我局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4"/>
        <w:numPr>
          <w:ilvl w:val="0"/>
          <w:numId w:val="6"/>
        </w:numPr>
        <w:spacing w:line="560" w:lineRule="exact"/>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偏离绩效目标的原因和下一步改进措施</w:t>
      </w:r>
    </w:p>
    <w:p>
      <w:pPr>
        <w:pStyle w:val="4"/>
        <w:spacing w:line="560" w:lineRule="exact"/>
        <w:ind w:firstLine="640" w:firstLineChars="200"/>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 xml:space="preserve">   （一）预算编制和预算管理还需进一步细化和加强，严禁超预算和无预算安排支出，严格开支范围和标准，严格审核各项经费的支出，提高资金使用效率。</w:t>
      </w:r>
    </w:p>
    <w:p>
      <w:pPr>
        <w:pStyle w:val="4"/>
        <w:spacing w:line="560" w:lineRule="exact"/>
        <w:ind w:firstLine="640" w:firstLineChars="200"/>
        <w:rPr>
          <w:rFonts w:asciiTheme="majorEastAsia" w:hAnsiTheme="majorEastAsia" w:eastAsiaTheme="majorEastAsia"/>
          <w:sz w:val="32"/>
          <w:szCs w:val="32"/>
        </w:rPr>
      </w:pPr>
      <w:r>
        <w:rPr>
          <w:rFonts w:hint="eastAsia" w:cs="仿宋" w:asciiTheme="majorEastAsia" w:hAnsiTheme="majorEastAsia" w:eastAsiaTheme="majorEastAsia"/>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7"/>
        </w:numPr>
        <w:spacing w:line="560" w:lineRule="exact"/>
        <w:ind w:firstLine="640" w:firstLineChars="200"/>
        <w:rPr>
          <w:rFonts w:cs="仿宋" w:asciiTheme="majorEastAsia" w:hAnsiTheme="majorEastAsia" w:eastAsiaTheme="majorEastAsia"/>
          <w:color w:val="000000"/>
          <w:kern w:val="0"/>
          <w:sz w:val="32"/>
          <w:szCs w:val="32"/>
        </w:rPr>
      </w:pPr>
      <w:r>
        <w:rPr>
          <w:rFonts w:hint="eastAsia" w:asciiTheme="majorEastAsia" w:hAnsiTheme="majorEastAsia" w:eastAsiaTheme="majorEastAsia"/>
          <w:sz w:val="32"/>
          <w:szCs w:val="32"/>
        </w:rPr>
        <w:t>绩效自评结果拟应用和公开公示情况</w:t>
      </w:r>
    </w:p>
    <w:p>
      <w:pPr>
        <w:spacing w:line="560" w:lineRule="exact"/>
        <w:ind w:firstLine="643" w:firstLineChars="200"/>
        <w:rPr>
          <w:rFonts w:cs="仿宋" w:asciiTheme="majorEastAsia" w:hAnsiTheme="majorEastAsia" w:eastAsiaTheme="majorEastAsia"/>
          <w:color w:val="000000"/>
          <w:kern w:val="0"/>
          <w:sz w:val="32"/>
          <w:szCs w:val="32"/>
        </w:rPr>
      </w:pPr>
      <w:r>
        <w:rPr>
          <w:rFonts w:hint="eastAsia" w:cs="仿宋" w:asciiTheme="majorEastAsia" w:hAnsiTheme="majorEastAsia" w:eastAsiaTheme="majorEastAsia"/>
          <w:b/>
          <w:bCs/>
          <w:color w:val="000000"/>
          <w:kern w:val="0"/>
          <w:sz w:val="32"/>
          <w:szCs w:val="32"/>
        </w:rPr>
        <w:t>（一）绩效自评结果拟应用</w:t>
      </w:r>
    </w:p>
    <w:p>
      <w:pPr>
        <w:spacing w:line="560" w:lineRule="exact"/>
        <w:ind w:firstLine="640" w:firstLineChars="200"/>
        <w:rPr>
          <w:rFonts w:cs="仿宋" w:asciiTheme="majorEastAsia" w:hAnsiTheme="majorEastAsia" w:eastAsiaTheme="majorEastAsia"/>
          <w:color w:val="000000"/>
          <w:kern w:val="0"/>
          <w:sz w:val="32"/>
          <w:szCs w:val="32"/>
        </w:rPr>
      </w:pPr>
      <w:r>
        <w:rPr>
          <w:rFonts w:hint="eastAsia" w:cs="仿宋" w:asciiTheme="majorEastAsia" w:hAnsiTheme="majorEastAsia" w:eastAsiaTheme="majorEastAsia"/>
          <w:bCs/>
          <w:color w:val="000000"/>
          <w:kern w:val="0"/>
          <w:sz w:val="32"/>
          <w:szCs w:val="32"/>
        </w:rPr>
        <w:t>1.深化绩效评价工作，不断提高部门预算整体绩效目标管理水平。</w:t>
      </w:r>
      <w:r>
        <w:rPr>
          <w:rFonts w:hint="eastAsia" w:cs="仿宋" w:asciiTheme="majorEastAsia" w:hAnsiTheme="majorEastAsia" w:eastAsiaTheme="majorEastAsia"/>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0" w:firstLineChars="200"/>
        <w:rPr>
          <w:rFonts w:cs="仿宋" w:asciiTheme="majorEastAsia" w:hAnsiTheme="majorEastAsia" w:eastAsiaTheme="majorEastAsia"/>
          <w:color w:val="000000"/>
          <w:kern w:val="0"/>
          <w:sz w:val="32"/>
          <w:szCs w:val="32"/>
        </w:rPr>
      </w:pPr>
      <w:r>
        <w:rPr>
          <w:rFonts w:hint="eastAsia" w:cs="仿宋" w:asciiTheme="majorEastAsia" w:hAnsiTheme="majorEastAsia" w:eastAsiaTheme="majorEastAsia"/>
          <w:bCs/>
          <w:color w:val="000000"/>
          <w:kern w:val="0"/>
          <w:sz w:val="32"/>
          <w:szCs w:val="32"/>
        </w:rPr>
        <w:t>2.通过绩效自评建立机关厉行节约制度、节能降耗。</w:t>
      </w:r>
      <w:r>
        <w:rPr>
          <w:rFonts w:hint="eastAsia" w:cs="仿宋" w:asciiTheme="majorEastAsia" w:hAnsiTheme="majorEastAsia" w:eastAsiaTheme="majorEastAsia"/>
          <w:bCs/>
          <w:sz w:val="32"/>
          <w:szCs w:val="32"/>
        </w:rPr>
        <w:t>我局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0" w:firstLineChars="200"/>
        <w:rPr>
          <w:rFonts w:cs="仿宋" w:asciiTheme="majorEastAsia" w:hAnsiTheme="majorEastAsia" w:eastAsiaTheme="majorEastAsia"/>
          <w:color w:val="000000"/>
          <w:kern w:val="0"/>
          <w:sz w:val="32"/>
          <w:szCs w:val="32"/>
        </w:rPr>
      </w:pPr>
      <w:r>
        <w:rPr>
          <w:rFonts w:hint="eastAsia" w:cs="仿宋" w:asciiTheme="majorEastAsia" w:hAnsiTheme="majorEastAsia" w:eastAsiaTheme="majorEastAsia"/>
          <w:bCs/>
          <w:color w:val="000000"/>
          <w:kern w:val="0"/>
          <w:sz w:val="32"/>
          <w:szCs w:val="32"/>
        </w:rPr>
        <w:t>3.强化单位财务管理工作，提高资金使用效率。</w:t>
      </w:r>
      <w:r>
        <w:rPr>
          <w:rFonts w:hint="eastAsia" w:cs="仿宋" w:asciiTheme="majorEastAsia" w:hAnsiTheme="majorEastAsia" w:eastAsiaTheme="majorEastAsia"/>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8"/>
        </w:numPr>
        <w:spacing w:line="560" w:lineRule="exact"/>
        <w:ind w:firstLine="643" w:firstLineChars="200"/>
        <w:rPr>
          <w:rFonts w:cs="仿宋" w:asciiTheme="majorEastAsia" w:hAnsiTheme="majorEastAsia" w:eastAsiaTheme="majorEastAsia"/>
          <w:b/>
          <w:bCs/>
          <w:color w:val="000000"/>
          <w:kern w:val="0"/>
          <w:sz w:val="32"/>
          <w:szCs w:val="32"/>
        </w:rPr>
      </w:pPr>
      <w:r>
        <w:rPr>
          <w:rFonts w:hint="eastAsia" w:cs="仿宋" w:asciiTheme="majorEastAsia" w:hAnsiTheme="majorEastAsia" w:eastAsiaTheme="majorEastAsia"/>
          <w:b/>
          <w:bCs/>
          <w:color w:val="000000"/>
          <w:kern w:val="0"/>
          <w:sz w:val="32"/>
          <w:szCs w:val="32"/>
        </w:rPr>
        <w:t>公开公示情况</w:t>
      </w:r>
    </w:p>
    <w:p>
      <w:pPr>
        <w:spacing w:line="560" w:lineRule="exact"/>
        <w:ind w:firstLine="640" w:firstLineChars="200"/>
        <w:jc w:val="left"/>
        <w:rPr>
          <w:rFonts w:asciiTheme="majorEastAsia" w:hAnsiTheme="majorEastAsia" w:eastAsiaTheme="majorEastAsia"/>
          <w:sz w:val="32"/>
          <w:szCs w:val="32"/>
        </w:rPr>
      </w:pPr>
      <w:r>
        <w:rPr>
          <w:rFonts w:hint="eastAsia" w:cs="仿宋" w:asciiTheme="majorEastAsia" w:hAnsiTheme="majorEastAsia" w:eastAsiaTheme="majorEastAsia"/>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乡村振兴局人民政府2019年部门预算整体绩效自评表》和《盐边县乡村振兴局人民政府2019年度部门预算情况公开编制说明》在“盐边县公众信息网”财政信息板块下的“财政绩效评价信息专栏”进行公开公示。</w:t>
      </w:r>
    </w:p>
    <w:p>
      <w:pPr>
        <w:spacing w:line="600" w:lineRule="exact"/>
        <w:jc w:val="center"/>
        <w:rPr>
          <w:rFonts w:cs="方正小标宋简体" w:asciiTheme="majorEastAsia" w:hAnsiTheme="majorEastAsia" w:eastAsiaTheme="majorEastAsia"/>
          <w:color w:val="000000"/>
          <w:kern w:val="0"/>
          <w:sz w:val="44"/>
          <w:szCs w:val="44"/>
        </w:rPr>
      </w:pPr>
    </w:p>
    <w:p>
      <w:pPr>
        <w:spacing w:line="560" w:lineRule="exact"/>
        <w:ind w:firstLine="640" w:firstLineChars="200"/>
        <w:jc w:val="left"/>
        <w:rPr>
          <w:rFonts w:ascii="仿宋" w:hAnsi="仿宋" w:eastAsia="仿宋" w:cs="仿宋"/>
          <w:color w:val="000000"/>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仿宋_GBK">
    <w:panose1 w:val="03000509000000000000"/>
    <w:charset w:val="86"/>
    <w:family w:val="swiss"/>
    <w:pitch w:val="default"/>
    <w:sig w:usb0="00000001" w:usb1="080E0000" w:usb2="00000000" w:usb3="00000000" w:csb0="00040000" w:csb1="00000000"/>
  </w:font>
  <w:font w:name="方正楷体_GBK">
    <w:panose1 w:val="03000509000000000000"/>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83726"/>
    <w:multiLevelType w:val="singleLevel"/>
    <w:tmpl w:val="5F783726"/>
    <w:lvl w:ilvl="0" w:tentative="0">
      <w:start w:val="2"/>
      <w:numFmt w:val="chineseCounting"/>
      <w:suff w:val="nothing"/>
      <w:lvlText w:val="（%1）"/>
      <w:lvlJc w:val="left"/>
    </w:lvl>
  </w:abstractNum>
  <w:abstractNum w:abstractNumId="1">
    <w:nsid w:val="5F8A5DE1"/>
    <w:multiLevelType w:val="singleLevel"/>
    <w:tmpl w:val="5F8A5DE1"/>
    <w:lvl w:ilvl="0" w:tentative="0">
      <w:start w:val="2"/>
      <w:numFmt w:val="chineseCounting"/>
      <w:suff w:val="nothing"/>
      <w:lvlText w:val="（%1）"/>
      <w:lvlJc w:val="left"/>
    </w:lvl>
  </w:abstractNum>
  <w:abstractNum w:abstractNumId="2">
    <w:nsid w:val="5F8A6784"/>
    <w:multiLevelType w:val="singleLevel"/>
    <w:tmpl w:val="5F8A6784"/>
    <w:lvl w:ilvl="0" w:tentative="0">
      <w:start w:val="1"/>
      <w:numFmt w:val="decimal"/>
      <w:suff w:val="nothing"/>
      <w:lvlText w:val="%1."/>
      <w:lvlJc w:val="left"/>
    </w:lvl>
  </w:abstractNum>
  <w:abstractNum w:abstractNumId="3">
    <w:nsid w:val="5F8A67FA"/>
    <w:multiLevelType w:val="singleLevel"/>
    <w:tmpl w:val="5F8A67FA"/>
    <w:lvl w:ilvl="0" w:tentative="0">
      <w:start w:val="2"/>
      <w:numFmt w:val="decimal"/>
      <w:suff w:val="nothing"/>
      <w:lvlText w:val="%1."/>
      <w:lvlJc w:val="left"/>
    </w:lvl>
  </w:abstractNum>
  <w:abstractNum w:abstractNumId="4">
    <w:nsid w:val="5F8A6B90"/>
    <w:multiLevelType w:val="singleLevel"/>
    <w:tmpl w:val="5F8A6B90"/>
    <w:lvl w:ilvl="0" w:tentative="0">
      <w:start w:val="2"/>
      <w:numFmt w:val="chineseCounting"/>
      <w:suff w:val="nothing"/>
      <w:lvlText w:val="（%1）"/>
      <w:lvlJc w:val="left"/>
    </w:lvl>
  </w:abstractNum>
  <w:abstractNum w:abstractNumId="5">
    <w:nsid w:val="5F8A76BE"/>
    <w:multiLevelType w:val="singleLevel"/>
    <w:tmpl w:val="5F8A76BE"/>
    <w:lvl w:ilvl="0" w:tentative="0">
      <w:start w:val="4"/>
      <w:numFmt w:val="chineseCounting"/>
      <w:suff w:val="nothing"/>
      <w:lvlText w:val="（%1）"/>
      <w:lvlJc w:val="left"/>
    </w:lvl>
  </w:abstractNum>
  <w:abstractNum w:abstractNumId="6">
    <w:nsid w:val="5F8A76EB"/>
    <w:multiLevelType w:val="singleLevel"/>
    <w:tmpl w:val="5F8A76EB"/>
    <w:lvl w:ilvl="0" w:tentative="0">
      <w:start w:val="4"/>
      <w:numFmt w:val="chineseCounting"/>
      <w:suff w:val="nothing"/>
      <w:lvlText w:val="%1、"/>
      <w:lvlJc w:val="left"/>
    </w:lvl>
  </w:abstractNum>
  <w:abstractNum w:abstractNumId="7">
    <w:nsid w:val="5F8A7751"/>
    <w:multiLevelType w:val="singleLevel"/>
    <w:tmpl w:val="5F8A7751"/>
    <w:lvl w:ilvl="0" w:tentative="0">
      <w:start w:val="5"/>
      <w:numFmt w:val="chineseCounting"/>
      <w:suff w:val="nothing"/>
      <w:lvlText w:val="%1、"/>
      <w:lvlJc w:val="left"/>
    </w:lvl>
  </w:abstractNum>
  <w:num w:numId="1">
    <w:abstractNumId w:val="1"/>
    <w:lvlOverride w:ilvl="0">
      <w:startOverride w:val="2"/>
    </w:lvlOverride>
  </w:num>
  <w:num w:numId="2">
    <w:abstractNumId w:val="2"/>
    <w:lvlOverride w:ilvl="0">
      <w:startOverride w:val="1"/>
    </w:lvlOverride>
  </w:num>
  <w:num w:numId="3">
    <w:abstractNumId w:val="3"/>
    <w:lvlOverride w:ilvl="0">
      <w:startOverride w:val="2"/>
    </w:lvlOverride>
  </w:num>
  <w:num w:numId="4">
    <w:abstractNumId w:val="4"/>
    <w:lvlOverride w:ilvl="0">
      <w:startOverride w:val="2"/>
    </w:lvlOverride>
  </w:num>
  <w:num w:numId="5">
    <w:abstractNumId w:val="5"/>
    <w:lvlOverride w:ilvl="0">
      <w:startOverride w:val="4"/>
    </w:lvlOverride>
  </w:num>
  <w:num w:numId="6">
    <w:abstractNumId w:val="6"/>
    <w:lvlOverride w:ilvl="0">
      <w:startOverride w:val="4"/>
    </w:lvlOverride>
  </w:num>
  <w:num w:numId="7">
    <w:abstractNumId w:val="7"/>
    <w:lvlOverride w:ilvl="0">
      <w:startOverride w:val="5"/>
    </w:lvlOverride>
  </w:num>
  <w:num w:numId="8">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F0FAF"/>
    <w:rsid w:val="001373E7"/>
    <w:rsid w:val="001541CF"/>
    <w:rsid w:val="00172A27"/>
    <w:rsid w:val="00185861"/>
    <w:rsid w:val="001F10F4"/>
    <w:rsid w:val="003D0AFA"/>
    <w:rsid w:val="003F7BF9"/>
    <w:rsid w:val="004C2BF5"/>
    <w:rsid w:val="005D128D"/>
    <w:rsid w:val="005E11EC"/>
    <w:rsid w:val="005E636B"/>
    <w:rsid w:val="00692874"/>
    <w:rsid w:val="006958D3"/>
    <w:rsid w:val="006E7674"/>
    <w:rsid w:val="00827928"/>
    <w:rsid w:val="00914BCE"/>
    <w:rsid w:val="00A003C8"/>
    <w:rsid w:val="00A3720D"/>
    <w:rsid w:val="00A60738"/>
    <w:rsid w:val="00AE4280"/>
    <w:rsid w:val="00B22BD3"/>
    <w:rsid w:val="00C25322"/>
    <w:rsid w:val="00C54B00"/>
    <w:rsid w:val="00C90205"/>
    <w:rsid w:val="00CD3EED"/>
    <w:rsid w:val="00CF1577"/>
    <w:rsid w:val="00D200BF"/>
    <w:rsid w:val="00D24C29"/>
    <w:rsid w:val="00D414E4"/>
    <w:rsid w:val="00DF3920"/>
    <w:rsid w:val="00DF606D"/>
    <w:rsid w:val="00E46E74"/>
    <w:rsid w:val="00E84A73"/>
    <w:rsid w:val="00F24430"/>
    <w:rsid w:val="00F44DDE"/>
    <w:rsid w:val="00F555C4"/>
    <w:rsid w:val="00F5762C"/>
    <w:rsid w:val="00F62F0C"/>
    <w:rsid w:val="00F8624E"/>
    <w:rsid w:val="00F92A11"/>
    <w:rsid w:val="0A905DFE"/>
    <w:rsid w:val="22341B70"/>
    <w:rsid w:val="5CED43A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keepNext/>
      <w:keepLines/>
      <w:spacing w:before="340" w:after="330" w:line="576" w:lineRule="auto"/>
      <w:outlineLvl w:val="0"/>
    </w:pPr>
    <w:rPr>
      <w:rFonts w:ascii="Times New Roman" w:hAnsi="Times New Roman"/>
      <w:b/>
      <w:bCs/>
      <w:kern w:val="44"/>
      <w:sz w:val="44"/>
      <w:szCs w:val="4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qFormat/>
    <w:uiPriority w:val="0"/>
    <w:pPr>
      <w:spacing w:beforeLines="30"/>
    </w:pPr>
    <w:rPr>
      <w:rFonts w:ascii="仿宋_GB2312" w:hAnsi="Times New Roman" w:eastAsia="仿宋_GB2312"/>
      <w:kern w:val="0"/>
      <w:sz w:val="30"/>
      <w:szCs w:val="24"/>
    </w:rPr>
  </w:style>
  <w:style w:type="paragraph" w:styleId="4">
    <w:name w:val="Plain Text"/>
    <w:basedOn w:val="1"/>
    <w:link w:val="11"/>
    <w:qFormat/>
    <w:uiPriority w:val="0"/>
    <w:rPr>
      <w:rFonts w:ascii="宋体" w:hAnsi="Courier New"/>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Default"/>
    <w:unhideWhenUsed/>
    <w:qFormat/>
    <w:uiPriority w:val="99"/>
    <w:pPr>
      <w:widowControl w:val="0"/>
      <w:autoSpaceDE w:val="0"/>
      <w:autoSpaceDN w:val="0"/>
    </w:pPr>
    <w:rPr>
      <w:rFonts w:ascii="方正仿宋_GBK" w:hAnsi="方正仿宋_GBK" w:eastAsia="方正仿宋_GBK" w:cs="Times New Roman"/>
      <w:color w:val="000000"/>
      <w:sz w:val="24"/>
      <w:lang w:val="en-US" w:eastAsia="zh-CN" w:bidi="ar-SA"/>
    </w:rPr>
  </w:style>
  <w:style w:type="character" w:customStyle="1" w:styleId="10">
    <w:name w:val="正文文本 Char"/>
    <w:basedOn w:val="8"/>
    <w:link w:val="3"/>
    <w:qFormat/>
    <w:uiPriority w:val="0"/>
    <w:rPr>
      <w:rFonts w:ascii="仿宋_GB2312" w:hAnsi="Times New Roman" w:eastAsia="仿宋_GB2312"/>
      <w:sz w:val="30"/>
      <w:szCs w:val="24"/>
    </w:rPr>
  </w:style>
  <w:style w:type="character" w:customStyle="1" w:styleId="11">
    <w:name w:val="纯文本 Char"/>
    <w:basedOn w:val="8"/>
    <w:link w:val="4"/>
    <w:uiPriority w:val="0"/>
    <w:rPr>
      <w:rFonts w:ascii="宋体" w:hAnsi="Courier New"/>
      <w:kern w:val="2"/>
      <w:sz w:val="21"/>
      <w:szCs w:val="22"/>
    </w:rPr>
  </w:style>
  <w:style w:type="character" w:customStyle="1" w:styleId="12">
    <w:name w:val="标题 1 Char"/>
    <w:basedOn w:val="8"/>
    <w:link w:val="2"/>
    <w:qFormat/>
    <w:uiPriority w:val="99"/>
    <w:rPr>
      <w:b/>
      <w:bCs/>
      <w:kern w:val="44"/>
      <w:sz w:val="44"/>
      <w:szCs w:val="44"/>
    </w:rPr>
  </w:style>
  <w:style w:type="character" w:customStyle="1" w:styleId="13">
    <w:name w:val="fontstyle01"/>
    <w:basedOn w:val="8"/>
    <w:uiPriority w:val="0"/>
    <w:rPr>
      <w:rFonts w:hint="eastAsia" w:ascii="方正楷体_GBK" w:eastAsia="方正楷体_GBK"/>
      <w:color w:val="000000"/>
      <w:sz w:val="34"/>
      <w:szCs w:val="34"/>
    </w:rPr>
  </w:style>
  <w:style w:type="character" w:customStyle="1" w:styleId="14">
    <w:name w:val="fontstyle31"/>
    <w:basedOn w:val="8"/>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999BCE-828F-4D20-A7EA-662A248FB54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633</Words>
  <Characters>3609</Characters>
  <Lines>30</Lines>
  <Paragraphs>8</Paragraphs>
  <TotalTime>40</TotalTime>
  <ScaleCrop>false</ScaleCrop>
  <LinksUpToDate>false</LinksUpToDate>
  <CharactersWithSpaces>4234</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2020-10-20T00:55:00Z</dcterms:created>
  <dc:creator>lenovo</dc:creator>
  <cp:lastModifiedBy>练芳蓉</cp:lastModifiedBy>
  <dcterms:modified xsi:type="dcterms:W3CDTF">2023-07-14T09:23:10Z</dcterms:modified>
  <dc:title>盐边县2019年度部门预算整体绩效</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