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80" w:lineRule="auto"/>
        <w:jc w:val="center"/>
        <w:rPr>
          <w:rFonts w:ascii="仿宋" w:hAnsi="仿宋" w:eastAsia="仿宋" w:cs="仿宋"/>
          <w:b/>
          <w:bCs/>
          <w:color w:val="000000"/>
          <w:sz w:val="52"/>
          <w:szCs w:val="52"/>
        </w:rPr>
      </w:pPr>
      <w:r>
        <w:rPr>
          <w:rFonts w:hint="eastAsia" w:ascii="仿宋" w:hAnsi="仿宋" w:eastAsia="仿宋" w:cs="仿宋"/>
          <w:b/>
          <w:bCs/>
          <w:color w:val="000000"/>
          <w:sz w:val="52"/>
          <w:szCs w:val="52"/>
        </w:rPr>
        <w:t>盐边县扶贫开发局</w:t>
      </w:r>
    </w:p>
    <w:p>
      <w:pPr>
        <w:adjustRightInd w:val="0"/>
        <w:snapToGrid w:val="0"/>
        <w:spacing w:line="480" w:lineRule="auto"/>
        <w:jc w:val="center"/>
        <w:rPr>
          <w:rFonts w:ascii="仿宋" w:hAnsi="仿宋" w:eastAsia="仿宋" w:cs="仿宋"/>
          <w:b/>
          <w:bCs/>
          <w:color w:val="000000"/>
          <w:sz w:val="52"/>
          <w:szCs w:val="52"/>
        </w:rPr>
      </w:pPr>
      <w:bookmarkStart w:id="23" w:name="_GoBack"/>
      <w:r>
        <w:rPr>
          <w:rFonts w:ascii="仿宋" w:hAnsi="仿宋" w:eastAsia="仿宋" w:cs="仿宋"/>
          <w:b/>
          <w:bCs/>
          <w:color w:val="000000"/>
          <w:sz w:val="52"/>
          <w:szCs w:val="52"/>
        </w:rPr>
        <w:t>2019</w:t>
      </w:r>
      <w:r>
        <w:rPr>
          <w:rFonts w:hint="eastAsia" w:ascii="仿宋" w:hAnsi="仿宋" w:eastAsia="仿宋" w:cs="仿宋"/>
          <w:b/>
          <w:bCs/>
          <w:color w:val="000000"/>
          <w:sz w:val="52"/>
          <w:szCs w:val="52"/>
        </w:rPr>
        <w:t>年度部门预算绩效情况公开</w:t>
      </w:r>
    </w:p>
    <w:bookmarkEnd w:id="23"/>
    <w:p>
      <w:pPr>
        <w:adjustRightInd w:val="0"/>
        <w:snapToGrid w:val="0"/>
        <w:spacing w:line="480" w:lineRule="auto"/>
        <w:jc w:val="center"/>
        <w:rPr>
          <w:rFonts w:ascii="仿宋" w:hAnsi="仿宋" w:eastAsia="仿宋"/>
          <w:b/>
          <w:bCs/>
          <w:color w:val="000000"/>
          <w:sz w:val="52"/>
          <w:szCs w:val="52"/>
        </w:rPr>
      </w:pPr>
      <w:r>
        <w:rPr>
          <w:rFonts w:hint="eastAsia" w:ascii="仿宋" w:hAnsi="仿宋" w:eastAsia="仿宋" w:cs="仿宋"/>
          <w:b/>
          <w:bCs/>
          <w:color w:val="000000"/>
          <w:sz w:val="52"/>
          <w:szCs w:val="52"/>
        </w:rPr>
        <w:t>编制说明</w:t>
      </w:r>
    </w:p>
    <w:p>
      <w:pPr>
        <w:adjustRightInd w:val="0"/>
        <w:snapToGrid w:val="0"/>
        <w:spacing w:line="480" w:lineRule="auto"/>
        <w:jc w:val="center"/>
        <w:rPr>
          <w:rFonts w:ascii="仿宋_GB2312" w:eastAsia="仿宋_GB2312"/>
          <w:b/>
          <w:bCs/>
          <w:sz w:val="36"/>
          <w:szCs w:val="36"/>
        </w:rPr>
      </w:pPr>
      <w:r>
        <w:rPr>
          <w:rFonts w:hint="eastAsia" w:ascii="仿宋_GB2312" w:eastAsia="仿宋_GB2312" w:cs="仿宋_GB2312"/>
          <w:b/>
          <w:bCs/>
          <w:sz w:val="36"/>
          <w:szCs w:val="36"/>
        </w:rPr>
        <w:t>目录</w:t>
      </w:r>
    </w:p>
    <w:p>
      <w:pPr>
        <w:jc w:val="center"/>
        <w:rPr>
          <w:rFonts w:ascii="仿宋_GB2312" w:eastAsia="仿宋_GB2312"/>
          <w:sz w:val="32"/>
          <w:szCs w:val="32"/>
        </w:rPr>
      </w:pPr>
    </w:p>
    <w:p>
      <w:pPr>
        <w:jc w:val="center"/>
        <w:rPr>
          <w:rFonts w:ascii="仿宋_GB2312" w:eastAsia="仿宋_GB2312"/>
          <w:sz w:val="32"/>
          <w:szCs w:val="32"/>
        </w:rPr>
      </w:pPr>
      <w:r>
        <w:rPr>
          <w:rFonts w:hint="eastAsia" w:ascii="仿宋_GB2312" w:eastAsia="仿宋_GB2312" w:cs="仿宋_GB2312"/>
          <w:sz w:val="32"/>
          <w:szCs w:val="32"/>
        </w:rPr>
        <w:t>公开时间：</w:t>
      </w:r>
      <w:r>
        <w:rPr>
          <w:rFonts w:ascii="仿宋_GB2312" w:eastAsia="仿宋_GB2312" w:cs="仿宋_GB2312"/>
          <w:sz w:val="32"/>
          <w:szCs w:val="32"/>
        </w:rPr>
        <w:t>2020</w:t>
      </w:r>
      <w:r>
        <w:rPr>
          <w:rFonts w:hint="eastAsia" w:ascii="仿宋_GB2312" w:eastAsia="仿宋_GB2312" w:cs="仿宋_GB2312"/>
          <w:sz w:val="32"/>
          <w:szCs w:val="32"/>
        </w:rPr>
        <w:t>年10月23日</w:t>
      </w:r>
    </w:p>
    <w:p>
      <w:pPr>
        <w:pStyle w:val="10"/>
        <w:rPr>
          <w:rFonts w:ascii="Calibri" w:hAnsi="Calibri" w:cs="Calibri"/>
        </w:rPr>
      </w:pPr>
    </w:p>
    <w:p>
      <w:pPr>
        <w:rPr>
          <w:rFonts w:ascii="仿宋_GB2312" w:eastAsia="仿宋_GB2312" w:cs="仿宋_GB2312"/>
          <w:sz w:val="32"/>
          <w:szCs w:val="32"/>
        </w:rPr>
      </w:pPr>
    </w:p>
    <w:p>
      <w:pPr>
        <w:pStyle w:val="18"/>
        <w:jc w:val="center"/>
      </w:pPr>
      <w:bookmarkStart w:id="0" w:name="_Toc50014091"/>
      <w:bookmarkStart w:id="1" w:name="_Toc54085582"/>
      <w:bookmarkStart w:id="2" w:name="_Toc50042286"/>
      <w:bookmarkStart w:id="3" w:name="_Toc54085690"/>
      <w:r>
        <w:rPr>
          <w:lang w:val="zh-CN"/>
        </w:rPr>
        <w:t>目录</w:t>
      </w:r>
    </w:p>
    <w:p>
      <w:pPr>
        <w:pStyle w:val="9"/>
        <w:rPr>
          <w:rFonts w:asciiTheme="minorHAnsi" w:hAnsiTheme="minorHAnsi" w:eastAsiaTheme="minorEastAsia" w:cstheme="minorBidi"/>
          <w:sz w:val="21"/>
          <w:szCs w:val="22"/>
        </w:rPr>
      </w:pPr>
      <w:r>
        <w:fldChar w:fldCharType="begin"/>
      </w:r>
      <w:r>
        <w:instrText xml:space="preserve"> TOC \o "1-3" \h \z \u </w:instrText>
      </w:r>
      <w:r>
        <w:fldChar w:fldCharType="separate"/>
      </w:r>
      <w:r>
        <w:fldChar w:fldCharType="begin"/>
      </w:r>
      <w:r>
        <w:instrText xml:space="preserve"> HYPERLINK \l "_Toc54085941" </w:instrText>
      </w:r>
      <w:r>
        <w:fldChar w:fldCharType="separate"/>
      </w:r>
      <w:r>
        <w:rPr>
          <w:rStyle w:val="13"/>
          <w:rFonts w:hint="eastAsia" w:ascii="仿宋_GB2312" w:eastAsia="仿宋_GB2312" w:cs="仿宋_GB2312"/>
          <w:b/>
          <w:bCs/>
        </w:rPr>
        <w:t>第一部分</w:t>
      </w:r>
      <w:r>
        <w:rPr>
          <w:rStyle w:val="13"/>
          <w:rFonts w:ascii="仿宋_GB2312" w:eastAsia="仿宋_GB2312" w:cs="仿宋_GB2312"/>
          <w:b/>
          <w:bCs/>
        </w:rPr>
        <w:t xml:space="preserve"> 2019</w:t>
      </w:r>
      <w:r>
        <w:rPr>
          <w:rStyle w:val="13"/>
          <w:rFonts w:hint="eastAsia" w:ascii="仿宋_GB2312" w:eastAsia="仿宋_GB2312" w:cs="仿宋_GB2312"/>
          <w:b/>
          <w:bCs/>
        </w:rPr>
        <w:t>年预算绩效情况说明</w:t>
      </w:r>
      <w:r>
        <w:tab/>
      </w:r>
      <w:r>
        <w:fldChar w:fldCharType="begin"/>
      </w:r>
      <w:r>
        <w:instrText xml:space="preserve"> PAGEREF _Toc54085941 \h </w:instrText>
      </w:r>
      <w:r>
        <w:fldChar w:fldCharType="separate"/>
      </w:r>
      <w:r>
        <w:t>- 2 -</w:t>
      </w:r>
      <w:r>
        <w:fldChar w:fldCharType="end"/>
      </w:r>
      <w:r>
        <w:fldChar w:fldCharType="end"/>
      </w:r>
    </w:p>
    <w:p>
      <w:pPr>
        <w:pStyle w:val="10"/>
        <w:rPr>
          <w:rFonts w:asciiTheme="minorHAnsi" w:hAnsiTheme="minorHAnsi" w:eastAsiaTheme="minorEastAsia" w:cstheme="minorBidi"/>
          <w:szCs w:val="22"/>
        </w:rPr>
      </w:pPr>
      <w:r>
        <w:fldChar w:fldCharType="begin"/>
      </w:r>
      <w:r>
        <w:instrText xml:space="preserve"> HYPERLINK \l "_Toc54085942" </w:instrText>
      </w:r>
      <w:r>
        <w:fldChar w:fldCharType="separate"/>
      </w:r>
      <w:r>
        <w:rPr>
          <w:rStyle w:val="13"/>
          <w:rFonts w:hint="eastAsia" w:ascii="仿宋_GB2312" w:eastAsia="仿宋_GB2312"/>
          <w:b/>
          <w:bCs/>
        </w:rPr>
        <w:t>一、</w:t>
      </w:r>
      <w:r>
        <w:rPr>
          <w:rStyle w:val="13"/>
          <w:rFonts w:hint="eastAsia" w:ascii="仿宋_GB2312" w:eastAsia="仿宋_GB2312" w:cs="仿宋_GB2312"/>
          <w:b/>
          <w:bCs/>
        </w:rPr>
        <w:t>预算绩效管理工作开展情况</w:t>
      </w:r>
      <w:r>
        <w:tab/>
      </w:r>
      <w:r>
        <w:fldChar w:fldCharType="begin"/>
      </w:r>
      <w:r>
        <w:instrText xml:space="preserve"> PAGEREF _Toc54085942 \h </w:instrText>
      </w:r>
      <w:r>
        <w:fldChar w:fldCharType="separate"/>
      </w:r>
      <w:r>
        <w:t>- 2 -</w:t>
      </w:r>
      <w:r>
        <w:fldChar w:fldCharType="end"/>
      </w:r>
      <w:r>
        <w:fldChar w:fldCharType="end"/>
      </w:r>
    </w:p>
    <w:p>
      <w:pPr>
        <w:pStyle w:val="10"/>
        <w:rPr>
          <w:rFonts w:asciiTheme="minorHAnsi" w:hAnsiTheme="minorHAnsi" w:eastAsiaTheme="minorEastAsia" w:cstheme="minorBidi"/>
          <w:szCs w:val="22"/>
        </w:rPr>
      </w:pPr>
      <w:r>
        <w:fldChar w:fldCharType="begin"/>
      </w:r>
      <w:r>
        <w:instrText xml:space="preserve"> HYPERLINK \l "_Toc54085943" </w:instrText>
      </w:r>
      <w:r>
        <w:fldChar w:fldCharType="separate"/>
      </w:r>
      <w:r>
        <w:rPr>
          <w:rStyle w:val="13"/>
          <w:rFonts w:hint="eastAsia" w:ascii="仿宋_GB2312" w:eastAsia="仿宋_GB2312" w:cs="仿宋_GB2312"/>
          <w:b/>
          <w:bCs/>
        </w:rPr>
        <w:t>二、绩效目标完成情况</w:t>
      </w:r>
      <w:r>
        <w:tab/>
      </w:r>
      <w:r>
        <w:fldChar w:fldCharType="begin"/>
      </w:r>
      <w:r>
        <w:instrText xml:space="preserve"> PAGEREF _Toc54085943 \h </w:instrText>
      </w:r>
      <w:r>
        <w:fldChar w:fldCharType="separate"/>
      </w:r>
      <w:r>
        <w:t>- 2 -</w:t>
      </w:r>
      <w:r>
        <w:fldChar w:fldCharType="end"/>
      </w:r>
      <w:r>
        <w:fldChar w:fldCharType="end"/>
      </w:r>
    </w:p>
    <w:p>
      <w:pPr>
        <w:pStyle w:val="9"/>
        <w:rPr>
          <w:rFonts w:asciiTheme="minorHAnsi" w:hAnsiTheme="minorHAnsi" w:eastAsiaTheme="minorEastAsia" w:cstheme="minorBidi"/>
          <w:sz w:val="21"/>
          <w:szCs w:val="22"/>
        </w:rPr>
      </w:pPr>
      <w:r>
        <w:fldChar w:fldCharType="begin"/>
      </w:r>
      <w:r>
        <w:instrText xml:space="preserve"> HYPERLINK \l "_Toc54085944" </w:instrText>
      </w:r>
      <w:r>
        <w:fldChar w:fldCharType="separate"/>
      </w:r>
      <w:r>
        <w:rPr>
          <w:rStyle w:val="13"/>
          <w:rFonts w:hint="eastAsia" w:ascii="黑体" w:hAnsi="黑体" w:eastAsia="黑体" w:cs="黑体"/>
        </w:rPr>
        <w:t>第</w:t>
      </w:r>
      <w:r>
        <w:rPr>
          <w:rStyle w:val="13"/>
          <w:rFonts w:hint="eastAsia" w:ascii="黑体" w:hAnsi="黑体" w:eastAsia="黑体" w:cs="黑体"/>
          <w:kern w:val="44"/>
        </w:rPr>
        <w:t>二部分附件</w:t>
      </w:r>
      <w:r>
        <w:tab/>
      </w:r>
      <w:r>
        <w:fldChar w:fldCharType="begin"/>
      </w:r>
      <w:r>
        <w:instrText xml:space="preserve"> PAGEREF _Toc54085944 \h </w:instrText>
      </w:r>
      <w:r>
        <w:fldChar w:fldCharType="separate"/>
      </w:r>
      <w:r>
        <w:t>- 4 -</w:t>
      </w:r>
      <w:r>
        <w:fldChar w:fldCharType="end"/>
      </w:r>
      <w:r>
        <w:fldChar w:fldCharType="end"/>
      </w:r>
    </w:p>
    <w:p>
      <w:r>
        <w:fldChar w:fldCharType="end"/>
      </w:r>
    </w:p>
    <w:p>
      <w:pPr>
        <w:jc w:val="center"/>
        <w:outlineLvl w:val="0"/>
        <w:rPr>
          <w:rFonts w:ascii="仿宋_GB2312" w:eastAsia="仿宋_GB2312" w:cs="仿宋_GB2312"/>
          <w:b/>
          <w:bCs/>
          <w:sz w:val="36"/>
          <w:szCs w:val="36"/>
        </w:rPr>
      </w:pPr>
    </w:p>
    <w:p>
      <w:pPr>
        <w:jc w:val="center"/>
        <w:outlineLvl w:val="0"/>
        <w:rPr>
          <w:rFonts w:ascii="仿宋_GB2312" w:eastAsia="仿宋_GB2312" w:cs="仿宋_GB2312"/>
          <w:b/>
          <w:bCs/>
          <w:sz w:val="36"/>
          <w:szCs w:val="36"/>
        </w:rPr>
      </w:pPr>
    </w:p>
    <w:p>
      <w:pPr>
        <w:jc w:val="center"/>
        <w:outlineLvl w:val="0"/>
        <w:rPr>
          <w:rFonts w:ascii="仿宋_GB2312" w:eastAsia="仿宋_GB2312"/>
          <w:b/>
          <w:bCs/>
          <w:sz w:val="36"/>
          <w:szCs w:val="36"/>
        </w:rPr>
      </w:pPr>
      <w:bookmarkStart w:id="4" w:name="_Toc54085941"/>
      <w:r>
        <w:rPr>
          <w:rFonts w:hint="eastAsia" w:ascii="仿宋_GB2312" w:eastAsia="仿宋_GB2312" w:cs="仿宋_GB2312"/>
          <w:b/>
          <w:bCs/>
          <w:sz w:val="36"/>
          <w:szCs w:val="36"/>
        </w:rPr>
        <w:t>第一部分</w:t>
      </w:r>
      <w:r>
        <w:rPr>
          <w:rFonts w:ascii="仿宋_GB2312" w:eastAsia="仿宋_GB2312" w:cs="仿宋_GB2312"/>
          <w:b/>
          <w:bCs/>
          <w:sz w:val="36"/>
          <w:szCs w:val="36"/>
        </w:rPr>
        <w:t xml:space="preserve"> 2019</w:t>
      </w:r>
      <w:r>
        <w:rPr>
          <w:rFonts w:hint="eastAsia" w:ascii="仿宋_GB2312" w:eastAsia="仿宋_GB2312" w:cs="仿宋_GB2312"/>
          <w:b/>
          <w:bCs/>
          <w:sz w:val="36"/>
          <w:szCs w:val="36"/>
        </w:rPr>
        <w:t>年预算绩效情况说明</w:t>
      </w:r>
      <w:bookmarkEnd w:id="0"/>
      <w:bookmarkEnd w:id="1"/>
      <w:bookmarkEnd w:id="2"/>
      <w:bookmarkEnd w:id="3"/>
      <w:bookmarkEnd w:id="4"/>
    </w:p>
    <w:p>
      <w:pPr>
        <w:numPr>
          <w:ilvl w:val="0"/>
          <w:numId w:val="1"/>
        </w:numPr>
        <w:outlineLvl w:val="1"/>
        <w:rPr>
          <w:rFonts w:ascii="仿宋_GB2312" w:eastAsia="仿宋_GB2312"/>
          <w:b/>
          <w:bCs/>
          <w:sz w:val="32"/>
          <w:szCs w:val="32"/>
        </w:rPr>
      </w:pPr>
      <w:bookmarkStart w:id="5" w:name="_Toc54085691"/>
      <w:bookmarkStart w:id="6" w:name="_Toc50041526"/>
      <w:bookmarkStart w:id="7" w:name="_Toc50014092"/>
      <w:bookmarkStart w:id="8" w:name="_Toc54085583"/>
      <w:bookmarkStart w:id="9" w:name="_Toc54085942"/>
      <w:bookmarkStart w:id="10" w:name="_Toc50042287"/>
      <w:r>
        <w:rPr>
          <w:rFonts w:hint="eastAsia" w:ascii="仿宋_GB2312" w:eastAsia="仿宋_GB2312" w:cs="仿宋_GB2312"/>
          <w:b/>
          <w:bCs/>
          <w:sz w:val="32"/>
          <w:szCs w:val="32"/>
        </w:rPr>
        <w:t>预算绩效管理工作开展情况</w:t>
      </w:r>
      <w:bookmarkEnd w:id="5"/>
      <w:bookmarkEnd w:id="6"/>
      <w:bookmarkEnd w:id="7"/>
      <w:bookmarkEnd w:id="8"/>
      <w:bookmarkEnd w:id="9"/>
      <w:bookmarkEnd w:id="10"/>
    </w:p>
    <w:p>
      <w:pPr>
        <w:autoSpaceDE w:val="0"/>
        <w:autoSpaceDN w:val="0"/>
        <w:adjustRightInd w:val="0"/>
        <w:spacing w:line="600" w:lineRule="exact"/>
        <w:ind w:firstLine="640" w:firstLineChars="200"/>
        <w:jc w:val="left"/>
        <w:rPr>
          <w:rFonts w:ascii="仿宋_GB2312" w:eastAsia="仿宋_GB2312"/>
          <w:b/>
          <w:bCs/>
          <w:sz w:val="32"/>
          <w:szCs w:val="32"/>
        </w:rPr>
      </w:pPr>
      <w:bookmarkStart w:id="11" w:name="_Toc54085692"/>
      <w:bookmarkStart w:id="12" w:name="_Toc54085584"/>
      <w:r>
        <w:rPr>
          <w:rFonts w:eastAsia="方正仿宋_GBK"/>
          <w:sz w:val="32"/>
          <w:szCs w:val="32"/>
        </w:rPr>
        <w:t>根据预算绩效管理要求，我</w:t>
      </w:r>
      <w:r>
        <w:rPr>
          <w:rFonts w:hint="eastAsia" w:eastAsia="方正仿宋_GBK"/>
          <w:sz w:val="32"/>
          <w:szCs w:val="32"/>
        </w:rPr>
        <w:t>局</w:t>
      </w:r>
      <w:r>
        <w:rPr>
          <w:rFonts w:eastAsia="方正仿宋_GBK"/>
          <w:sz w:val="32"/>
          <w:szCs w:val="32"/>
        </w:rPr>
        <w:t>在年初预算编制阶段，展了预算事前绩效评估，对</w:t>
      </w:r>
      <w:r>
        <w:rPr>
          <w:rFonts w:hint="eastAsia" w:eastAsia="方正仿宋_GBK"/>
          <w:sz w:val="32"/>
          <w:szCs w:val="32"/>
        </w:rPr>
        <w:t>15</w:t>
      </w:r>
      <w:r>
        <w:rPr>
          <w:rFonts w:eastAsia="方正仿宋_GBK"/>
          <w:sz w:val="32"/>
          <w:szCs w:val="32"/>
        </w:rPr>
        <w:t>个项目编制了绩效目标，预算执行过程中，对项目开展绩效监控，年终执行完毕后，对项目开展了绩效目标完成情况梳理填报。我</w:t>
      </w:r>
      <w:r>
        <w:rPr>
          <w:rFonts w:hint="eastAsia" w:eastAsia="方正仿宋_GBK"/>
          <w:sz w:val="32"/>
          <w:szCs w:val="32"/>
        </w:rPr>
        <w:t>局</w:t>
      </w:r>
      <w:r>
        <w:rPr>
          <w:rFonts w:eastAsia="方正仿宋_GBK"/>
          <w:sz w:val="32"/>
          <w:szCs w:val="32"/>
        </w:rPr>
        <w:t>按要求对2019年部门整体支出开展绩效自评，从评价情况来看，严格落实上级关于绩效管理的有关规定，年初做好预算申报，从严控制预算支出，管控好支出渠道，严格执行单位财务管理制度，强化支出审批、审签，各种票据齐全，符合报账要求，实现了本单位整体支出预期目标。从评价情况来看，结合</w:t>
      </w:r>
      <w:r>
        <w:rPr>
          <w:rFonts w:hint="eastAsia" w:eastAsia="方正仿宋_GBK"/>
          <w:sz w:val="32"/>
          <w:szCs w:val="32"/>
        </w:rPr>
        <w:t>我局</w:t>
      </w:r>
      <w:r>
        <w:rPr>
          <w:rFonts w:eastAsia="方正仿宋_GBK"/>
          <w:sz w:val="32"/>
          <w:szCs w:val="32"/>
        </w:rPr>
        <w:t>工作实际，本单位主要领导和分管领导认真审核项目预算，对项目支出渠道严格把关，确保各项目支出实现了经济效益、社会效益等预期目标。</w:t>
      </w:r>
      <w:bookmarkEnd w:id="11"/>
      <w:bookmarkEnd w:id="12"/>
    </w:p>
    <w:p>
      <w:pPr>
        <w:ind w:firstLine="643" w:firstLineChars="200"/>
        <w:outlineLvl w:val="1"/>
        <w:rPr>
          <w:rFonts w:ascii="仿宋_GB2312" w:eastAsia="仿宋_GB2312"/>
          <w:b/>
          <w:bCs/>
          <w:sz w:val="32"/>
          <w:szCs w:val="32"/>
        </w:rPr>
      </w:pPr>
      <w:bookmarkStart w:id="13" w:name="_Toc54085585"/>
      <w:bookmarkStart w:id="14" w:name="_Toc50042288"/>
      <w:bookmarkStart w:id="15" w:name="_Toc54085943"/>
      <w:bookmarkStart w:id="16" w:name="_Toc54085693"/>
      <w:bookmarkStart w:id="17" w:name="_Toc50014093"/>
      <w:r>
        <w:rPr>
          <w:rFonts w:hint="eastAsia" w:ascii="仿宋_GB2312" w:eastAsia="仿宋_GB2312" w:cs="仿宋_GB2312"/>
          <w:b/>
          <w:bCs/>
          <w:sz w:val="32"/>
          <w:szCs w:val="32"/>
        </w:rPr>
        <w:t>二、绩效目标完成情况</w:t>
      </w:r>
      <w:bookmarkEnd w:id="13"/>
      <w:bookmarkEnd w:id="14"/>
      <w:bookmarkEnd w:id="15"/>
      <w:bookmarkEnd w:id="16"/>
      <w:bookmarkEnd w:id="17"/>
    </w:p>
    <w:p>
      <w:pPr>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1.</w:t>
      </w:r>
      <w:r>
        <w:rPr>
          <w:rFonts w:hint="eastAsia" w:ascii="楷体_GB2312" w:hAnsi="楷体_GB2312" w:eastAsia="楷体_GB2312" w:cs="楷体_GB2312"/>
          <w:sz w:val="32"/>
          <w:szCs w:val="32"/>
        </w:rPr>
        <w:t>项目绩效目标完成情况。</w:t>
      </w:r>
    </w:p>
    <w:p>
      <w:pPr>
        <w:ind w:firstLine="640" w:firstLineChars="200"/>
        <w:rPr>
          <w:rFonts w:eastAsia="仿宋_GB2312"/>
          <w:sz w:val="32"/>
          <w:szCs w:val="32"/>
        </w:rPr>
      </w:pPr>
      <w:r>
        <w:rPr>
          <w:rFonts w:hint="eastAsia" w:eastAsia="仿宋_GB2312"/>
          <w:sz w:val="32"/>
          <w:szCs w:val="32"/>
        </w:rPr>
        <w:t>主要用于社会保障和就业支出、农林水支出等。</w:t>
      </w:r>
    </w:p>
    <w:p>
      <w:pPr>
        <w:pStyle w:val="5"/>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按项目分类：根据盐财资农【2019】75号下达2019年度城乡住户一体化农村调查户帮扶资金2万元；根据盐财资预【2019】61号下达2019年1至8月对上争取资金奖励9.59万元，根据盐财资农【2019】38号下达2019年移民员工资及五险资金21.5万元；</w:t>
      </w:r>
      <w:r>
        <w:rPr>
          <w:rFonts w:hint="eastAsia" w:ascii="Times New Roman" w:hAnsi="Times New Roman" w:eastAsia="楷体_GB2312"/>
          <w:color w:val="FF0000"/>
          <w:sz w:val="32"/>
          <w:szCs w:val="32"/>
        </w:rPr>
        <w:t xml:space="preserve"> </w:t>
      </w:r>
      <w:r>
        <w:rPr>
          <w:rFonts w:hint="eastAsia" w:ascii="Times New Roman" w:hAnsi="Times New Roman" w:eastAsia="楷体_GB2312"/>
          <w:sz w:val="32"/>
          <w:szCs w:val="32"/>
        </w:rPr>
        <w:t>根据川财农【2018】205号下达2019年中央和省级财政专项扶贫资金其中：中央128万元，省级2226万（扶贫专户清算）2354万元；根据川财农【2019】13号下达2019年省级财政专项扶贫资金395万元；根据盐财资农【2019】24号下达2019年县级财政专项扶贫资金552.3万元，根据盐财资农【2019】29号下达2019年春节走访慰问困难群众安全温暖过冬资金2.48万元，根据川财农【2019】78号下达2019年中央财政专项资金（专项库款保障扶贫资金）1061万元，根据盐财资农【2019】33号下达2018年秋季2019年春季学期建档立卡贫困家庭技工学校学生生活补助费3.6万元，根据川财农【2019】115号，下达2019年省级财政专项扶贫资金（扶贫发展）（专项库款保障财政扶贫资金）1587万元；根据盐财资农【2019】105号下达2019年县级财政专项扶贫资金2.47万元；根据盐财资建【2019】96号下达2019年7至9月二滩水电站工程非农安置移民困难人口生活补助资金72.79万元；根据川财企【2018】108号下达2019年中央大中型水库移民后期扶持项目资金1224万元；根据川财企【2018】103号下达全省2019年大中型水库移民后期扶持资金630万元；根据川财农【2019】106号下达2019年中央大中型水库移民后期扶持项目资金705万元。</w:t>
      </w:r>
      <w:r>
        <w:rPr>
          <w:rFonts w:hint="eastAsia" w:eastAsia="楷体_GB2312"/>
          <w:sz w:val="32"/>
          <w:szCs w:val="32"/>
        </w:rPr>
        <w:t>均按照项目绩效评价工作开展并完成项目绩效工作。</w:t>
      </w:r>
    </w:p>
    <w:p>
      <w:pPr>
        <w:numPr>
          <w:ilvl w:val="0"/>
          <w:numId w:val="2"/>
        </w:numPr>
        <w:spacing w:line="580" w:lineRule="exact"/>
        <w:ind w:left="630"/>
        <w:rPr>
          <w:rFonts w:ascii="楷体_GB2312" w:hAnsi="楷体_GB2312" w:eastAsia="楷体_GB2312" w:cs="楷体_GB2312"/>
          <w:sz w:val="32"/>
          <w:szCs w:val="32"/>
        </w:rPr>
      </w:pPr>
      <w:r>
        <w:rPr>
          <w:rFonts w:hint="eastAsia" w:ascii="楷体_GB2312" w:hAnsi="楷体_GB2312" w:eastAsia="楷体_GB2312" w:cs="楷体_GB2312"/>
          <w:sz w:val="32"/>
          <w:szCs w:val="32"/>
        </w:rPr>
        <w:t>部门绩效评价结果。</w:t>
      </w:r>
    </w:p>
    <w:p>
      <w:pPr>
        <w:spacing w:line="560" w:lineRule="exact"/>
        <w:ind w:firstLine="640" w:firstLineChars="200"/>
        <w:jc w:val="left"/>
        <w:rPr>
          <w:rFonts w:ascii="楷体_GB2312" w:hAnsi="楷体_GB2312" w:eastAsia="楷体_GB2312" w:cs="楷体_GB2312"/>
          <w:sz w:val="32"/>
          <w:szCs w:val="32"/>
        </w:rPr>
      </w:pPr>
      <w:r>
        <w:rPr>
          <w:rFonts w:hint="eastAsia" w:ascii="仿宋_GB2312" w:eastAsia="仿宋_GB2312" w:cs="仿宋_GB2312"/>
          <w:sz w:val="32"/>
          <w:szCs w:val="32"/>
        </w:rPr>
        <w:t>我局严格按照《预算法》按时完成预决算编制。在执行过程中有计划进行资金申报、使用，完善资金管理及内部控制制度，确保资金安全，做到账款、账账、账实相符。在今后工作中，进一步提高工作效率，把有限的资金用在刀刃上，扎实充分发挥资金使用效率，有力推进我局工作的高效开展，切实履行政府职责。</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年度部门整体支出绩效评价情况开展自评，《盐边县扶贫开发局人民政府</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年部门整体支出绩效评价报告》见附件（附件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w:t>
      </w:r>
      <w:r>
        <w:rPr>
          <w:rFonts w:hint="eastAsia" w:ascii="仿宋" w:hAnsi="仿宋" w:eastAsia="仿宋" w:cs="仿宋"/>
          <w:color w:val="000000"/>
          <w:kern w:val="0"/>
          <w:sz w:val="32"/>
          <w:szCs w:val="32"/>
        </w:rPr>
        <w:t>2019年春节走访慰问困难群众安全温暖过冬支出2019部门预算整体支出自评表</w:t>
      </w:r>
      <w:r>
        <w:rPr>
          <w:rFonts w:hint="eastAsia" w:ascii="仿宋_GB2312" w:hAnsi="仿宋_GB2312" w:eastAsia="仿宋_GB2312" w:cs="仿宋_GB2312"/>
          <w:sz w:val="32"/>
          <w:szCs w:val="32"/>
        </w:rPr>
        <w:t>》见附件（附件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p>
    <w:p>
      <w:pPr>
        <w:spacing w:line="600" w:lineRule="exact"/>
        <w:jc w:val="center"/>
        <w:outlineLvl w:val="0"/>
        <w:rPr>
          <w:rFonts w:ascii="黑体" w:hAnsi="黑体" w:eastAsia="黑体" w:cs="黑体"/>
          <w:color w:val="000000"/>
          <w:sz w:val="44"/>
          <w:szCs w:val="44"/>
        </w:rPr>
      </w:pPr>
      <w:bookmarkStart w:id="18" w:name="_Toc50042289"/>
      <w:bookmarkStart w:id="19" w:name="_Toc15396614"/>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bookmarkStart w:id="20" w:name="_Toc54085586"/>
      <w:bookmarkStart w:id="21" w:name="_Toc54085694"/>
      <w:bookmarkStart w:id="22" w:name="_Toc54085944"/>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Style w:val="14"/>
          <w:rFonts w:ascii="黑体" w:hAnsi="黑体" w:eastAsia="黑体"/>
          <w:b w:val="0"/>
          <w:bCs w:val="0"/>
        </w:rPr>
      </w:pPr>
      <w:r>
        <w:rPr>
          <w:rFonts w:hint="eastAsia" w:ascii="黑体" w:hAnsi="黑体" w:eastAsia="黑体" w:cs="黑体"/>
          <w:color w:val="000000"/>
          <w:sz w:val="44"/>
          <w:szCs w:val="44"/>
        </w:rPr>
        <w:t>第</w:t>
      </w:r>
      <w:r>
        <w:rPr>
          <w:rStyle w:val="14"/>
          <w:rFonts w:hint="eastAsia" w:ascii="黑体" w:hAnsi="黑体" w:eastAsia="黑体" w:cs="黑体"/>
          <w:b w:val="0"/>
          <w:bCs w:val="0"/>
        </w:rPr>
        <w:t>二部分附件</w:t>
      </w:r>
      <w:bookmarkEnd w:id="18"/>
      <w:bookmarkEnd w:id="19"/>
      <w:bookmarkEnd w:id="20"/>
      <w:bookmarkEnd w:id="21"/>
      <w:bookmarkEnd w:id="22"/>
    </w:p>
    <w:p>
      <w:pPr>
        <w:spacing w:line="600" w:lineRule="exact"/>
        <w:rPr>
          <w:rFonts w:ascii="方正小标宋简体" w:hAnsi="宋体" w:eastAsia="方正小标宋简体" w:cs="方正小标宋简体"/>
          <w:color w:val="000000"/>
          <w:kern w:val="0"/>
          <w:sz w:val="40"/>
          <w:szCs w:val="40"/>
        </w:rPr>
      </w:pPr>
    </w:p>
    <w:p>
      <w:pPr>
        <w:spacing w:line="600" w:lineRule="exact"/>
        <w:jc w:val="center"/>
        <w:rPr>
          <w:rFonts w:ascii="方正小标宋简体" w:hAnsi="宋体" w:eastAsia="方正小标宋简体" w:cs="方正小标宋简体"/>
          <w:color w:val="000000"/>
          <w:kern w:val="0"/>
          <w:sz w:val="40"/>
          <w:szCs w:val="40"/>
          <w:lang w:val="zh-CN"/>
        </w:rPr>
      </w:pPr>
      <w:r>
        <w:rPr>
          <w:rFonts w:hint="eastAsia" w:ascii="方正小标宋简体" w:hAnsi="宋体" w:eastAsia="方正小标宋简体" w:cs="方正小标宋简体"/>
          <w:color w:val="000000"/>
          <w:kern w:val="0"/>
          <w:sz w:val="40"/>
          <w:szCs w:val="40"/>
        </w:rPr>
        <w:t>盐边县扶贫开发局</w:t>
      </w:r>
      <w:r>
        <w:rPr>
          <w:rFonts w:ascii="方正小标宋简体" w:hAnsi="宋体" w:eastAsia="方正小标宋简体" w:cs="方正小标宋简体"/>
          <w:color w:val="000000"/>
          <w:kern w:val="0"/>
          <w:sz w:val="40"/>
          <w:szCs w:val="40"/>
        </w:rPr>
        <w:t>2019</w:t>
      </w:r>
      <w:r>
        <w:rPr>
          <w:rFonts w:hint="eastAsia" w:ascii="方正小标宋简体" w:hAnsi="宋体" w:eastAsia="方正小标宋简体" w:cs="方正小标宋简体"/>
          <w:color w:val="000000"/>
          <w:kern w:val="0"/>
          <w:sz w:val="40"/>
          <w:szCs w:val="40"/>
        </w:rPr>
        <w:t>年部门预算</w:t>
      </w:r>
      <w:r>
        <w:rPr>
          <w:rFonts w:hint="eastAsia" w:ascii="方正小标宋简体" w:hAnsi="宋体" w:eastAsia="方正小标宋简体" w:cs="方正小标宋简体"/>
          <w:color w:val="000000"/>
          <w:kern w:val="0"/>
          <w:sz w:val="40"/>
          <w:szCs w:val="40"/>
          <w:lang w:val="zh-CN"/>
        </w:rPr>
        <w:t>整体支出绩效自评报告</w:t>
      </w:r>
    </w:p>
    <w:p>
      <w:pPr>
        <w:spacing w:line="560" w:lineRule="exact"/>
        <w:ind w:firstLine="640" w:firstLineChars="200"/>
        <w:jc w:val="left"/>
        <w:rPr>
          <w:rFonts w:eastAsia="黑体"/>
          <w:sz w:val="32"/>
          <w:szCs w:val="32"/>
        </w:rPr>
      </w:pPr>
      <w:r>
        <w:rPr>
          <w:rFonts w:eastAsia="黑体"/>
          <w:sz w:val="32"/>
          <w:szCs w:val="32"/>
        </w:rPr>
        <w:t>一、部门概况</w:t>
      </w:r>
    </w:p>
    <w:p>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（一）机构组成</w:t>
      </w:r>
    </w:p>
    <w:p>
      <w:pPr>
        <w:widowControl/>
        <w:shd w:val="clear" w:color="auto" w:fill="FFFFFF"/>
        <w:spacing w:line="590" w:lineRule="atLeast"/>
        <w:jc w:val="left"/>
        <w:rPr>
          <w:rFonts w:ascii="仿宋_GB2312" w:hAnsi="仿宋" w:eastAsia="仿宋_GB2312" w:cs="宋体"/>
          <w:b/>
          <w:color w:val="333333"/>
          <w:kern w:val="0"/>
          <w:sz w:val="32"/>
          <w:szCs w:val="32"/>
        </w:rPr>
      </w:pPr>
      <w:r>
        <w:rPr>
          <w:rFonts w:hint="eastAsia" w:ascii="仿宋_GB2312" w:hAnsi="仿宋" w:eastAsia="仿宋_GB2312" w:cs="宋体"/>
          <w:b/>
          <w:color w:val="000000"/>
          <w:kern w:val="0"/>
          <w:sz w:val="32"/>
          <w:szCs w:val="32"/>
        </w:rPr>
        <w:t xml:space="preserve">   局机关内设办公室、扶贫开发股、</w:t>
      </w:r>
      <w:r>
        <w:rPr>
          <w:rStyle w:val="20"/>
          <w:rFonts w:hint="default" w:ascii="仿宋_GB2312" w:hAnsi="仿宋" w:eastAsia="仿宋_GB2312"/>
          <w:b/>
          <w:sz w:val="32"/>
          <w:szCs w:val="32"/>
        </w:rPr>
        <w:t>移民规安采煤沉陷区综合股</w:t>
      </w:r>
      <w:r>
        <w:rPr>
          <w:rFonts w:hint="eastAsia" w:ascii="仿宋_GB2312" w:hAnsi="仿宋" w:eastAsia="仿宋_GB2312" w:cs="宋体"/>
          <w:b/>
          <w:color w:val="000000"/>
          <w:kern w:val="0"/>
          <w:sz w:val="32"/>
          <w:szCs w:val="32"/>
        </w:rPr>
        <w:t>等5个职能股（室）和1个下属事业单位盐边县扶贫移民服务中心。</w:t>
      </w:r>
    </w:p>
    <w:p>
      <w:pPr>
        <w:widowControl/>
        <w:numPr>
          <w:ilvl w:val="0"/>
          <w:numId w:val="3"/>
        </w:numPr>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机构职能</w:t>
      </w:r>
    </w:p>
    <w:p>
      <w:pPr>
        <w:widowControl/>
        <w:adjustRightInd w:val="0"/>
        <w:snapToGrid w:val="0"/>
        <w:spacing w:line="560" w:lineRule="exact"/>
        <w:ind w:left="640"/>
        <w:jc w:val="left"/>
        <w:rPr>
          <w:rStyle w:val="21"/>
          <w:rFonts w:hint="default" w:ascii="仿宋_GB2312" w:hAnsi="宋体" w:eastAsia="仿宋_GB2312" w:cs="仿宋_GB2312"/>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rPr>
        <w:t xml:space="preserve">  1、</w:t>
      </w:r>
      <w:r>
        <w:rPr>
          <w:rStyle w:val="20"/>
          <w:rFonts w:hint="default" w:ascii="仿宋_GB2312" w:hAnsi="仿宋" w:eastAsia="仿宋_GB2312"/>
          <w:b/>
        </w:rPr>
        <w:t>负责职责范围内的安全生产和职业健康、 生态环境保护、 审批服务便民化等工作。</w:t>
      </w:r>
      <w:r>
        <w:rPr>
          <w:rFonts w:hint="eastAsia" w:hAnsi="仿宋"/>
          <w:b/>
          <w:color w:val="000000"/>
          <w:sz w:val="28"/>
          <w:szCs w:val="28"/>
        </w:rPr>
        <w:br w:type="textWrapping"/>
      </w:r>
      <w:r>
        <w:rPr>
          <w:rStyle w:val="20"/>
          <w:rFonts w:hint="default" w:ascii="仿宋_GB2312" w:hAnsi="仿宋" w:eastAsia="仿宋_GB2312"/>
          <w:b/>
        </w:rPr>
        <w:t xml:space="preserve">  2、与县发展改革局有关职责分工。 </w:t>
      </w:r>
      <w:r>
        <w:rPr>
          <w:rStyle w:val="21"/>
          <w:rFonts w:hint="default" w:ascii="仿宋_GB2312" w:hAnsi="仿宋" w:eastAsia="仿宋_GB2312"/>
          <w:b/>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（三）人员概况</w:t>
      </w:r>
    </w:p>
    <w:p>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盐边县扶贫开发局现有编制数</w:t>
      </w:r>
      <w:r>
        <w:rPr>
          <w:rFonts w:hint="eastAsia" w:eastAsia="楷体_GB2312"/>
          <w:sz w:val="32"/>
          <w:szCs w:val="32"/>
        </w:rPr>
        <w:t>20</w:t>
      </w:r>
      <w:r>
        <w:rPr>
          <w:rFonts w:hint="eastAsia" w:ascii="仿宋_GB2312" w:hAnsi="仿宋_GB2312" w:eastAsia="仿宋_GB2312" w:cs="仿宋_GB2312"/>
          <w:color w:val="333333"/>
          <w:sz w:val="32"/>
          <w:szCs w:val="32"/>
          <w:shd w:val="clear" w:color="auto" w:fill="FFFFFF"/>
        </w:rPr>
        <w:t>人，</w:t>
      </w:r>
      <w:r>
        <w:rPr>
          <w:rFonts w:hint="eastAsia" w:ascii="仿宋_GB2312" w:hAnsi="仿宋_GB2312" w:eastAsia="仿宋_GB2312" w:cs="仿宋_GB2312"/>
          <w:color w:val="000000"/>
          <w:sz w:val="32"/>
          <w:szCs w:val="32"/>
          <w:shd w:val="clear" w:color="auto" w:fill="FFFFFF"/>
        </w:rPr>
        <w:t>其中：行政编制15人，</w:t>
      </w:r>
      <w:r>
        <w:rPr>
          <w:rFonts w:hint="eastAsia" w:ascii="仿宋_GB2312" w:hAnsi="仿宋_GB2312" w:eastAsia="仿宋_GB2312" w:cs="仿宋_GB2312"/>
          <w:color w:val="333333"/>
          <w:sz w:val="32"/>
          <w:szCs w:val="32"/>
          <w:shd w:val="clear" w:color="auto" w:fill="FFFFFF"/>
        </w:rPr>
        <w:t>工勤人员1人，事业编制4人，2019年年末在职人员18人，其中行政编制12人，工勤编制5人，事业编制1人。</w:t>
      </w:r>
    </w:p>
    <w:p>
      <w:pPr>
        <w:pStyle w:val="5"/>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二、部门资金基本情况</w:t>
      </w:r>
    </w:p>
    <w:p>
      <w:pPr>
        <w:pStyle w:val="5"/>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（一）年初部门预算安排及支出情况</w:t>
      </w:r>
    </w:p>
    <w:p>
      <w:pPr>
        <w:pStyle w:val="5"/>
        <w:numPr>
          <w:ilvl w:val="0"/>
          <w:numId w:val="4"/>
        </w:num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基本支出安排及使用情况</w:t>
      </w:r>
    </w:p>
    <w:p>
      <w:pPr>
        <w:pStyle w:val="5"/>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2019年度收入9271.16万元，与2018年4228.01万元相比，收入增加5043.14万元，增长119.28%；2019年度支出17967.49万元，与2018年5739.3万元相比增加1228.15万元，增长213.06%。主要变动原因是扶贫支出项目增加。基本支出376.79万元，主要用于基本工资、津贴补贴、办公费、差旅费、水电邮电费、等日常公用经费。其中：社会保障和就业支出44.57万元，农林水支出300.68万元，，住房保障支出31.54万元。</w:t>
      </w:r>
    </w:p>
    <w:p>
      <w:pPr>
        <w:pStyle w:val="5"/>
        <w:numPr>
          <w:ilvl w:val="0"/>
          <w:numId w:val="5"/>
        </w:num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部门预算项目安排及支出情况</w:t>
      </w:r>
    </w:p>
    <w:p>
      <w:pPr>
        <w:pStyle w:val="5"/>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项目支出520.18万元，主要用于社会保障和就业支出6763.52万元，城乡社区支出7万元，农林水支出10820.19万元。</w:t>
      </w:r>
    </w:p>
    <w:p>
      <w:pPr>
        <w:pStyle w:val="5"/>
        <w:numPr>
          <w:ilvl w:val="0"/>
          <w:numId w:val="6"/>
        </w:num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专项资金安排及支出情况</w:t>
      </w:r>
    </w:p>
    <w:p>
      <w:pPr>
        <w:pStyle w:val="5"/>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根据盐财资农【2019】75号下达2019年度城乡住户一体化农村调查户帮扶资金2万元；根据盐财资预【2019】61号下达2019年1至8月对上争取资金奖励9.59万元，根据盐财资农【2019】38号下达2019年移民员工资及五险资金21.5万元；</w:t>
      </w:r>
      <w:r>
        <w:rPr>
          <w:rFonts w:hint="eastAsia" w:ascii="Times New Roman" w:hAnsi="Times New Roman" w:eastAsia="楷体_GB2312"/>
          <w:color w:val="FF0000"/>
          <w:sz w:val="32"/>
          <w:szCs w:val="32"/>
        </w:rPr>
        <w:t xml:space="preserve"> </w:t>
      </w:r>
      <w:r>
        <w:rPr>
          <w:rFonts w:hint="eastAsia" w:ascii="Times New Roman" w:hAnsi="Times New Roman" w:eastAsia="楷体_GB2312"/>
          <w:sz w:val="32"/>
          <w:szCs w:val="32"/>
        </w:rPr>
        <w:t>根据川财农【2018】205号下达2019年中央和省级财政专项扶贫资金其中：中央128万元，省级2226万（扶贫专户清算）2354万元；根据川财农【2019】13号下达2019年省级财政专项扶贫资金395万元；根据盐财资农【2019】24号下达2019年县级财政专项扶贫资金552.3万元，根据盐财资农【2019】29号下达2019年春节走访慰问困难群众安全温暖过冬资金2.48万元，根据川财农【2019】78号下达2019年中央财政专项资金（专项库款保障扶贫资金）1061万元，根据盐财资农【2019】33号下达2018年秋季2019年春季学期建档立卡贫困家庭技工学校学生生活补助费3.6万元，根据川财农【2019】115号，下达2019年省级财政专项扶贫资金（扶贫发展）（专项库款保障财政扶贫资金）1587万元；根据盐财资农【2019】105号下达2019年县级财政专项扶贫资金2.47万元；根据盐财资建【2019】96号下达2019年7至9月二滩水电站工程非农安置移民困难人口生活补助资金72.79万元；根据川财企【2018】108号下达2019年中央大中型水库移民后期扶持项目资金1224万元；根据川财企【2018】103号下达全省2019年大中型水库移民后期扶持资金630万元；根据川财农【2019】106号下达2019年中央大中型水库移民后期扶持项目资金705万元。。</w:t>
      </w:r>
    </w:p>
    <w:p>
      <w:pPr>
        <w:pStyle w:val="5"/>
        <w:spacing w:line="560" w:lineRule="exact"/>
        <w:ind w:firstLine="640" w:firstLineChars="200"/>
        <w:rPr>
          <w:rFonts w:ascii="Times New Roman" w:hAnsi="Times New Roman" w:eastAsia="楷体"/>
          <w:sz w:val="32"/>
          <w:szCs w:val="32"/>
        </w:rPr>
      </w:pPr>
      <w:r>
        <w:rPr>
          <w:rFonts w:ascii="Times New Roman" w:hAnsi="Times New Roman" w:eastAsia="黑体"/>
          <w:sz w:val="32"/>
          <w:szCs w:val="32"/>
        </w:rPr>
        <w:t>三、绩效目标完成情况分析</w:t>
      </w:r>
    </w:p>
    <w:p>
      <w:pPr>
        <w:pStyle w:val="5"/>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 xml:space="preserve"> 我局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5"/>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局经济、社会发展。</w:t>
      </w:r>
    </w:p>
    <w:p>
      <w:pPr>
        <w:pStyle w:val="5"/>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w:t>
      </w:r>
      <w:r>
        <w:rPr>
          <w:rFonts w:hint="eastAsia" w:ascii="Times New Roman" w:hAnsi="Times New Roman" w:eastAsia="楷体_GB2312"/>
          <w:sz w:val="32"/>
          <w:szCs w:val="32"/>
        </w:rPr>
        <w:t>县</w:t>
      </w:r>
      <w:r>
        <w:rPr>
          <w:rFonts w:ascii="Times New Roman" w:hAnsi="Times New Roman" w:eastAsia="楷体_GB2312"/>
          <w:sz w:val="32"/>
          <w:szCs w:val="32"/>
        </w:rPr>
        <w:t>级财政资金绩效目标完成情况</w:t>
      </w:r>
    </w:p>
    <w:p>
      <w:pPr>
        <w:pStyle w:val="5"/>
        <w:spacing w:line="560" w:lineRule="exact"/>
        <w:ind w:firstLine="640" w:firstLineChars="200"/>
        <w:rPr>
          <w:rFonts w:ascii="Times New Roman" w:hAnsi="Times New Roman" w:eastAsia="楷体"/>
          <w:sz w:val="32"/>
          <w:szCs w:val="32"/>
        </w:rPr>
      </w:pPr>
      <w:r>
        <w:rPr>
          <w:rFonts w:ascii="Times New Roman" w:hAnsi="Times New Roman" w:eastAsia="仿宋_GB2312"/>
          <w:sz w:val="32"/>
          <w:szCs w:val="32"/>
        </w:rPr>
        <w:t>1.年初部门预算绩效目标完成情况</w:t>
      </w:r>
    </w:p>
    <w:p>
      <w:pPr>
        <w:pStyle w:val="5"/>
        <w:spacing w:line="560" w:lineRule="exact"/>
        <w:ind w:firstLine="640" w:firstLineChars="200"/>
        <w:rPr>
          <w:rFonts w:ascii="仿宋" w:hAnsi="仿宋" w:eastAsia="仿宋" w:cs="仿宋"/>
          <w:color w:val="000000"/>
          <w:sz w:val="32"/>
          <w:szCs w:val="32"/>
        </w:rPr>
      </w:pPr>
      <w:r>
        <w:rPr>
          <w:rFonts w:ascii="Times New Roman" w:hAnsi="Times New Roman" w:eastAsia="仿宋_GB2312"/>
          <w:sz w:val="32"/>
          <w:szCs w:val="32"/>
        </w:rPr>
        <w:t>（1）产出指标完成情况分析。</w:t>
      </w:r>
      <w:r>
        <w:rPr>
          <w:rFonts w:hint="eastAsia" w:ascii="仿宋" w:hAnsi="仿宋" w:eastAsia="仿宋" w:cs="仿宋"/>
          <w:bCs/>
          <w:sz w:val="32"/>
          <w:szCs w:val="32"/>
        </w:rPr>
        <w:t>我局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560" w:lineRule="exact"/>
        <w:ind w:firstLine="640" w:firstLineChars="200"/>
        <w:jc w:val="left"/>
        <w:rPr>
          <w:rFonts w:ascii="仿宋" w:hAnsi="仿宋" w:eastAsia="仿宋" w:cs="仿宋"/>
          <w:bCs/>
          <w:color w:val="000000"/>
          <w:sz w:val="32"/>
          <w:szCs w:val="32"/>
        </w:rPr>
      </w:pPr>
      <w:r>
        <w:rPr>
          <w:rFonts w:eastAsia="仿宋_GB2312"/>
          <w:color w:val="000000"/>
          <w:sz w:val="32"/>
          <w:szCs w:val="32"/>
        </w:rPr>
        <w:t>（2）效益指标完成情况分析。</w:t>
      </w:r>
      <w:r>
        <w:rPr>
          <w:rFonts w:hint="eastAsia" w:eastAsia="仿宋_GB2312"/>
          <w:color w:val="000000"/>
          <w:sz w:val="32"/>
          <w:szCs w:val="32"/>
        </w:rPr>
        <w:t>我局主要安排用于一般公共服务支出、社会保障和就业支出、农林水支出等。</w:t>
      </w:r>
    </w:p>
    <w:p>
      <w:pPr>
        <w:pStyle w:val="5"/>
        <w:spacing w:line="560" w:lineRule="exact"/>
        <w:ind w:firstLine="640" w:firstLineChars="200"/>
        <w:rPr>
          <w:rFonts w:ascii="Times New Roman" w:hAnsi="Times New Roman" w:eastAsia="楷体"/>
          <w:color w:val="000000"/>
          <w:sz w:val="32"/>
          <w:szCs w:val="32"/>
        </w:rPr>
      </w:pPr>
      <w:r>
        <w:rPr>
          <w:rFonts w:ascii="Times New Roman" w:hAnsi="Times New Roman" w:eastAsia="仿宋_GB2312"/>
          <w:color w:val="000000"/>
          <w:sz w:val="32"/>
          <w:szCs w:val="32"/>
        </w:rPr>
        <w:t>（3）满意度指标完成情况分析。</w:t>
      </w:r>
      <w:r>
        <w:rPr>
          <w:rFonts w:hint="eastAsia" w:ascii="Times New Roman" w:hAnsi="Times New Roman" w:eastAsia="仿宋_GB2312"/>
          <w:color w:val="000000"/>
          <w:sz w:val="32"/>
          <w:szCs w:val="32"/>
        </w:rPr>
        <w:t>通过财政绩效目标管理，基本达到满意。</w:t>
      </w:r>
    </w:p>
    <w:p>
      <w:pPr>
        <w:pStyle w:val="5"/>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2.专项（项目）资金绩效目标完成情况</w:t>
      </w:r>
    </w:p>
    <w:p>
      <w:pPr>
        <w:spacing w:line="560" w:lineRule="exact"/>
        <w:ind w:firstLine="640" w:firstLineChars="200"/>
        <w:jc w:val="left"/>
        <w:rPr>
          <w:rFonts w:ascii="仿宋" w:hAnsi="仿宋" w:eastAsia="仿宋" w:cs="仿宋"/>
          <w:bCs/>
          <w:sz w:val="32"/>
          <w:szCs w:val="32"/>
        </w:rPr>
      </w:pPr>
      <w:r>
        <w:rPr>
          <w:rFonts w:eastAsia="仿宋_GB2312"/>
          <w:sz w:val="32"/>
          <w:szCs w:val="32"/>
        </w:rPr>
        <w:t>（1）产出指标完成情况分析。</w:t>
      </w:r>
      <w:r>
        <w:rPr>
          <w:rFonts w:hint="eastAsia" w:ascii="仿宋" w:hAnsi="仿宋" w:eastAsia="仿宋" w:cs="仿宋"/>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5"/>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效益指标完成情况分析。</w:t>
      </w:r>
      <w:r>
        <w:rPr>
          <w:rFonts w:hint="eastAsia" w:ascii="Times New Roman" w:hAnsi="Times New Roman" w:eastAsia="仿宋_GB2312"/>
          <w:sz w:val="32"/>
          <w:szCs w:val="32"/>
        </w:rPr>
        <w:t>我局项目资金主要安排用于一般公共服务支出、社会保障和就业支出、卫生健康支出、节能环保支出、城局社区支出、农林水支出、自然资源海洋气象等支出、灾害防治及应急管理支出等。</w:t>
      </w:r>
    </w:p>
    <w:p>
      <w:pPr>
        <w:pStyle w:val="5"/>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（3）满意度指标完成情况分析。</w:t>
      </w:r>
      <w:r>
        <w:rPr>
          <w:rFonts w:hint="eastAsia" w:ascii="Times New Roman" w:hAnsi="Times New Roman" w:eastAsia="仿宋_GB2312"/>
          <w:sz w:val="32"/>
          <w:szCs w:val="32"/>
        </w:rPr>
        <w:t>通过财政绩效目标管理，基本达到满意。</w:t>
      </w:r>
    </w:p>
    <w:p>
      <w:pPr>
        <w:pStyle w:val="5"/>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（二）上级专项（项目）资金绩效目标完成情况</w:t>
      </w:r>
    </w:p>
    <w:p>
      <w:pPr>
        <w:pStyle w:val="5"/>
        <w:spacing w:line="560" w:lineRule="exact"/>
        <w:ind w:firstLine="640" w:firstLineChars="200"/>
        <w:jc w:val="left"/>
        <w:rPr>
          <w:rFonts w:ascii="Times New Roman" w:hAnsi="Times New Roman" w:eastAsia="楷体_GB2312"/>
          <w:sz w:val="32"/>
          <w:szCs w:val="32"/>
        </w:rPr>
      </w:pPr>
      <w:r>
        <w:rPr>
          <w:rFonts w:ascii="Times New Roman" w:hAnsi="Times New Roman" w:eastAsia="仿宋_GB2312"/>
          <w:sz w:val="32"/>
          <w:szCs w:val="32"/>
        </w:rPr>
        <w:t>（1）产出指标完成情况分析。</w:t>
      </w:r>
      <w:r>
        <w:rPr>
          <w:rFonts w:hint="eastAsia" w:ascii="Times New Roman" w:hAnsi="Times New Roman" w:eastAsia="楷体_GB2312"/>
          <w:sz w:val="32"/>
          <w:szCs w:val="32"/>
        </w:rPr>
        <w:t>根据盐财资农【2019】75号下达2019年度城乡住户一体化农村调查户帮扶资金2万元；根据盐财资预【2019】61号下达2019年1至8月对上争取资金奖励9.59万元，根据盐财资农【2019】38号下达2019年移民员工资及五险资金21.5万元；</w:t>
      </w:r>
      <w:r>
        <w:rPr>
          <w:rFonts w:hint="eastAsia" w:ascii="Times New Roman" w:hAnsi="Times New Roman" w:eastAsia="楷体_GB2312"/>
          <w:color w:val="FF0000"/>
          <w:sz w:val="32"/>
          <w:szCs w:val="32"/>
        </w:rPr>
        <w:t xml:space="preserve"> </w:t>
      </w:r>
      <w:r>
        <w:rPr>
          <w:rFonts w:hint="eastAsia" w:ascii="Times New Roman" w:hAnsi="Times New Roman" w:eastAsia="楷体_GB2312"/>
          <w:sz w:val="32"/>
          <w:szCs w:val="32"/>
        </w:rPr>
        <w:t>根据川财农【2018】205号下达2019年中央和省级财政专项扶贫资金其中：中央128万元，省级2226万（扶贫专户清算）2354万元；根据川财农【2019】13号下达2019年省级财政专项扶贫资金395万元；根据盐财资农【2019】24号下达2019年县级财政专项扶贫资金552.3万元，根据盐财资农【2019】29号下达2019年春节走访慰问困难群众安全温暖过冬资金2.48万元，根据川财农【2019】78号下达2019年中央财政专项资金（专项库款保障扶贫资金）1061万元，根据盐财资农【2019】33号下达2018年秋季2019年春季学期建档立卡贫困家庭技工学校学生生活补助费3.6万元，根据川财农【2019】115号，下达2019年省级财政专项扶贫资金（扶贫发展）（专项库款保障财政扶贫资金）1587万元；根据盐财资农【2019】105号下达2019年县级财政专项扶贫资金2.47万元；根据盐财资建【2019】96号下达2019年7至9月二滩水电站工程非农安置移民困难人口生活补助资金72.79万元；根据川财企【2018】108号下达2019年中央大中型水库移民后期扶持项目资金1224万元；根据川财企【2018】103号下达全省2019年大中型水库移民后期扶持资金630万元；根据川财农【2019】106号下达2019年中央大中型水库移民后期扶持项目资金705万元。</w:t>
      </w:r>
    </w:p>
    <w:p>
      <w:pPr>
        <w:pStyle w:val="5"/>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（2）效益指标完成情况分析。</w:t>
      </w:r>
      <w:r>
        <w:rPr>
          <w:rFonts w:hint="eastAsia" w:ascii="Times New Roman" w:hAnsi="Times New Roman" w:eastAsia="仿宋_GB2312"/>
          <w:sz w:val="32"/>
          <w:szCs w:val="32"/>
        </w:rPr>
        <w:t>我局项目资金主要安排用于一般公共服务支出、社会保障和就业支出、农林水支出。</w:t>
      </w:r>
    </w:p>
    <w:p>
      <w:pPr>
        <w:pStyle w:val="5"/>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（3）满意度指标完成情况分析。</w:t>
      </w:r>
      <w:r>
        <w:rPr>
          <w:rFonts w:hint="eastAsia" w:ascii="Times New Roman" w:hAnsi="Times New Roman" w:eastAsia="仿宋_GB2312"/>
          <w:sz w:val="32"/>
          <w:szCs w:val="32"/>
        </w:rPr>
        <w:t>通过财政绩效目标管理，基本达到满意。</w:t>
      </w:r>
    </w:p>
    <w:p>
      <w:pPr>
        <w:pStyle w:val="5"/>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（三）其他需要说明的情况</w:t>
      </w:r>
      <w:r>
        <w:rPr>
          <w:rFonts w:hint="eastAsia" w:ascii="Times New Roman" w:hAnsi="Times New Roman" w:eastAsia="楷体_GB2312"/>
          <w:sz w:val="32"/>
          <w:szCs w:val="32"/>
        </w:rPr>
        <w:t>。</w:t>
      </w:r>
    </w:p>
    <w:p>
      <w:pPr>
        <w:pStyle w:val="5"/>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无</w:t>
      </w:r>
    </w:p>
    <w:p>
      <w:pPr>
        <w:pStyle w:val="5"/>
        <w:numPr>
          <w:ilvl w:val="0"/>
          <w:numId w:val="7"/>
        </w:num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自评结论</w:t>
      </w:r>
    </w:p>
    <w:p>
      <w:pPr>
        <w:pStyle w:val="5"/>
        <w:spacing w:line="560" w:lineRule="exact"/>
        <w:ind w:firstLine="640" w:firstLineChars="200"/>
        <w:rPr>
          <w:rFonts w:ascii="Times New Roman" w:hAnsi="Times New Roman" w:eastAsia="楷体_GB2312"/>
          <w:sz w:val="32"/>
          <w:szCs w:val="32"/>
        </w:rPr>
      </w:pPr>
      <w:r>
        <w:rPr>
          <w:rFonts w:hint="eastAsia" w:ascii="仿宋" w:hAnsi="仿宋" w:eastAsia="仿宋" w:cs="仿宋"/>
          <w:bCs/>
          <w:sz w:val="32"/>
          <w:szCs w:val="32"/>
        </w:rPr>
        <w:t>我局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5"/>
        <w:numPr>
          <w:ilvl w:val="0"/>
          <w:numId w:val="8"/>
        </w:num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偏离绩效目标的原因和下一步改进措施</w:t>
      </w:r>
    </w:p>
    <w:p>
      <w:pPr>
        <w:pStyle w:val="5"/>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 xml:space="preserve">   （一）预算编制和预算管理还需进一步细化和加强，严禁超预算和无预算安排支出，严格开支范围和标准，严格审核各项经费的支出，提高资金使用效率。</w:t>
      </w:r>
    </w:p>
    <w:p>
      <w:pPr>
        <w:pStyle w:val="5"/>
        <w:spacing w:line="560" w:lineRule="exact"/>
        <w:ind w:firstLine="640" w:firstLineChars="200"/>
        <w:rPr>
          <w:rFonts w:ascii="Times New Roman" w:hAnsi="Times New Roman" w:eastAsia="黑体"/>
          <w:sz w:val="32"/>
          <w:szCs w:val="32"/>
        </w:rPr>
      </w:pPr>
      <w:r>
        <w:rPr>
          <w:rFonts w:hint="eastAsia" w:ascii="仿宋" w:hAnsi="仿宋" w:eastAsia="仿宋" w:cs="仿宋"/>
          <w:bCs/>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numPr>
          <w:ilvl w:val="0"/>
          <w:numId w:val="9"/>
        </w:numPr>
        <w:spacing w:line="560" w:lineRule="exact"/>
        <w:ind w:firstLine="640" w:firstLineChars="200"/>
        <w:rPr>
          <w:rFonts w:ascii="仿宋" w:hAnsi="仿宋" w:eastAsia="仿宋" w:cs="仿宋"/>
          <w:color w:val="000000"/>
          <w:kern w:val="0"/>
          <w:sz w:val="32"/>
          <w:szCs w:val="32"/>
        </w:rPr>
      </w:pPr>
      <w:r>
        <w:rPr>
          <w:rFonts w:eastAsia="黑体"/>
          <w:sz w:val="32"/>
          <w:szCs w:val="32"/>
        </w:rPr>
        <w:t>绩效自评结果拟应用和公开公示情况</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（一）绩效自评结果拟应用</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1.深化绩效评价工作，不断提高部门预算整体绩效目标管理水平。</w:t>
      </w:r>
      <w:r>
        <w:rPr>
          <w:rFonts w:hint="eastAsia" w:ascii="仿宋" w:hAnsi="仿宋" w:eastAsia="仿宋" w:cs="仿宋"/>
          <w:bCs/>
          <w:sz w:val="32"/>
          <w:szCs w:val="32"/>
        </w:rPr>
        <w:t xml:space="preserve">按照《预算法》按时完成预决算编制。在执行过程中有计划进行资金申报、使用，完善资金管理及内部控制制度，确保资金安全，做到账款、账账、账实相符。 </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2.通过绩效自评建立机关厉行节约制度、节能降耗。</w:t>
      </w:r>
      <w:r>
        <w:rPr>
          <w:rFonts w:hint="eastAsia" w:ascii="仿宋" w:hAnsi="仿宋" w:eastAsia="仿宋" w:cs="仿宋"/>
          <w:bCs/>
          <w:sz w:val="32"/>
          <w:szCs w:val="32"/>
        </w:rPr>
        <w:t>我局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3.强化单位财务管理工作，提高资金使用效率。</w:t>
      </w:r>
      <w:r>
        <w:rPr>
          <w:rFonts w:hint="eastAsia" w:ascii="仿宋" w:hAnsi="仿宋" w:eastAsia="仿宋" w:cs="仿宋"/>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10"/>
        </w:numPr>
        <w:spacing w:line="560" w:lineRule="exact"/>
        <w:ind w:firstLine="643" w:firstLineChars="200"/>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公开公示情况</w:t>
      </w:r>
    </w:p>
    <w:p>
      <w:pPr>
        <w:spacing w:line="560" w:lineRule="exact"/>
        <w:ind w:firstLine="640" w:firstLineChars="200"/>
        <w:jc w:val="left"/>
        <w:rPr>
          <w:rFonts w:ascii="仿宋_GB2312" w:hAnsi="仿宋_GB2312" w:eastAsia="仿宋_GB2312"/>
          <w:sz w:val="32"/>
          <w:szCs w:val="32"/>
        </w:rPr>
      </w:pPr>
      <w:r>
        <w:rPr>
          <w:rFonts w:hint="eastAsia" w:ascii="仿宋" w:hAnsi="仿宋" w:eastAsia="仿宋" w:cs="仿宋"/>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扶贫开发局人民政府2019年部门预算整体绩效自评表》和《盐边县扶贫开发局局人民政府2019年度部门预算情况公开编制说明》在“盐边县公众信息网”财政信息板块下的“财政绩效评价信息专栏”进行公开公示。</w:t>
      </w: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r>
        <w:rPr>
          <w:rFonts w:hint="eastAsia" w:ascii="方正小标宋简体" w:hAnsi="宋体" w:eastAsia="方正小标宋简体" w:cs="方正小标宋简体"/>
          <w:color w:val="000000"/>
          <w:kern w:val="0"/>
          <w:sz w:val="44"/>
          <w:szCs w:val="44"/>
          <w:lang w:val="zh-CN"/>
        </w:rPr>
        <w:t>盐边县扶贫开发局</w:t>
      </w:r>
      <w:r>
        <w:rPr>
          <w:rFonts w:hint="eastAsia" w:ascii="方正小标宋简体" w:hAnsi="仿宋" w:eastAsia="方正小标宋简体" w:cs="仿宋"/>
          <w:color w:val="000000"/>
          <w:kern w:val="0"/>
          <w:sz w:val="44"/>
          <w:szCs w:val="44"/>
        </w:rPr>
        <w:t>2019年春节走访慰问困难群众安全温暖过冬</w:t>
      </w:r>
      <w:r>
        <w:rPr>
          <w:rFonts w:hint="eastAsia" w:ascii="方正小标宋简体" w:hAnsi="宋体" w:eastAsia="方正小标宋简体" w:cs="方正小标宋简体"/>
          <w:color w:val="000000"/>
          <w:kern w:val="0"/>
          <w:sz w:val="44"/>
          <w:szCs w:val="44"/>
          <w:lang w:val="zh-CN"/>
        </w:rPr>
        <w:t>绩效评价报告</w:t>
      </w:r>
    </w:p>
    <w:p>
      <w:pPr>
        <w:pStyle w:val="16"/>
        <w:spacing w:line="560" w:lineRule="exact"/>
        <w:ind w:firstLine="636" w:firstLineChars="198"/>
        <w:rPr>
          <w:rFonts w:ascii="Times New Roman" w:hAnsi="Times New Roman" w:eastAsia="方正仿宋_GBK"/>
          <w:b/>
          <w:sz w:val="32"/>
          <w:szCs w:val="32"/>
        </w:rPr>
      </w:pPr>
    </w:p>
    <w:p>
      <w:pPr>
        <w:pStyle w:val="16"/>
        <w:spacing w:line="560" w:lineRule="exact"/>
        <w:ind w:firstLine="636" w:firstLineChars="198"/>
        <w:rPr>
          <w:rFonts w:ascii="Times New Roman" w:hAnsi="Times New Roman" w:eastAsia="方正仿宋_GBK"/>
          <w:b/>
          <w:sz w:val="32"/>
          <w:szCs w:val="32"/>
        </w:rPr>
      </w:pPr>
      <w:r>
        <w:rPr>
          <w:rFonts w:ascii="Times New Roman" w:hAnsi="Times New Roman" w:eastAsia="方正仿宋_GBK"/>
          <w:b/>
          <w:sz w:val="32"/>
          <w:szCs w:val="32"/>
        </w:rPr>
        <w:t>一、项目概况</w:t>
      </w:r>
    </w:p>
    <w:p>
      <w:pPr>
        <w:pStyle w:val="16"/>
        <w:spacing w:line="560" w:lineRule="exact"/>
        <w:ind w:firstLine="633" w:firstLineChars="198"/>
        <w:rPr>
          <w:rFonts w:ascii="Times New Roman" w:hAnsi="Times New Roman" w:eastAsia="方正仿宋_GBK"/>
          <w:b/>
          <w:sz w:val="32"/>
          <w:szCs w:val="32"/>
        </w:rPr>
      </w:pPr>
      <w:r>
        <w:rPr>
          <w:rFonts w:hint="eastAsia" w:ascii="仿宋" w:hAnsi="仿宋" w:eastAsia="仿宋" w:cs="仿宋"/>
          <w:color w:val="000000"/>
          <w:kern w:val="0"/>
          <w:sz w:val="32"/>
          <w:szCs w:val="32"/>
        </w:rPr>
        <w:t>完成盐边县扶贫开发局2019年春节走访慰问困难群众安全温暖过冬资金支付。</w:t>
      </w:r>
    </w:p>
    <w:p>
      <w:pPr>
        <w:pStyle w:val="16"/>
        <w:spacing w:line="560" w:lineRule="exact"/>
        <w:ind w:firstLine="636" w:firstLineChars="198"/>
        <w:rPr>
          <w:rFonts w:ascii="Times New Roman" w:hAnsi="Times New Roman" w:eastAsia="方正仿宋_GBK"/>
          <w:b/>
          <w:sz w:val="32"/>
          <w:szCs w:val="32"/>
        </w:rPr>
      </w:pPr>
      <w:r>
        <w:rPr>
          <w:rFonts w:hint="eastAsia" w:ascii="Times New Roman" w:hAnsi="Times New Roman" w:eastAsia="方正仿宋_GBK"/>
          <w:b/>
          <w:sz w:val="32"/>
          <w:szCs w:val="32"/>
        </w:rPr>
        <w:t>二、</w:t>
      </w:r>
      <w:r>
        <w:rPr>
          <w:rFonts w:ascii="Times New Roman" w:hAnsi="Times New Roman" w:eastAsia="方正仿宋_GBK"/>
          <w:b/>
          <w:sz w:val="32"/>
          <w:szCs w:val="32"/>
        </w:rPr>
        <w:t>项目绩效目标</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1.数量指标。保障全全县16个乡镇2019年春节走访慰问困难群众安全温暖过冬资金支出，完成率100%。</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2.效益指标。在2019年春节走访慰问困难群众安全温暖过冬资金，保证贫困户顺利过冬，按照标准走访慰问困难群众安全温暖过冬资金支出。</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3.满意度指标。项目区群众满意度99%。</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三、满意度指标完成情况</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项目区群众满意度99%。</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楷体_GBK">
    <w:panose1 w:val="03000509000000000000"/>
    <w:charset w:val="86"/>
    <w:family w:val="roma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1596"/>
        <w:tab w:val="clear" w:pos="4153"/>
      </w:tabs>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- 1 -</w:t>
                          </w:r>
                          <w:r>
                            <w:rPr>
                              <w:rFonts w:hint="eastAsia"/>
                              <w:sz w:val="18"/>
                            </w:rPr>
                            <w:fldChar w:fldCharType="end"/>
                          </w:r>
                        </w:p>
                      </w:txbxContent>
                    </wps:txbx>
                    <wps:bodyPr wrap="none" lIns="0" tIns="0" rIns="0" bIns="0" upright="1">
                      <a:spAutoFit/>
                    </wps:bodyPr>
                  </wps:wsp>
                </a:graphicData>
              </a:graphic>
            </wp:anchor>
          </w:drawing>
        </mc:Choice>
        <mc:Fallback>
          <w:pict>
            <v:shape id="文本框1"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9XmQa0BAABK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Z/n7vQh1pj0FDAtDbd+yJmjP6Izix4U2PxFOQTj&#10;2OfDubdySETkR8vFcllhSGBsuiAOe3keIKaP0luSjYYCDq/0lO8fYjqlTim5mvP32hj089q4Nw7E&#10;zB6WuZ84ZisNm2EkvvHtAfX0OPeGOlxMSswnh23NKzIZMBmbydgF0NsOqc0LrxhudglJFG65wgl2&#10;LIwDK+rG5cob8fpesl5+gf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DvV5kGtAQAASgMA&#10;AA4AAAAAAAAAAQAgAAAAHgEAAGRycy9lMm9Eb2MueG1sUEsFBgAAAAAGAAYAWQEAAD0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- 1 -</w:t>
                    </w:r>
                    <w:r>
                      <w:rPr>
                        <w:rFonts w:hint="eastAsia"/>
                        <w:sz w:val="18"/>
                      </w:rPr>
                      <w:fldChar w:fldCharType="end"/>
                    </w:r>
                  </w:p>
                </w:txbxContent>
              </v:textbox>
            </v:shape>
          </w:pict>
        </mc:Fallback>
      </mc:AlternateContent>
    </w: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D13238"/>
    <w:multiLevelType w:val="multilevel"/>
    <w:tmpl w:val="5ED13238"/>
    <w:lvl w:ilvl="0" w:tentative="0">
      <w:start w:val="1"/>
      <w:numFmt w:val="japaneseCounting"/>
      <w:lvlText w:val="%1、"/>
      <w:lvlJc w:val="left"/>
      <w:pPr>
        <w:tabs>
          <w:tab w:val="left" w:pos="1363"/>
        </w:tabs>
        <w:ind w:left="1363" w:hanging="720"/>
      </w:pPr>
      <w:rPr>
        <w:rFonts w:hint="default"/>
      </w:rPr>
    </w:lvl>
    <w:lvl w:ilvl="1" w:tentative="0">
      <w:start w:val="1"/>
      <w:numFmt w:val="lowerLetter"/>
      <w:lvlText w:val="%2)"/>
      <w:lvlJc w:val="left"/>
      <w:pPr>
        <w:tabs>
          <w:tab w:val="left" w:pos="1483"/>
        </w:tabs>
        <w:ind w:left="1483" w:hanging="420"/>
      </w:pPr>
    </w:lvl>
    <w:lvl w:ilvl="2" w:tentative="0">
      <w:start w:val="1"/>
      <w:numFmt w:val="lowerRoman"/>
      <w:lvlText w:val="%3."/>
      <w:lvlJc w:val="right"/>
      <w:pPr>
        <w:tabs>
          <w:tab w:val="left" w:pos="1903"/>
        </w:tabs>
        <w:ind w:left="1903" w:hanging="420"/>
      </w:pPr>
    </w:lvl>
    <w:lvl w:ilvl="3" w:tentative="0">
      <w:start w:val="1"/>
      <w:numFmt w:val="decimal"/>
      <w:lvlText w:val="%4."/>
      <w:lvlJc w:val="left"/>
      <w:pPr>
        <w:tabs>
          <w:tab w:val="left" w:pos="2323"/>
        </w:tabs>
        <w:ind w:left="2323" w:hanging="420"/>
      </w:pPr>
    </w:lvl>
    <w:lvl w:ilvl="4" w:tentative="0">
      <w:start w:val="1"/>
      <w:numFmt w:val="lowerLetter"/>
      <w:lvlText w:val="%5)"/>
      <w:lvlJc w:val="left"/>
      <w:pPr>
        <w:tabs>
          <w:tab w:val="left" w:pos="2743"/>
        </w:tabs>
        <w:ind w:left="2743" w:hanging="420"/>
      </w:pPr>
    </w:lvl>
    <w:lvl w:ilvl="5" w:tentative="0">
      <w:start w:val="1"/>
      <w:numFmt w:val="lowerRoman"/>
      <w:lvlText w:val="%6."/>
      <w:lvlJc w:val="right"/>
      <w:pPr>
        <w:tabs>
          <w:tab w:val="left" w:pos="3163"/>
        </w:tabs>
        <w:ind w:left="3163" w:hanging="420"/>
      </w:pPr>
    </w:lvl>
    <w:lvl w:ilvl="6" w:tentative="0">
      <w:start w:val="1"/>
      <w:numFmt w:val="decimal"/>
      <w:lvlText w:val="%7."/>
      <w:lvlJc w:val="left"/>
      <w:pPr>
        <w:tabs>
          <w:tab w:val="left" w:pos="3583"/>
        </w:tabs>
        <w:ind w:left="3583" w:hanging="420"/>
      </w:pPr>
    </w:lvl>
    <w:lvl w:ilvl="7" w:tentative="0">
      <w:start w:val="1"/>
      <w:numFmt w:val="lowerLetter"/>
      <w:lvlText w:val="%8)"/>
      <w:lvlJc w:val="left"/>
      <w:pPr>
        <w:tabs>
          <w:tab w:val="left" w:pos="4003"/>
        </w:tabs>
        <w:ind w:left="4003" w:hanging="420"/>
      </w:pPr>
    </w:lvl>
    <w:lvl w:ilvl="8" w:tentative="0">
      <w:start w:val="1"/>
      <w:numFmt w:val="lowerRoman"/>
      <w:lvlText w:val="%9."/>
      <w:lvlJc w:val="right"/>
      <w:pPr>
        <w:tabs>
          <w:tab w:val="left" w:pos="4423"/>
        </w:tabs>
        <w:ind w:left="4423" w:hanging="420"/>
      </w:pPr>
    </w:lvl>
  </w:abstractNum>
  <w:abstractNum w:abstractNumId="1">
    <w:nsid w:val="5F783726"/>
    <w:multiLevelType w:val="singleLevel"/>
    <w:tmpl w:val="5F783726"/>
    <w:lvl w:ilvl="0" w:tentative="0">
      <w:start w:val="2"/>
      <w:numFmt w:val="chineseCounting"/>
      <w:suff w:val="nothing"/>
      <w:lvlText w:val="（%1）"/>
      <w:lvlJc w:val="left"/>
    </w:lvl>
  </w:abstractNum>
  <w:abstractNum w:abstractNumId="2">
    <w:nsid w:val="5F8A5DE1"/>
    <w:multiLevelType w:val="singleLevel"/>
    <w:tmpl w:val="5F8A5DE1"/>
    <w:lvl w:ilvl="0" w:tentative="0">
      <w:start w:val="2"/>
      <w:numFmt w:val="chineseCounting"/>
      <w:suff w:val="nothing"/>
      <w:lvlText w:val="（%1）"/>
      <w:lvlJc w:val="left"/>
    </w:lvl>
  </w:abstractNum>
  <w:abstractNum w:abstractNumId="3">
    <w:nsid w:val="5F8A6784"/>
    <w:multiLevelType w:val="singleLevel"/>
    <w:tmpl w:val="5F8A6784"/>
    <w:lvl w:ilvl="0" w:tentative="0">
      <w:start w:val="1"/>
      <w:numFmt w:val="decimal"/>
      <w:suff w:val="nothing"/>
      <w:lvlText w:val="%1."/>
      <w:lvlJc w:val="left"/>
    </w:lvl>
  </w:abstractNum>
  <w:abstractNum w:abstractNumId="4">
    <w:nsid w:val="5F8A67FA"/>
    <w:multiLevelType w:val="singleLevel"/>
    <w:tmpl w:val="5F8A67FA"/>
    <w:lvl w:ilvl="0" w:tentative="0">
      <w:start w:val="2"/>
      <w:numFmt w:val="decimal"/>
      <w:suff w:val="nothing"/>
      <w:lvlText w:val="%1."/>
      <w:lvlJc w:val="left"/>
    </w:lvl>
  </w:abstractNum>
  <w:abstractNum w:abstractNumId="5">
    <w:nsid w:val="5F8A6B90"/>
    <w:multiLevelType w:val="singleLevel"/>
    <w:tmpl w:val="5F8A6B90"/>
    <w:lvl w:ilvl="0" w:tentative="0">
      <w:start w:val="2"/>
      <w:numFmt w:val="chineseCounting"/>
      <w:suff w:val="nothing"/>
      <w:lvlText w:val="（%1）"/>
      <w:lvlJc w:val="left"/>
    </w:lvl>
  </w:abstractNum>
  <w:abstractNum w:abstractNumId="6">
    <w:nsid w:val="5F8A76BE"/>
    <w:multiLevelType w:val="singleLevel"/>
    <w:tmpl w:val="5F8A76BE"/>
    <w:lvl w:ilvl="0" w:tentative="0">
      <w:start w:val="4"/>
      <w:numFmt w:val="chineseCounting"/>
      <w:suff w:val="nothing"/>
      <w:lvlText w:val="（%1）"/>
      <w:lvlJc w:val="left"/>
    </w:lvl>
  </w:abstractNum>
  <w:abstractNum w:abstractNumId="7">
    <w:nsid w:val="5F8A76EB"/>
    <w:multiLevelType w:val="singleLevel"/>
    <w:tmpl w:val="5F8A76EB"/>
    <w:lvl w:ilvl="0" w:tentative="0">
      <w:start w:val="4"/>
      <w:numFmt w:val="chineseCounting"/>
      <w:suff w:val="nothing"/>
      <w:lvlText w:val="%1、"/>
      <w:lvlJc w:val="left"/>
    </w:lvl>
  </w:abstractNum>
  <w:abstractNum w:abstractNumId="8">
    <w:nsid w:val="5F8A7751"/>
    <w:multiLevelType w:val="singleLevel"/>
    <w:tmpl w:val="5F8A7751"/>
    <w:lvl w:ilvl="0" w:tentative="0">
      <w:start w:val="5"/>
      <w:numFmt w:val="chineseCounting"/>
      <w:suff w:val="nothing"/>
      <w:lvlText w:val="%1、"/>
      <w:lvlJc w:val="left"/>
    </w:lvl>
  </w:abstractNum>
  <w:abstractNum w:abstractNumId="9">
    <w:nsid w:val="5F8A7E9F"/>
    <w:multiLevelType w:val="singleLevel"/>
    <w:tmpl w:val="5F8A7E9F"/>
    <w:lvl w:ilvl="0" w:tentative="0">
      <w:start w:val="2"/>
      <w:numFmt w:val="decimal"/>
      <w:suff w:val="nothing"/>
      <w:lvlText w:val="%1."/>
      <w:lvlJc w:val="left"/>
    </w:lvl>
  </w:abstractNum>
  <w:num w:numId="1">
    <w:abstractNumId w:val="0"/>
  </w:num>
  <w:num w:numId="2">
    <w:abstractNumId w:val="9"/>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578A6"/>
    <w:rsid w:val="0007470B"/>
    <w:rsid w:val="000D4882"/>
    <w:rsid w:val="00125DD0"/>
    <w:rsid w:val="00172A27"/>
    <w:rsid w:val="00181C73"/>
    <w:rsid w:val="001C4103"/>
    <w:rsid w:val="00247E3C"/>
    <w:rsid w:val="00274C5B"/>
    <w:rsid w:val="00386327"/>
    <w:rsid w:val="004B57D8"/>
    <w:rsid w:val="00513810"/>
    <w:rsid w:val="005237D2"/>
    <w:rsid w:val="005E15CD"/>
    <w:rsid w:val="006631F4"/>
    <w:rsid w:val="006E250A"/>
    <w:rsid w:val="00732BC3"/>
    <w:rsid w:val="007600C3"/>
    <w:rsid w:val="00780F11"/>
    <w:rsid w:val="007B19B3"/>
    <w:rsid w:val="007B2EDB"/>
    <w:rsid w:val="007E0F2D"/>
    <w:rsid w:val="008F3BD7"/>
    <w:rsid w:val="009579FD"/>
    <w:rsid w:val="00971862"/>
    <w:rsid w:val="009B64E4"/>
    <w:rsid w:val="00A04300"/>
    <w:rsid w:val="00A70B49"/>
    <w:rsid w:val="00AA5715"/>
    <w:rsid w:val="00B95F8B"/>
    <w:rsid w:val="00B9776A"/>
    <w:rsid w:val="00C416FF"/>
    <w:rsid w:val="00C51EC9"/>
    <w:rsid w:val="00CC5266"/>
    <w:rsid w:val="00D66993"/>
    <w:rsid w:val="00DF0462"/>
    <w:rsid w:val="00ED25C6"/>
    <w:rsid w:val="00EF2701"/>
    <w:rsid w:val="00F4739A"/>
    <w:rsid w:val="00F61049"/>
    <w:rsid w:val="00F61455"/>
    <w:rsid w:val="00F90369"/>
    <w:rsid w:val="00FC6523"/>
    <w:rsid w:val="091F2C68"/>
    <w:rsid w:val="781D4BFC"/>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4"/>
    <w:qFormat/>
    <w:uiPriority w:val="99"/>
    <w:pPr>
      <w:keepNext/>
      <w:keepLines/>
      <w:spacing w:before="340" w:after="330" w:line="578" w:lineRule="auto"/>
      <w:outlineLvl w:val="0"/>
    </w:pPr>
    <w:rPr>
      <w:b/>
      <w:bCs/>
      <w:kern w:val="44"/>
      <w:sz w:val="44"/>
      <w:szCs w:val="44"/>
    </w:rPr>
  </w:style>
  <w:style w:type="character" w:default="1" w:styleId="12">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w:basedOn w:val="1"/>
    <w:link w:val="17"/>
    <w:qFormat/>
    <w:uiPriority w:val="0"/>
    <w:pPr>
      <w:spacing w:beforeLines="30"/>
    </w:pPr>
    <w:rPr>
      <w:rFonts w:ascii="仿宋_GB2312" w:eastAsia="仿宋_GB2312"/>
      <w:kern w:val="0"/>
      <w:sz w:val="30"/>
      <w:szCs w:val="24"/>
    </w:rPr>
  </w:style>
  <w:style w:type="paragraph" w:styleId="4">
    <w:name w:val="toc 3"/>
    <w:basedOn w:val="1"/>
    <w:next w:val="1"/>
    <w:qFormat/>
    <w:uiPriority w:val="39"/>
    <w:pPr>
      <w:ind w:left="840" w:leftChars="400"/>
    </w:pPr>
  </w:style>
  <w:style w:type="paragraph" w:styleId="5">
    <w:name w:val="Plain Text"/>
    <w:basedOn w:val="1"/>
    <w:uiPriority w:val="0"/>
    <w:rPr>
      <w:rFonts w:ascii="宋体" w:hAnsi="Courier New"/>
    </w:rPr>
  </w:style>
  <w:style w:type="paragraph" w:styleId="6">
    <w:name w:val="Balloon Text"/>
    <w:basedOn w:val="1"/>
    <w:link w:val="19"/>
    <w:uiPriority w:val="0"/>
    <w:rPr>
      <w:sz w:val="18"/>
      <w:szCs w:val="18"/>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39"/>
    <w:pPr>
      <w:tabs>
        <w:tab w:val="right" w:leader="dot" w:pos="8296"/>
      </w:tabs>
      <w:spacing w:before="93"/>
      <w:jc w:val="center"/>
    </w:pPr>
    <w:rPr>
      <w:rFonts w:ascii="仿宋" w:hAnsi="仿宋" w:eastAsia="仿宋" w:cs="仿宋"/>
      <w:sz w:val="28"/>
      <w:szCs w:val="28"/>
    </w:rPr>
  </w:style>
  <w:style w:type="paragraph" w:styleId="10">
    <w:name w:val="toc 2"/>
    <w:basedOn w:val="1"/>
    <w:next w:val="1"/>
    <w:qFormat/>
    <w:uiPriority w:val="39"/>
    <w:pPr>
      <w:tabs>
        <w:tab w:val="left" w:pos="7560"/>
        <w:tab w:val="right" w:leader="dot" w:pos="8296"/>
      </w:tabs>
      <w:adjustRightInd w:val="0"/>
      <w:snapToGrid w:val="0"/>
      <w:spacing w:line="440" w:lineRule="exact"/>
      <w:ind w:left="420" w:leftChars="200"/>
      <w:jc w:val="left"/>
    </w:pPr>
  </w:style>
  <w:style w:type="character" w:styleId="13">
    <w:name w:val="Hyperlink"/>
    <w:basedOn w:val="12"/>
    <w:qFormat/>
    <w:uiPriority w:val="99"/>
    <w:rPr>
      <w:color w:val="0000FF"/>
      <w:u w:val="single"/>
    </w:rPr>
  </w:style>
  <w:style w:type="character" w:customStyle="1" w:styleId="14">
    <w:name w:val="标题 1 Char"/>
    <w:basedOn w:val="12"/>
    <w:link w:val="2"/>
    <w:qFormat/>
    <w:locked/>
    <w:uiPriority w:val="99"/>
    <w:rPr>
      <w:b/>
      <w:bCs/>
      <w:kern w:val="44"/>
      <w:sz w:val="44"/>
      <w:szCs w:val="44"/>
    </w:rPr>
  </w:style>
  <w:style w:type="paragraph" w:styleId="15">
    <w:name w:val="List Paragraph"/>
    <w:basedOn w:val="1"/>
    <w:qFormat/>
    <w:uiPriority w:val="99"/>
    <w:pPr>
      <w:ind w:firstLine="420" w:firstLineChars="200"/>
    </w:pPr>
  </w:style>
  <w:style w:type="paragraph" w:styleId="16">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17">
    <w:name w:val="正文文本 Char"/>
    <w:basedOn w:val="12"/>
    <w:link w:val="3"/>
    <w:qFormat/>
    <w:uiPriority w:val="0"/>
    <w:rPr>
      <w:rFonts w:ascii="仿宋_GB2312" w:hAnsi="Times New Roman" w:eastAsia="仿宋_GB2312"/>
      <w:sz w:val="30"/>
      <w:szCs w:val="24"/>
    </w:rPr>
  </w:style>
  <w:style w:type="paragraph" w:customStyle="1" w:styleId="18">
    <w:name w:val="TOC 标题1"/>
    <w:basedOn w:val="2"/>
    <w:next w:val="1"/>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19">
    <w:name w:val="批注框文本 Char"/>
    <w:basedOn w:val="12"/>
    <w:link w:val="6"/>
    <w:qFormat/>
    <w:uiPriority w:val="0"/>
    <w:rPr>
      <w:rFonts w:ascii="Times New Roman" w:hAnsi="Times New Roman"/>
      <w:kern w:val="2"/>
      <w:sz w:val="18"/>
      <w:szCs w:val="18"/>
    </w:rPr>
  </w:style>
  <w:style w:type="character" w:customStyle="1" w:styleId="20">
    <w:name w:val="fontstyle01"/>
    <w:basedOn w:val="12"/>
    <w:uiPriority w:val="0"/>
    <w:rPr>
      <w:rFonts w:hint="eastAsia" w:ascii="方正楷体_GBK" w:eastAsia="方正楷体_GBK"/>
      <w:color w:val="000000"/>
      <w:sz w:val="34"/>
      <w:szCs w:val="34"/>
    </w:rPr>
  </w:style>
  <w:style w:type="character" w:customStyle="1" w:styleId="21">
    <w:name w:val="fontstyle31"/>
    <w:basedOn w:val="12"/>
    <w:qFormat/>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382B51-CE59-4CE7-B351-F93CF5FBCC15}">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14</Pages>
  <Words>1030</Words>
  <Characters>5873</Characters>
  <Lines>48</Lines>
  <Paragraphs>13</Paragraphs>
  <TotalTime>147</TotalTime>
  <ScaleCrop>false</ScaleCrop>
  <LinksUpToDate>false</LinksUpToDate>
  <CharactersWithSpaces>6890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2020-10-20T02:57:00Z</dcterms:created>
  <dc:creator>Administrator</dc:creator>
  <cp:lastModifiedBy>雨点儿</cp:lastModifiedBy>
  <cp:lastPrinted>2020-09-15T08:24:00Z</cp:lastPrinted>
  <dcterms:modified xsi:type="dcterms:W3CDTF">2023-06-13T08:18:09Z</dcterms:modified>
  <dc:title>盐边县2019年度</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