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425"/>
      <w:bookmarkStart w:id="2" w:name="_Toc52180062"/>
      <w:bookmarkStart w:id="3" w:name="_Toc15378441"/>
      <w:bookmarkStart w:id="4" w:name="_Toc15396597"/>
      <w:bookmarkStart w:id="5" w:name="_Toc15377193"/>
      <w:bookmarkStart w:id="6" w:name="_Toc15396475"/>
      <w:r>
        <w:rPr>
          <w:rFonts w:ascii="黑体" w:hAnsi="黑体" w:eastAsia="黑体"/>
          <w:color w:val="000000"/>
          <w:sz w:val="72"/>
          <w:szCs w:val="72"/>
        </w:rPr>
        <w:t>20</w:t>
      </w:r>
      <w:r>
        <w:rPr>
          <w:rFonts w:hint="eastAsia" w:ascii="黑体" w:hAnsi="黑体" w:eastAsia="黑体"/>
          <w:color w:val="000000"/>
          <w:sz w:val="72"/>
          <w:szCs w:val="72"/>
        </w:rPr>
        <w:t>2</w:t>
      </w:r>
      <w:r>
        <w:rPr>
          <w:rFonts w:hint="eastAsia" w:ascii="黑体" w:hAnsi="黑体" w:eastAsia="黑体"/>
          <w:color w:val="000000"/>
          <w:sz w:val="72"/>
          <w:szCs w:val="72"/>
          <w:lang w:val="en-US" w:eastAsia="zh-CN"/>
        </w:rPr>
        <w:t>1</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476"/>
      <w:bookmarkStart w:id="8" w:name="_Toc15377426"/>
      <w:bookmarkStart w:id="9" w:name="_Toc15377194"/>
      <w:bookmarkStart w:id="10" w:name="_Toc15396598"/>
      <w:bookmarkStart w:id="11" w:name="_Toc52180063"/>
      <w:bookmarkStart w:id="12" w:name="_Toc15378442"/>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红果中心卫生院</w:t>
      </w:r>
    </w:p>
    <w:p>
      <w:pPr>
        <w:adjustRightInd w:val="0"/>
        <w:snapToGrid w:val="0"/>
        <w:spacing w:line="360" w:lineRule="auto"/>
        <w:jc w:val="center"/>
        <w:outlineLvl w:val="0"/>
        <w:rPr>
          <w:rFonts w:hint="eastAsia" w:ascii="方正小标宋简体" w:hAnsi="宋体" w:eastAsia="方正小标宋简体"/>
          <w:color w:val="000000"/>
          <w:sz w:val="72"/>
          <w:szCs w:val="72"/>
          <w:lang w:eastAsia="zh-CN"/>
        </w:rPr>
      </w:pPr>
      <w:r>
        <w:rPr>
          <w:rFonts w:hint="eastAsia" w:ascii="方正小标宋简体" w:hAnsi="宋体" w:eastAsia="方正小标宋简体"/>
          <w:color w:val="000000"/>
          <w:sz w:val="72"/>
          <w:szCs w:val="72"/>
          <w:lang w:eastAsia="zh-CN"/>
        </w:rPr>
        <w:t>单位</w:t>
      </w:r>
      <w:r>
        <w:rPr>
          <w:rFonts w:hint="eastAsia" w:ascii="方正小标宋简体" w:hAnsi="宋体" w:eastAsia="方正小标宋简体"/>
          <w:color w:val="000000"/>
          <w:sz w:val="72"/>
          <w:szCs w:val="72"/>
        </w:rPr>
        <w:t>决算</w:t>
      </w:r>
      <w:bookmarkEnd w:id="7"/>
      <w:bookmarkEnd w:id="8"/>
      <w:bookmarkEnd w:id="9"/>
      <w:bookmarkEnd w:id="10"/>
      <w:bookmarkEnd w:id="11"/>
      <w:bookmarkEnd w:id="12"/>
      <w:bookmarkEnd w:id="13"/>
      <w:r>
        <w:rPr>
          <w:rFonts w:hint="eastAsia" w:ascii="方正小标宋简体" w:hAnsi="宋体" w:eastAsia="方正小标宋简体"/>
          <w:color w:val="000000"/>
          <w:sz w:val="72"/>
          <w:szCs w:val="72"/>
          <w:lang w:eastAsia="zh-CN"/>
        </w:rPr>
        <w:t>公开编制说明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
      <w:pPr>
        <w:spacing w:before="0" w:beforeLines="0" w:after="0" w:afterLines="0" w:line="240" w:lineRule="auto"/>
        <w:ind w:left="0" w:leftChars="0" w:right="0" w:firstLine="0" w:firstLineChars="0"/>
        <w:jc w:val="center"/>
      </w:pPr>
    </w:p>
    <w:p>
      <w:pPr>
        <w:pStyle w:val="35"/>
        <w:tabs>
          <w:tab w:val="right" w:leader="dot" w:pos="8306"/>
        </w:tabs>
        <w:rPr>
          <w:rFonts w:hint="eastAsia" w:ascii="仿宋_GB2312" w:hAnsi="仿宋_GB2312" w:eastAsia="仿宋_GB2312" w:cs="仿宋_GB2312"/>
          <w:b/>
          <w:sz w:val="28"/>
          <w:szCs w:val="28"/>
        </w:rPr>
      </w:pPr>
      <w:r>
        <w:fldChar w:fldCharType="begin"/>
      </w:r>
      <w:r>
        <w:instrText xml:space="preserve">TOC \o "1-2" \h \u </w:instrText>
      </w:r>
      <w:r>
        <w:fldChar w:fldCharType="separate"/>
      </w:r>
    </w:p>
    <w:p>
      <w:pPr>
        <w:pStyle w:val="35"/>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_Toc220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第一部分 单位</w:t>
      </w:r>
      <w:r>
        <w:rPr>
          <w:rFonts w:hint="eastAsia" w:ascii="黑体" w:hAnsi="黑体" w:eastAsia="黑体" w:cs="黑体"/>
          <w:b/>
          <w:bCs w:val="0"/>
          <w:sz w:val="28"/>
          <w:szCs w:val="28"/>
        </w:rPr>
        <w:t>概况</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_Toc220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4</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_Toc20849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一、职能简介</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_Toc20849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_Toc580 </w:instrText>
      </w:r>
      <w:r>
        <w:rPr>
          <w:rFonts w:hint="eastAsia" w:ascii="黑体" w:hAnsi="黑体" w:eastAsia="黑体" w:cs="黑体"/>
          <w:sz w:val="28"/>
          <w:szCs w:val="28"/>
        </w:rPr>
        <w:fldChar w:fldCharType="separate"/>
      </w:r>
      <w:r>
        <w:rPr>
          <w:rFonts w:hint="eastAsia" w:ascii="黑体" w:hAnsi="黑体" w:eastAsia="黑体" w:cs="黑体"/>
          <w:sz w:val="28"/>
          <w:szCs w:val="28"/>
        </w:rPr>
        <w:t>二、2021年重点工作完成情况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_Toc580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6"/>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lang w:eastAsia="zh-CN"/>
        </w:rPr>
        <w:t>三、机构设置</w:t>
      </w:r>
      <w:r>
        <w:rPr>
          <w:rFonts w:hint="eastAsia" w:ascii="黑体" w:hAnsi="黑体" w:eastAsia="黑体" w:cs="黑体"/>
          <w:sz w:val="28"/>
          <w:szCs w:val="28"/>
          <w:lang w:val="en-US" w:eastAsia="zh-CN"/>
        </w:rPr>
        <w:t>............................................8</w:t>
      </w:r>
    </w:p>
    <w:p>
      <w:pPr>
        <w:pStyle w:val="35"/>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_Toc9153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第二部分 2021年度</w:t>
      </w:r>
      <w:r>
        <w:rPr>
          <w:rFonts w:hint="eastAsia" w:ascii="黑体" w:hAnsi="黑体" w:eastAsia="黑体" w:cs="黑体"/>
          <w:b/>
          <w:bCs/>
          <w:sz w:val="28"/>
          <w:szCs w:val="28"/>
        </w:rPr>
        <w:t>单位决算情况说明</w:t>
      </w:r>
      <w:r>
        <w:rPr>
          <w:rFonts w:hint="eastAsia" w:ascii="黑体" w:hAnsi="黑体" w:eastAsia="黑体" w:cs="黑体"/>
          <w:b/>
          <w:sz w:val="28"/>
          <w:szCs w:val="28"/>
        </w:rPr>
        <w:tab/>
      </w:r>
      <w:r>
        <w:rPr>
          <w:rFonts w:hint="eastAsia" w:ascii="黑体" w:hAnsi="黑体" w:eastAsia="黑体" w:cs="黑体"/>
          <w:b/>
          <w:sz w:val="28"/>
          <w:szCs w:val="28"/>
          <w:lang w:val="en-US" w:eastAsia="zh-CN"/>
        </w:rPr>
        <w:t>8</w:t>
      </w:r>
      <w:r>
        <w:rPr>
          <w:rFonts w:hint="eastAsia" w:ascii="黑体" w:hAnsi="黑体" w:eastAsia="黑体" w:cs="黑体"/>
          <w:b/>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_Toc4183 </w:instrText>
      </w:r>
      <w:r>
        <w:rPr>
          <w:rFonts w:hint="eastAsia" w:ascii="黑体" w:hAnsi="黑体" w:eastAsia="黑体" w:cs="黑体"/>
          <w:sz w:val="28"/>
          <w:szCs w:val="28"/>
        </w:rPr>
        <w:fldChar w:fldCharType="separate"/>
      </w:r>
      <w:r>
        <w:rPr>
          <w:rFonts w:hint="eastAsia" w:ascii="黑体" w:hAnsi="黑体" w:eastAsia="黑体" w:cs="黑体"/>
          <w:sz w:val="28"/>
          <w:szCs w:val="28"/>
        </w:rPr>
        <w:t>一、 收入支出决算总体情况说明</w:t>
      </w:r>
      <w:r>
        <w:rPr>
          <w:rFonts w:hint="eastAsia" w:ascii="黑体" w:hAnsi="黑体" w:eastAsia="黑体" w:cs="黑体"/>
          <w:sz w:val="28"/>
          <w:szCs w:val="28"/>
        </w:rPr>
        <w:tab/>
      </w:r>
      <w:r>
        <w:rPr>
          <w:rFonts w:hint="eastAsia" w:ascii="黑体" w:hAnsi="黑体" w:eastAsia="黑体" w:cs="黑体"/>
          <w:sz w:val="28"/>
          <w:szCs w:val="28"/>
          <w:lang w:val="en-US" w:eastAsia="zh-CN"/>
        </w:rPr>
        <w:t>8</w:t>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_Toc20640 </w:instrText>
      </w:r>
      <w:r>
        <w:rPr>
          <w:rFonts w:hint="eastAsia" w:ascii="黑体" w:hAnsi="黑体" w:eastAsia="黑体" w:cs="黑体"/>
          <w:sz w:val="28"/>
          <w:szCs w:val="28"/>
        </w:rPr>
        <w:fldChar w:fldCharType="separate"/>
      </w:r>
      <w:r>
        <w:rPr>
          <w:rFonts w:hint="eastAsia" w:ascii="黑体" w:hAnsi="黑体" w:eastAsia="黑体" w:cs="黑体"/>
          <w:sz w:val="28"/>
          <w:szCs w:val="28"/>
        </w:rPr>
        <w:t>二、 收入决算情况说明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_Toc26654 </w:instrText>
      </w:r>
      <w:r>
        <w:rPr>
          <w:rFonts w:hint="eastAsia" w:ascii="黑体" w:hAnsi="黑体" w:eastAsia="黑体" w:cs="黑体"/>
          <w:sz w:val="28"/>
          <w:szCs w:val="28"/>
        </w:rPr>
        <w:fldChar w:fldCharType="separate"/>
      </w:r>
      <w:r>
        <w:rPr>
          <w:rFonts w:hint="eastAsia" w:ascii="黑体" w:hAnsi="黑体" w:eastAsia="黑体" w:cs="黑体"/>
          <w:sz w:val="28"/>
          <w:szCs w:val="28"/>
        </w:rPr>
        <w:t>三、 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_Toc17627 </w:instrText>
      </w:r>
      <w:r>
        <w:rPr>
          <w:rFonts w:hint="eastAsia" w:ascii="黑体" w:hAnsi="黑体" w:eastAsia="黑体" w:cs="黑体"/>
          <w:sz w:val="28"/>
          <w:szCs w:val="28"/>
        </w:rPr>
        <w:fldChar w:fldCharType="separate"/>
      </w:r>
      <w:r>
        <w:rPr>
          <w:rFonts w:hint="eastAsia" w:ascii="黑体" w:hAnsi="黑体" w:eastAsia="黑体" w:cs="黑体"/>
          <w:sz w:val="28"/>
          <w:szCs w:val="28"/>
        </w:rPr>
        <w:t>四、财政拨款收入支出决算总体情况说明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0</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_Toc28910 </w:instrText>
      </w:r>
      <w:r>
        <w:rPr>
          <w:rFonts w:hint="eastAsia" w:ascii="黑体" w:hAnsi="黑体" w:eastAsia="黑体" w:cs="黑体"/>
          <w:sz w:val="28"/>
          <w:szCs w:val="28"/>
        </w:rPr>
        <w:fldChar w:fldCharType="separate"/>
      </w:r>
      <w:r>
        <w:rPr>
          <w:rFonts w:hint="eastAsia" w:ascii="黑体" w:hAnsi="黑体" w:eastAsia="黑体" w:cs="黑体"/>
          <w:sz w:val="28"/>
          <w:szCs w:val="28"/>
        </w:rPr>
        <w:t>五、一般公共预算财政拨款支出决算情况说明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1</w:t>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_Toc30132 </w:instrText>
      </w:r>
      <w:r>
        <w:rPr>
          <w:rFonts w:hint="eastAsia" w:ascii="黑体" w:hAnsi="黑体" w:eastAsia="黑体" w:cs="黑体"/>
          <w:sz w:val="28"/>
          <w:szCs w:val="28"/>
        </w:rPr>
        <w:fldChar w:fldCharType="separate"/>
      </w:r>
      <w:r>
        <w:rPr>
          <w:rFonts w:hint="eastAsia" w:ascii="黑体" w:hAnsi="黑体" w:eastAsia="黑体" w:cs="黑体"/>
          <w:sz w:val="28"/>
          <w:szCs w:val="28"/>
        </w:rPr>
        <w:t>六、一般公共预算财政拨款基本支出决算情况说明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_Toc30132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_Toc22225 </w:instrText>
      </w:r>
      <w:r>
        <w:rPr>
          <w:rFonts w:hint="eastAsia" w:ascii="黑体" w:hAnsi="黑体" w:eastAsia="黑体" w:cs="黑体"/>
          <w:sz w:val="28"/>
          <w:szCs w:val="28"/>
        </w:rPr>
        <w:fldChar w:fldCharType="separate"/>
      </w:r>
      <w:r>
        <w:rPr>
          <w:rFonts w:hint="eastAsia" w:ascii="黑体" w:hAnsi="黑体" w:eastAsia="黑体" w:cs="黑体"/>
          <w:sz w:val="28"/>
          <w:szCs w:val="28"/>
        </w:rPr>
        <w:t>七、“三公”经费财政拨款支出决算情况说明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4</w:t>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_Toc1497 </w:instrText>
      </w:r>
      <w:r>
        <w:rPr>
          <w:rFonts w:hint="eastAsia" w:ascii="黑体" w:hAnsi="黑体" w:eastAsia="黑体" w:cs="黑体"/>
          <w:sz w:val="28"/>
          <w:szCs w:val="28"/>
        </w:rPr>
        <w:fldChar w:fldCharType="separate"/>
      </w:r>
      <w:r>
        <w:rPr>
          <w:rFonts w:hint="eastAsia" w:ascii="黑体" w:hAnsi="黑体" w:eastAsia="黑体" w:cs="黑体"/>
          <w:sz w:val="28"/>
          <w:szCs w:val="28"/>
        </w:rPr>
        <w:t>八、政府性基金预算支出决算情况说明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_Toc1497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_Toc24471 </w:instrText>
      </w:r>
      <w:r>
        <w:rPr>
          <w:rFonts w:hint="eastAsia" w:ascii="黑体" w:hAnsi="黑体" w:eastAsia="黑体" w:cs="黑体"/>
          <w:sz w:val="28"/>
          <w:szCs w:val="28"/>
        </w:rPr>
        <w:fldChar w:fldCharType="separate"/>
      </w:r>
      <w:r>
        <w:rPr>
          <w:rFonts w:hint="eastAsia" w:ascii="黑体" w:hAnsi="黑体" w:eastAsia="黑体" w:cs="黑体"/>
          <w:sz w:val="28"/>
          <w:szCs w:val="28"/>
        </w:rPr>
        <w:t>九、 国有资本经营预算支出决算情况说明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_Toc24471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6"/>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_Toc17425 </w:instrText>
      </w:r>
      <w:r>
        <w:rPr>
          <w:rFonts w:hint="eastAsia" w:ascii="黑体" w:hAnsi="黑体" w:eastAsia="黑体" w:cs="黑体"/>
          <w:sz w:val="28"/>
          <w:szCs w:val="28"/>
        </w:rPr>
        <w:fldChar w:fldCharType="separate"/>
      </w:r>
      <w:r>
        <w:rPr>
          <w:rFonts w:hint="eastAsia" w:ascii="黑体" w:hAnsi="黑体" w:eastAsia="黑体" w:cs="黑体"/>
          <w:sz w:val="28"/>
          <w:szCs w:val="28"/>
        </w:rPr>
        <w:t>十、 其他重要事项的情况说明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_Toc17425 \h </w:instrText>
      </w:r>
      <w:r>
        <w:rPr>
          <w:rFonts w:hint="eastAsia" w:ascii="黑体" w:hAnsi="黑体" w:eastAsia="黑体" w:cs="黑体"/>
          <w:sz w:val="28"/>
          <w:szCs w:val="28"/>
        </w:rPr>
        <w:fldChar w:fldCharType="separate"/>
      </w:r>
      <w:r>
        <w:rPr>
          <w:rFonts w:hint="eastAsia" w:ascii="黑体" w:hAnsi="黑体" w:eastAsia="黑体" w:cs="黑体"/>
          <w:sz w:val="28"/>
          <w:szCs w:val="28"/>
        </w:rPr>
        <w:t>15</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5"/>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_Toc3830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第三部分 名词解释</w:t>
      </w:r>
      <w:r>
        <w:rPr>
          <w:rFonts w:hint="eastAsia" w:ascii="黑体" w:hAnsi="黑体" w:eastAsia="黑体" w:cs="黑体"/>
          <w:b/>
          <w:sz w:val="28"/>
          <w:szCs w:val="28"/>
        </w:rPr>
        <w:tab/>
      </w:r>
      <w:r>
        <w:rPr>
          <w:rFonts w:hint="eastAsia" w:ascii="黑体" w:hAnsi="黑体" w:eastAsia="黑体" w:cs="黑体"/>
          <w:b/>
          <w:sz w:val="28"/>
          <w:szCs w:val="28"/>
          <w:lang w:val="en-US" w:eastAsia="zh-CN"/>
        </w:rPr>
        <w:t>1</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7</w:t>
      </w:r>
    </w:p>
    <w:p>
      <w:pPr>
        <w:pStyle w:val="35"/>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_Toc7424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第四部分 附件</w:t>
      </w:r>
      <w:r>
        <w:rPr>
          <w:rFonts w:hint="eastAsia" w:ascii="黑体" w:hAnsi="黑体" w:eastAsia="黑体" w:cs="黑体"/>
          <w:b/>
          <w:sz w:val="28"/>
          <w:szCs w:val="28"/>
        </w:rPr>
        <w:tab/>
      </w:r>
      <w:r>
        <w:rPr>
          <w:rFonts w:hint="eastAsia" w:ascii="黑体" w:hAnsi="黑体" w:eastAsia="黑体" w:cs="黑体"/>
          <w:b/>
          <w:sz w:val="28"/>
          <w:szCs w:val="28"/>
          <w:lang w:val="en-US" w:eastAsia="zh-CN"/>
        </w:rPr>
        <w:t>2</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0</w:t>
      </w:r>
    </w:p>
    <w:p>
      <w:pPr>
        <w:pStyle w:val="35"/>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_Toc26269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第五部分 附表</w:t>
      </w:r>
      <w:r>
        <w:rPr>
          <w:rFonts w:hint="eastAsia" w:ascii="黑体" w:hAnsi="黑体" w:eastAsia="黑体" w:cs="黑体"/>
          <w:b/>
          <w:sz w:val="28"/>
          <w:szCs w:val="28"/>
        </w:rPr>
        <w:tab/>
      </w:r>
      <w:r>
        <w:rPr>
          <w:rFonts w:hint="eastAsia" w:ascii="黑体" w:hAnsi="黑体" w:eastAsia="黑体" w:cs="黑体"/>
          <w:b/>
          <w:sz w:val="28"/>
          <w:szCs w:val="28"/>
          <w:lang w:val="en-US" w:eastAsia="zh-CN"/>
        </w:rPr>
        <w:t>2</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5</w:t>
      </w:r>
    </w:p>
    <w:p>
      <w:pPr>
        <w:pStyle w:val="36"/>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_Toc25972 </w:instrText>
      </w:r>
      <w:r>
        <w:rPr>
          <w:rFonts w:hint="eastAsia" w:ascii="黑体" w:hAnsi="黑体" w:eastAsia="黑体" w:cs="黑体"/>
          <w:sz w:val="28"/>
          <w:szCs w:val="28"/>
        </w:rPr>
        <w:fldChar w:fldCharType="separate"/>
      </w:r>
      <w:r>
        <w:rPr>
          <w:rFonts w:hint="eastAsia" w:ascii="黑体" w:hAnsi="黑体" w:eastAsia="黑体" w:cs="黑体"/>
          <w:sz w:val="28"/>
          <w:szCs w:val="28"/>
        </w:rPr>
        <w:t>一、收</w:t>
      </w:r>
      <w:r>
        <w:rPr>
          <w:rFonts w:hint="eastAsia" w:ascii="黑体" w:hAnsi="黑体" w:eastAsia="黑体" w:cs="黑体"/>
          <w:bCs w:val="0"/>
          <w:sz w:val="28"/>
          <w:szCs w:val="28"/>
        </w:rPr>
        <w:t>入支出决算总表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lang w:eastAsia="zh-CN"/>
        </w:rPr>
        <w:t>二、收入决算表</w:t>
      </w:r>
      <w:r>
        <w:rPr>
          <w:rFonts w:hint="eastAsia" w:ascii="黑体" w:hAnsi="黑体" w:eastAsia="黑体" w:cs="黑体"/>
          <w:sz w:val="28"/>
          <w:szCs w:val="28"/>
          <w:lang w:val="en-US" w:eastAsia="zh-CN"/>
        </w:rPr>
        <w:t>........................................25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_Toc20798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三、</w:t>
      </w:r>
      <w:r>
        <w:rPr>
          <w:rFonts w:hint="eastAsia" w:ascii="黑体" w:hAnsi="黑体" w:eastAsia="黑体" w:cs="黑体"/>
          <w:sz w:val="28"/>
          <w:szCs w:val="28"/>
        </w:rPr>
        <w:t>支</w:t>
      </w:r>
      <w:r>
        <w:rPr>
          <w:rFonts w:hint="eastAsia" w:ascii="黑体" w:hAnsi="黑体" w:eastAsia="黑体" w:cs="黑体"/>
          <w:bCs w:val="0"/>
          <w:sz w:val="28"/>
          <w:szCs w:val="28"/>
        </w:rPr>
        <w:t>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_Toc27120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四、</w:t>
      </w:r>
      <w:r>
        <w:rPr>
          <w:rFonts w:hint="eastAsia" w:ascii="黑体" w:hAnsi="黑体" w:eastAsia="黑体" w:cs="黑体"/>
          <w:sz w:val="28"/>
          <w:szCs w:val="28"/>
        </w:rPr>
        <w:t>财</w:t>
      </w:r>
      <w:r>
        <w:rPr>
          <w:rFonts w:hint="eastAsia" w:ascii="黑体" w:hAnsi="黑体" w:eastAsia="黑体" w:cs="黑体"/>
          <w:bCs w:val="0"/>
          <w:sz w:val="28"/>
          <w:szCs w:val="28"/>
        </w:rPr>
        <w:t>政拨款收入支出决算总表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_Toc27988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五、</w:t>
      </w:r>
      <w:r>
        <w:rPr>
          <w:rFonts w:hint="eastAsia" w:ascii="黑体" w:hAnsi="黑体" w:eastAsia="黑体" w:cs="黑体"/>
          <w:sz w:val="28"/>
          <w:szCs w:val="28"/>
        </w:rPr>
        <w:t>财</w:t>
      </w:r>
      <w:r>
        <w:rPr>
          <w:rFonts w:hint="eastAsia" w:ascii="黑体" w:hAnsi="黑体" w:eastAsia="黑体" w:cs="黑体"/>
          <w:bCs w:val="0"/>
          <w:sz w:val="28"/>
          <w:szCs w:val="28"/>
        </w:rPr>
        <w:t>政拨款支出决算明细表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_Toc20587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六、</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_Toc7758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七、</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般公共预算财政拨款支出决算明细表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_Toc21088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八、</w:t>
      </w:r>
      <w:r>
        <w:rPr>
          <w:rFonts w:hint="eastAsia" w:ascii="黑体" w:hAnsi="黑体" w:eastAsia="黑体" w:cs="黑体"/>
          <w:sz w:val="28"/>
          <w:szCs w:val="28"/>
        </w:rPr>
        <w:t>一</w:t>
      </w:r>
      <w:r>
        <w:rPr>
          <w:rFonts w:hint="eastAsia" w:ascii="黑体" w:hAnsi="黑体" w:eastAsia="黑体" w:cs="黑体"/>
          <w:bCs w:val="0"/>
          <w:sz w:val="28"/>
          <w:szCs w:val="28"/>
        </w:rPr>
        <w:t>般公共预算财政拨款基本支出决算表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_Toc4970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九、</w:t>
      </w:r>
      <w:r>
        <w:rPr>
          <w:rFonts w:hint="eastAsia" w:ascii="黑体" w:hAnsi="黑体" w:eastAsia="黑体" w:cs="黑体"/>
          <w:sz w:val="28"/>
          <w:szCs w:val="28"/>
        </w:rPr>
        <w:t>一</w:t>
      </w:r>
      <w:r>
        <w:rPr>
          <w:rFonts w:hint="eastAsia" w:ascii="黑体" w:hAnsi="黑体" w:eastAsia="黑体" w:cs="黑体"/>
          <w:bCs w:val="0"/>
          <w:sz w:val="28"/>
          <w:szCs w:val="28"/>
        </w:rPr>
        <w:t>般公共预算财政拨款项目支出决算表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_Toc21820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w:t>
      </w:r>
      <w:r>
        <w:rPr>
          <w:rFonts w:hint="eastAsia" w:ascii="黑体" w:hAnsi="黑体" w:eastAsia="黑体" w:cs="黑体"/>
          <w:sz w:val="28"/>
          <w:szCs w:val="28"/>
        </w:rPr>
        <w:t>一</w:t>
      </w:r>
      <w:r>
        <w:rPr>
          <w:rFonts w:hint="eastAsia" w:ascii="黑体" w:hAnsi="黑体" w:eastAsia="黑体" w:cs="黑体"/>
          <w:bCs w:val="0"/>
          <w:sz w:val="28"/>
          <w:szCs w:val="28"/>
        </w:rPr>
        <w:t>般公共预算财政拨款“三公”经费支出决算表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_Toc27362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十一、</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府性基金预算财政拨款收入支出决算表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_Toc6863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十二、</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府性基金预算财政拨款“三公”经费支出决算表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_Toc29145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十三、</w:t>
      </w:r>
      <w:r>
        <w:rPr>
          <w:rFonts w:hint="eastAsia" w:ascii="黑体" w:hAnsi="黑体" w:eastAsia="黑体" w:cs="黑体"/>
          <w:sz w:val="28"/>
          <w:szCs w:val="28"/>
        </w:rPr>
        <w:t>国</w:t>
      </w:r>
      <w:r>
        <w:rPr>
          <w:rFonts w:hint="eastAsia" w:ascii="黑体" w:hAnsi="黑体" w:eastAsia="黑体" w:cs="黑体"/>
          <w:bCs w:val="0"/>
          <w:sz w:val="28"/>
          <w:szCs w:val="28"/>
        </w:rPr>
        <w:t>有资本经营预算财政拨款收入支出决算表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36"/>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_Toc19449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十四、国有资本经营预算财政拨款支出决算表</w:t>
      </w:r>
      <w:r>
        <w:rPr>
          <w:rFonts w:hint="eastAsia" w:ascii="黑体" w:hAnsi="黑体" w:eastAsia="黑体" w:cs="黑体"/>
          <w:sz w:val="28"/>
          <w:szCs w:val="28"/>
        </w:rPr>
        <w:tab/>
      </w:r>
      <w:r>
        <w:rPr>
          <w:rFonts w:hint="eastAsia" w:ascii="黑体" w:hAnsi="黑体" w:eastAsia="黑体" w:cs="黑体"/>
          <w:sz w:val="28"/>
          <w:szCs w:val="28"/>
          <w:lang w:val="en-US" w:eastAsia="zh-CN"/>
        </w:rPr>
        <w:t>2</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5</w:t>
      </w:r>
    </w:p>
    <w:p>
      <w:pPr>
        <w:pStyle w:val="11"/>
        <w:jc w:val="both"/>
      </w:pPr>
      <w:r>
        <w:rPr>
          <w:b/>
        </w:rPr>
        <w:fldChar w:fldCharType="end"/>
      </w:r>
    </w:p>
    <w:p>
      <w:sdt>
        <w:sdtPr>
          <w:rPr>
            <w:rFonts w:ascii="Times New Roman" w:hAnsi="Times New Roman" w:eastAsia="宋体" w:cs="Times New Roman"/>
            <w:b w:val="0"/>
            <w:bCs w:val="0"/>
            <w:color w:val="auto"/>
            <w:kern w:val="2"/>
            <w:sz w:val="21"/>
            <w:szCs w:val="24"/>
            <w:lang w:val="zh-CN"/>
          </w:rPr>
          <w:id w:val="864955229"/>
          <w:showingPlcHdr/>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sdt>
    </w:p>
    <w:p>
      <w:pPr>
        <w:widowControl/>
        <w:adjustRightInd w:val="0"/>
        <w:snapToGrid w:val="0"/>
        <w:spacing w:line="440" w:lineRule="exact"/>
        <w:ind w:firstLine="1320" w:firstLineChars="550"/>
        <w:jc w:val="left"/>
        <w:rPr>
          <w:rFonts w:ascii="仿宋" w:hAnsi="仿宋" w:eastAsia="仿宋"/>
          <w:color w:val="FF0000"/>
          <w:sz w:val="24"/>
        </w:rPr>
      </w:pPr>
    </w:p>
    <w:p>
      <w:pPr>
        <w:widowControl/>
        <w:spacing w:line="440" w:lineRule="exact"/>
        <w:jc w:val="left"/>
        <w:rPr>
          <w:rFonts w:ascii="仿宋" w:hAnsi="仿宋" w:eastAsia="仿宋"/>
          <w:bCs/>
          <w:kern w:val="44"/>
          <w:sz w:val="24"/>
        </w:rPr>
      </w:pPr>
      <w:bookmarkStart w:id="14" w:name="_Toc15396599"/>
      <w:bookmarkStart w:id="15" w:name="_Toc15377196"/>
      <w:r>
        <w:rPr>
          <w:rFonts w:ascii="仿宋" w:hAnsi="仿宋" w:eastAsia="仿宋"/>
          <w:b/>
          <w:sz w:val="24"/>
        </w:rPr>
        <w:br w:type="page"/>
      </w:r>
    </w:p>
    <w:p>
      <w:pPr>
        <w:pStyle w:val="3"/>
        <w:jc w:val="center"/>
        <w:rPr>
          <w:rStyle w:val="25"/>
          <w:rFonts w:ascii="黑体" w:hAnsi="黑体" w:eastAsia="黑体"/>
          <w:b/>
          <w:bCs w:val="0"/>
        </w:rPr>
      </w:pPr>
      <w:bookmarkStart w:id="16" w:name="_Toc52180065"/>
      <w:r>
        <w:rPr>
          <w:rFonts w:hint="eastAsia" w:ascii="黑体" w:hAnsi="黑体" w:eastAsia="黑体"/>
          <w:b w:val="0"/>
        </w:rPr>
        <w:t xml:space="preserve">第一部分 </w:t>
      </w:r>
      <w:r>
        <w:rPr>
          <w:rFonts w:hint="eastAsia" w:ascii="黑体" w:hAnsi="黑体" w:eastAsia="黑体"/>
          <w:b w:val="0"/>
          <w:lang w:eastAsia="zh-CN"/>
        </w:rPr>
        <w:t>单位</w:t>
      </w:r>
      <w:r>
        <w:rPr>
          <w:rStyle w:val="25"/>
          <w:rFonts w:hint="eastAsia" w:ascii="黑体" w:hAnsi="黑体" w:eastAsia="黑体"/>
          <w:b w:val="0"/>
          <w:bCs w:val="0"/>
        </w:rPr>
        <w:t>概况</w:t>
      </w:r>
      <w:bookmarkEnd w:id="14"/>
      <w:bookmarkEnd w:id="15"/>
      <w:bookmarkEnd w:id="16"/>
    </w:p>
    <w:p>
      <w:pPr>
        <w:widowControl/>
        <w:jc w:val="left"/>
        <w:rPr>
          <w:rFonts w:ascii="黑体" w:eastAsia="黑体"/>
          <w:color w:val="000000"/>
          <w:sz w:val="32"/>
          <w:szCs w:val="32"/>
        </w:rPr>
      </w:pPr>
    </w:p>
    <w:p>
      <w:pPr>
        <w:pStyle w:val="4"/>
        <w:rPr>
          <w:rStyle w:val="26"/>
          <w:rFonts w:ascii="仿宋" w:hAnsi="仿宋" w:eastAsia="仿宋"/>
          <w:b w:val="0"/>
          <w:bCs w:val="0"/>
        </w:rPr>
      </w:pPr>
      <w:bookmarkStart w:id="17" w:name="_Toc15377197"/>
      <w:bookmarkStart w:id="18" w:name="_Toc15396600"/>
      <w:bookmarkStart w:id="19" w:name="_Toc52180066"/>
      <w:r>
        <w:rPr>
          <w:rFonts w:hint="eastAsia" w:ascii="黑体" w:hAnsi="黑体" w:eastAsia="黑体"/>
          <w:b w:val="0"/>
          <w:color w:val="000000"/>
        </w:rPr>
        <w:t>一、</w:t>
      </w:r>
      <w:r>
        <w:rPr>
          <w:rStyle w:val="26"/>
          <w:rFonts w:hint="eastAsia" w:ascii="黑体" w:hAnsi="黑体" w:eastAsia="黑体"/>
          <w:b w:val="0"/>
          <w:bCs w:val="0"/>
        </w:rPr>
        <w:t>职能</w:t>
      </w:r>
      <w:r>
        <w:rPr>
          <w:rStyle w:val="26"/>
          <w:rFonts w:hint="eastAsia" w:ascii="黑体" w:hAnsi="黑体" w:eastAsia="黑体"/>
          <w:b w:val="0"/>
          <w:bCs w:val="0"/>
          <w:lang w:eastAsia="zh-CN"/>
        </w:rPr>
        <w:t>简介</w:t>
      </w:r>
      <w:bookmarkEnd w:id="17"/>
      <w:bookmarkEnd w:id="18"/>
      <w:bookmarkEnd w:id="19"/>
    </w:p>
    <w:p>
      <w:pPr>
        <w:ind w:firstLine="640" w:firstLineChars="200"/>
        <w:rPr>
          <w:rFonts w:hint="eastAsia" w:ascii="仿宋" w:hAnsi="仿宋" w:eastAsia="仿宋"/>
          <w:sz w:val="32"/>
          <w:szCs w:val="32"/>
          <w:lang w:val="zh-CN"/>
        </w:rPr>
      </w:pPr>
      <w:bookmarkStart w:id="20" w:name="_Toc52180067"/>
      <w:bookmarkStart w:id="21" w:name="_Toc15377198"/>
      <w:bookmarkStart w:id="22" w:name="_Toc15378445"/>
      <w:r>
        <w:rPr>
          <w:rFonts w:hint="eastAsia" w:ascii="仿宋" w:hAnsi="仿宋" w:eastAsia="仿宋"/>
          <w:sz w:val="32"/>
          <w:szCs w:val="32"/>
          <w:lang w:eastAsia="zh-CN"/>
        </w:rPr>
        <w:t>红果中心卫生院是一所设卫生行政兼医疗预防工作的机构，我院以基本公共卫生服务为主，提供预防、保健和基本医疗服务等；主要负责红果乡片区的农村疾病预防控制，做好儿童计划免疫工作，做好孕产妇及儿童保健工作，做好老年人健康体检及糖尿病筛查，做好本地区的健康档案管理工作等。</w:t>
      </w:r>
      <w:r>
        <w:rPr>
          <w:rFonts w:hint="eastAsia" w:ascii="仿宋" w:hAnsi="仿宋" w:eastAsia="仿宋" w:cs="仿宋"/>
          <w:b w:val="0"/>
          <w:bCs w:val="0"/>
          <w:color w:val="auto"/>
          <w:sz w:val="32"/>
          <w:szCs w:val="32"/>
        </w:rPr>
        <w:t>余下村卫生室</w:t>
      </w:r>
      <w:r>
        <w:rPr>
          <w:rFonts w:hint="eastAsia" w:ascii="仿宋" w:hAnsi="仿宋" w:eastAsia="仿宋" w:cs="仿宋"/>
          <w:b w:val="0"/>
          <w:bCs w:val="0"/>
          <w:color w:val="auto"/>
          <w:sz w:val="32"/>
          <w:szCs w:val="32"/>
          <w:lang w:val="en-US" w:eastAsia="zh-CN"/>
        </w:rPr>
        <w:t>11</w:t>
      </w:r>
      <w:r>
        <w:rPr>
          <w:rFonts w:hint="eastAsia" w:ascii="仿宋" w:hAnsi="仿宋" w:eastAsia="仿宋" w:cs="仿宋"/>
          <w:b w:val="0"/>
          <w:bCs w:val="0"/>
          <w:color w:val="auto"/>
          <w:sz w:val="32"/>
          <w:szCs w:val="32"/>
        </w:rPr>
        <w:t>家，</w:t>
      </w:r>
      <w:r>
        <w:rPr>
          <w:rFonts w:hint="eastAsia" w:eastAsia="仿宋_GB2312"/>
          <w:color w:val="000000"/>
          <w:sz w:val="32"/>
          <w:szCs w:val="32"/>
        </w:rPr>
        <w:t>并对村卫生室进行业务指导和会诊工作</w:t>
      </w:r>
      <w:r>
        <w:rPr>
          <w:rFonts w:hint="eastAsia" w:eastAsia="仿宋_GB2312"/>
          <w:color w:val="000000"/>
          <w:sz w:val="32"/>
          <w:szCs w:val="32"/>
          <w:lang w:eastAsia="zh-CN"/>
        </w:rPr>
        <w:t>，各村卫生室</w:t>
      </w:r>
      <w:r>
        <w:rPr>
          <w:rFonts w:hint="eastAsia" w:ascii="仿宋" w:hAnsi="仿宋" w:eastAsia="仿宋"/>
          <w:sz w:val="32"/>
          <w:szCs w:val="32"/>
          <w:lang w:val="zh-CN"/>
        </w:rPr>
        <w:t>配合卫生院院完成辖区的基本公共卫生服务。</w:t>
      </w:r>
      <w:bookmarkEnd w:id="20"/>
      <w:bookmarkEnd w:id="21"/>
      <w:bookmarkEnd w:id="22"/>
      <w:bookmarkStart w:id="23" w:name="_Toc15378446"/>
      <w:bookmarkStart w:id="24" w:name="_Toc52180068"/>
      <w:bookmarkStart w:id="25" w:name="_Toc15377199"/>
    </w:p>
    <w:p>
      <w:pPr>
        <w:pStyle w:val="4"/>
        <w:rPr>
          <w:rFonts w:hint="eastAsia" w:ascii="黑体" w:hAnsi="黑体" w:eastAsia="黑体" w:cs="黑体"/>
          <w:b w:val="0"/>
        </w:rPr>
      </w:pPr>
      <w:r>
        <w:rPr>
          <w:rFonts w:hint="eastAsia" w:ascii="黑体" w:hAnsi="黑体" w:eastAsia="黑体" w:cs="黑体"/>
          <w:b w:val="0"/>
          <w:lang w:eastAsia="zh-CN"/>
        </w:rPr>
        <w:t>二、</w:t>
      </w:r>
      <w:r>
        <w:rPr>
          <w:rFonts w:hint="eastAsia" w:ascii="黑体" w:hAnsi="黑体" w:eastAsia="黑体" w:cs="黑体"/>
          <w:b w:val="0"/>
        </w:rPr>
        <w:t>202</w:t>
      </w:r>
      <w:r>
        <w:rPr>
          <w:rFonts w:hint="eastAsia" w:ascii="黑体" w:hAnsi="黑体" w:eastAsia="黑体" w:cs="黑体"/>
          <w:b w:val="0"/>
          <w:lang w:val="en-US" w:eastAsia="zh-CN"/>
        </w:rPr>
        <w:t>1</w:t>
      </w:r>
      <w:r>
        <w:rPr>
          <w:rFonts w:hint="eastAsia" w:ascii="黑体" w:hAnsi="黑体" w:eastAsia="黑体" w:cs="黑体"/>
          <w:b w:val="0"/>
        </w:rPr>
        <w:t>年重点工作完成情况。</w:t>
      </w:r>
      <w:bookmarkEnd w:id="23"/>
      <w:bookmarkEnd w:id="24"/>
      <w:bookmarkEnd w:id="25"/>
    </w:p>
    <w:p>
      <w:pPr>
        <w:ind w:firstLine="560" w:firstLineChars="200"/>
        <w:rPr>
          <w:rFonts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年在盐边县卫生健康局、红果彝族乡党委政府的正确领导和大力支持下，结合我院年初制定的工作计划，全体职工共同努力</w:t>
      </w:r>
      <w:r>
        <w:rPr>
          <w:rFonts w:hint="eastAsia" w:ascii="宋体" w:hAnsi="宋体" w:cs="宋体"/>
          <w:sz w:val="30"/>
          <w:szCs w:val="30"/>
        </w:rPr>
        <w:t>，</w:t>
      </w:r>
      <w:r>
        <w:rPr>
          <w:rFonts w:hint="eastAsia" w:ascii="仿宋" w:hAnsi="仿宋" w:eastAsia="仿宋" w:cs="仿宋"/>
          <w:sz w:val="28"/>
          <w:szCs w:val="28"/>
        </w:rPr>
        <w:t>认真履行各项服务职能，我院基本完成了各项工作任务，根据我院组织督导检查与各科室汇报情况，现予以总结报告如下：</w:t>
      </w:r>
    </w:p>
    <w:p>
      <w:pPr>
        <w:rPr>
          <w:rFonts w:ascii="仿宋" w:hAnsi="仿宋" w:eastAsia="仿宋" w:cs="仿宋"/>
          <w:color w:val="auto"/>
          <w:sz w:val="28"/>
          <w:szCs w:val="28"/>
        </w:rPr>
      </w:pPr>
      <w:r>
        <w:rPr>
          <w:rFonts w:hint="eastAsia" w:ascii="仿宋" w:hAnsi="仿宋" w:eastAsia="仿宋" w:cs="仿宋"/>
          <w:color w:val="auto"/>
          <w:sz w:val="28"/>
          <w:szCs w:val="28"/>
        </w:rPr>
        <w:t>(一)国家基本公共卫生服务方面:</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1、健康档案:对乡村医生开展业务培训12次，截止12月31日，完成健康档案1</w:t>
      </w:r>
      <w:r>
        <w:rPr>
          <w:rFonts w:hint="eastAsia" w:ascii="仿宋" w:hAnsi="仿宋" w:eastAsia="仿宋" w:cs="仿宋"/>
          <w:color w:val="auto"/>
          <w:sz w:val="28"/>
          <w:szCs w:val="28"/>
          <w:lang w:val="en-US" w:eastAsia="zh-CN"/>
        </w:rPr>
        <w:t>1884</w:t>
      </w:r>
      <w:r>
        <w:rPr>
          <w:rFonts w:hint="eastAsia" w:ascii="仿宋" w:hAnsi="仿宋" w:eastAsia="仿宋" w:cs="仿宋"/>
          <w:color w:val="auto"/>
          <w:sz w:val="28"/>
          <w:szCs w:val="28"/>
        </w:rPr>
        <w:t>份，建档率100%，电子档案建档率100%， 其中65岁以上老年人管理</w:t>
      </w:r>
      <w:r>
        <w:rPr>
          <w:rFonts w:hint="eastAsia" w:ascii="仿宋" w:hAnsi="仿宋" w:eastAsia="仿宋" w:cs="仿宋"/>
          <w:color w:val="auto"/>
          <w:sz w:val="28"/>
          <w:szCs w:val="28"/>
          <w:lang w:val="en-US" w:eastAsia="zh-CN"/>
        </w:rPr>
        <w:t>679</w:t>
      </w:r>
      <w:r>
        <w:rPr>
          <w:rFonts w:hint="eastAsia" w:ascii="仿宋" w:hAnsi="仿宋" w:eastAsia="仿宋" w:cs="仿宋"/>
          <w:color w:val="auto"/>
          <w:sz w:val="28"/>
          <w:szCs w:val="28"/>
        </w:rPr>
        <w:t>人，高血压病管理</w:t>
      </w:r>
      <w:r>
        <w:rPr>
          <w:rFonts w:hint="eastAsia" w:ascii="仿宋" w:hAnsi="仿宋" w:eastAsia="仿宋" w:cs="仿宋"/>
          <w:color w:val="auto"/>
          <w:sz w:val="28"/>
          <w:szCs w:val="28"/>
          <w:lang w:val="en-US" w:eastAsia="zh-CN"/>
        </w:rPr>
        <w:t>599</w:t>
      </w:r>
      <w:r>
        <w:rPr>
          <w:rFonts w:hint="eastAsia" w:ascii="仿宋" w:hAnsi="仿宋" w:eastAsia="仿宋" w:cs="仿宋"/>
          <w:color w:val="auto"/>
          <w:sz w:val="28"/>
          <w:szCs w:val="28"/>
        </w:rPr>
        <w:t>人，糖尿病管理192人，重性精神病管理6</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人，0-36个月儿童</w:t>
      </w:r>
      <w:r>
        <w:rPr>
          <w:rFonts w:hint="eastAsia" w:ascii="仿宋" w:hAnsi="仿宋" w:eastAsia="仿宋" w:cs="仿宋"/>
          <w:color w:val="auto"/>
          <w:sz w:val="28"/>
          <w:szCs w:val="28"/>
          <w:lang w:val="en-US" w:eastAsia="zh-CN"/>
        </w:rPr>
        <w:t>464</w:t>
      </w:r>
      <w:r>
        <w:rPr>
          <w:rFonts w:hint="eastAsia" w:ascii="仿宋" w:hAnsi="仿宋" w:eastAsia="仿宋" w:cs="仿宋"/>
          <w:color w:val="auto"/>
          <w:sz w:val="28"/>
          <w:szCs w:val="28"/>
        </w:rPr>
        <w:t>人，系统管理</w:t>
      </w:r>
      <w:r>
        <w:rPr>
          <w:rFonts w:hint="eastAsia" w:ascii="仿宋" w:hAnsi="仿宋" w:eastAsia="仿宋" w:cs="仿宋"/>
          <w:color w:val="auto"/>
          <w:sz w:val="28"/>
          <w:szCs w:val="28"/>
          <w:lang w:val="en-US" w:eastAsia="zh-CN"/>
        </w:rPr>
        <w:t>464</w:t>
      </w:r>
      <w:r>
        <w:rPr>
          <w:rFonts w:hint="eastAsia" w:ascii="仿宋" w:hAnsi="仿宋" w:eastAsia="仿宋" w:cs="仿宋"/>
          <w:color w:val="auto"/>
          <w:sz w:val="28"/>
          <w:szCs w:val="28"/>
        </w:rPr>
        <w:t>人，孕产妇</w:t>
      </w:r>
      <w:r>
        <w:rPr>
          <w:rFonts w:hint="eastAsia" w:ascii="仿宋" w:hAnsi="仿宋" w:eastAsia="仿宋" w:cs="仿宋"/>
          <w:color w:val="auto"/>
          <w:sz w:val="28"/>
          <w:szCs w:val="28"/>
          <w:lang w:val="en-US" w:eastAsia="zh-CN"/>
        </w:rPr>
        <w:t>66</w:t>
      </w:r>
      <w:r>
        <w:rPr>
          <w:rFonts w:hint="eastAsia" w:ascii="仿宋" w:hAnsi="仿宋" w:eastAsia="仿宋" w:cs="仿宋"/>
          <w:color w:val="auto"/>
          <w:sz w:val="28"/>
          <w:szCs w:val="28"/>
        </w:rPr>
        <w:t>人。住院分娩率达100%，对于重点人群的个人基本信息及时更新完善。</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2、健康教育:认真开展全乡的健康教育工作，全年发放宣传资料</w:t>
      </w:r>
      <w:r>
        <w:rPr>
          <w:rFonts w:hint="eastAsia" w:ascii="仿宋" w:hAnsi="仿宋" w:eastAsia="仿宋" w:cs="仿宋"/>
          <w:color w:val="auto"/>
          <w:sz w:val="28"/>
          <w:szCs w:val="28"/>
          <w:lang w:val="en-US" w:eastAsia="zh-CN"/>
        </w:rPr>
        <w:t>2382</w:t>
      </w:r>
      <w:r>
        <w:rPr>
          <w:rFonts w:hint="eastAsia" w:ascii="仿宋" w:hAnsi="仿宋" w:eastAsia="仿宋" w:cs="仿宋"/>
          <w:color w:val="auto"/>
          <w:sz w:val="28"/>
          <w:szCs w:val="28"/>
        </w:rPr>
        <w:t>余份；开展健康知识讲座1</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场，参加人数</w:t>
      </w:r>
      <w:r>
        <w:rPr>
          <w:rFonts w:hint="eastAsia" w:ascii="仿宋" w:hAnsi="仿宋" w:eastAsia="仿宋" w:cs="仿宋"/>
          <w:color w:val="auto"/>
          <w:sz w:val="28"/>
          <w:szCs w:val="28"/>
          <w:lang w:val="en-US" w:eastAsia="zh-CN"/>
        </w:rPr>
        <w:t>878</w:t>
      </w:r>
      <w:r>
        <w:rPr>
          <w:rFonts w:hint="eastAsia" w:ascii="仿宋" w:hAnsi="仿宋" w:eastAsia="仿宋" w:cs="仿宋"/>
          <w:color w:val="auto"/>
          <w:sz w:val="28"/>
          <w:szCs w:val="28"/>
        </w:rPr>
        <w:t>人；举办健康教育咨询活动12期，参加人数</w:t>
      </w:r>
      <w:r>
        <w:rPr>
          <w:rFonts w:hint="eastAsia" w:ascii="仿宋" w:hAnsi="仿宋" w:eastAsia="仿宋" w:cs="仿宋"/>
          <w:color w:val="auto"/>
          <w:sz w:val="28"/>
          <w:szCs w:val="28"/>
          <w:lang w:val="en-US" w:eastAsia="zh-CN"/>
        </w:rPr>
        <w:t>596</w:t>
      </w:r>
      <w:r>
        <w:rPr>
          <w:rFonts w:hint="eastAsia" w:ascii="仿宋" w:hAnsi="仿宋" w:eastAsia="仿宋" w:cs="仿宋"/>
          <w:color w:val="auto"/>
          <w:sz w:val="28"/>
          <w:szCs w:val="28"/>
        </w:rPr>
        <w:t>人；书写健康宣传栏6期12版面；健康教育影像资料</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种，播放</w:t>
      </w:r>
      <w:r>
        <w:rPr>
          <w:rFonts w:hint="eastAsia" w:ascii="仿宋" w:hAnsi="仿宋" w:eastAsia="仿宋" w:cs="仿宋"/>
          <w:color w:val="auto"/>
          <w:sz w:val="28"/>
          <w:szCs w:val="28"/>
          <w:lang w:val="en-US" w:eastAsia="zh-CN"/>
        </w:rPr>
        <w:t>45</w:t>
      </w:r>
      <w:r>
        <w:rPr>
          <w:rFonts w:hint="eastAsia" w:ascii="仿宋" w:hAnsi="仿宋" w:eastAsia="仿宋" w:cs="仿宋"/>
          <w:color w:val="auto"/>
          <w:sz w:val="28"/>
          <w:szCs w:val="28"/>
        </w:rPr>
        <w:t>次</w:t>
      </w:r>
      <w:r>
        <w:rPr>
          <w:rFonts w:hint="eastAsia" w:ascii="仿宋" w:hAnsi="仿宋" w:eastAsia="仿宋" w:cs="仿宋"/>
          <w:color w:val="auto"/>
          <w:sz w:val="28"/>
          <w:szCs w:val="28"/>
          <w:lang w:val="en-US" w:eastAsia="zh-CN"/>
        </w:rPr>
        <w:t>56</w:t>
      </w:r>
      <w:r>
        <w:rPr>
          <w:rFonts w:hint="eastAsia" w:ascii="仿宋" w:hAnsi="仿宋" w:eastAsia="仿宋" w:cs="仿宋"/>
          <w:color w:val="auto"/>
          <w:sz w:val="28"/>
          <w:szCs w:val="28"/>
        </w:rPr>
        <w:t>小时，完成了本年度健康教育工作目标。</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3、预防接种: 各种疫苗接种严格按上级规定指标完成，为适龄儿童建立预防接种证</w:t>
      </w:r>
      <w:r>
        <w:rPr>
          <w:rFonts w:hint="eastAsia" w:ascii="仿宋" w:hAnsi="仿宋" w:eastAsia="仿宋" w:cs="仿宋"/>
          <w:color w:val="auto"/>
          <w:sz w:val="28"/>
          <w:szCs w:val="28"/>
          <w:lang w:val="en-US" w:eastAsia="zh-CN"/>
        </w:rPr>
        <w:t>7792</w:t>
      </w:r>
      <w:r>
        <w:rPr>
          <w:rFonts w:hint="eastAsia" w:ascii="仿宋" w:hAnsi="仿宋" w:eastAsia="仿宋" w:cs="仿宋"/>
          <w:color w:val="auto"/>
          <w:sz w:val="28"/>
          <w:szCs w:val="28"/>
        </w:rPr>
        <w:t>人次，儿童建证率达90%，建卡率达90%，扩大免疫接种率达90%，一二类疫苗接种信息公示率达95%。每半年认真开展查漏补种工作1次，全年共2次，免费接种乙肝疫苗、卡介苗、脊灰疫苗、百白破疫苗、麻疹类疫苗（麻风、麻腮风）、甲肝疫苗、流脑疫苗、乙脑疫苗、白破二联等国家免疫规划疫苗，共接种</w:t>
      </w:r>
      <w:r>
        <w:rPr>
          <w:rFonts w:hint="eastAsia" w:ascii="仿宋" w:hAnsi="仿宋" w:eastAsia="仿宋" w:cs="仿宋"/>
          <w:color w:val="auto"/>
          <w:sz w:val="28"/>
          <w:szCs w:val="28"/>
          <w:lang w:val="en-US" w:eastAsia="zh-CN"/>
        </w:rPr>
        <w:t>7792</w:t>
      </w:r>
      <w:r>
        <w:rPr>
          <w:rFonts w:hint="eastAsia" w:ascii="仿宋" w:hAnsi="仿宋" w:eastAsia="仿宋" w:cs="仿宋"/>
          <w:color w:val="auto"/>
          <w:sz w:val="28"/>
          <w:szCs w:val="28"/>
        </w:rPr>
        <w:t>针次，在接种过程中，未出现异常反应。</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4、妇幼保健: 1. 以母婴安全为重点，强化孕产妇系统管理质量，管理孕产妇</w:t>
      </w:r>
      <w:r>
        <w:rPr>
          <w:rFonts w:hint="eastAsia" w:ascii="仿宋" w:hAnsi="仿宋" w:eastAsia="仿宋" w:cs="仿宋"/>
          <w:color w:val="auto"/>
          <w:sz w:val="28"/>
          <w:szCs w:val="28"/>
          <w:lang w:val="en-US" w:eastAsia="zh-CN"/>
        </w:rPr>
        <w:t>66</w:t>
      </w:r>
      <w:r>
        <w:rPr>
          <w:rFonts w:hint="eastAsia" w:ascii="仿宋" w:hAnsi="仿宋" w:eastAsia="仿宋" w:cs="仿宋"/>
          <w:color w:val="auto"/>
          <w:sz w:val="28"/>
          <w:szCs w:val="28"/>
        </w:rPr>
        <w:t>人，加大入户力度，与村医配合，为确诊怀孕3个月内的孕妇做好早孕检查及建卡工作，动员孕妇及时做好产前检查，重视高危筛查，对每一例高危孕产妇认真的做好宣教工作，动员住院分娩，早期住院治疗;开展至少5次孕期保健服务和不少于1次的产后访视。规范化管理率≥95%，年内孕产妇健康管理早孕建册率≥85.62%，产后访视率≥100%。2.加强儿童保健工作，管理新生儿</w:t>
      </w:r>
      <w:r>
        <w:rPr>
          <w:rFonts w:hint="eastAsia" w:ascii="仿宋" w:hAnsi="仿宋" w:eastAsia="仿宋" w:cs="仿宋"/>
          <w:color w:val="auto"/>
          <w:sz w:val="28"/>
          <w:szCs w:val="28"/>
          <w:lang w:val="en-US" w:eastAsia="zh-CN"/>
        </w:rPr>
        <w:t>75</w:t>
      </w:r>
      <w:r>
        <w:rPr>
          <w:rFonts w:hint="eastAsia" w:ascii="仿宋" w:hAnsi="仿宋" w:eastAsia="仿宋" w:cs="仿宋"/>
          <w:color w:val="auto"/>
          <w:sz w:val="28"/>
          <w:szCs w:val="28"/>
        </w:rPr>
        <w:t>名，对新生儿、婴幼儿、体弱儿建立系统管理册，根据检查结果填好保健册、卡，新生儿访视率100% 加强儿童营养、母乳喂养、常见病、多发病等卫生防治知识的宣传:儿童系统管理率≥96%，母乳喂养率达90%以上。3.及时准确的填好各种妇幼资料。村医一月一次例会，一季度进行一次妇幼相关知识的培训，提高他们的业务能力。使他们</w:t>
      </w:r>
      <w:bookmarkStart w:id="117" w:name="_GoBack"/>
      <w:r>
        <w:rPr>
          <w:rFonts w:hint="eastAsia" w:ascii="仿宋" w:hAnsi="仿宋" w:eastAsia="仿宋" w:cs="仿宋"/>
          <w:color w:val="auto"/>
          <w:sz w:val="28"/>
          <w:szCs w:val="28"/>
        </w:rPr>
        <w:t>更好</w:t>
      </w:r>
      <w:r>
        <w:rPr>
          <w:rFonts w:hint="eastAsia" w:ascii="仿宋" w:hAnsi="仿宋" w:eastAsia="仿宋" w:cs="仿宋"/>
          <w:color w:val="auto"/>
          <w:sz w:val="28"/>
          <w:szCs w:val="28"/>
          <w:lang w:eastAsia="zh-CN"/>
        </w:rPr>
        <w:t>地</w:t>
      </w:r>
      <w:r>
        <w:rPr>
          <w:rFonts w:hint="eastAsia" w:ascii="仿宋" w:hAnsi="仿宋" w:eastAsia="仿宋" w:cs="仿宋"/>
          <w:color w:val="auto"/>
          <w:sz w:val="28"/>
          <w:szCs w:val="28"/>
        </w:rPr>
        <w:t>为</w:t>
      </w:r>
      <w:bookmarkEnd w:id="117"/>
      <w:r>
        <w:rPr>
          <w:rFonts w:hint="eastAsia" w:ascii="仿宋" w:hAnsi="仿宋" w:eastAsia="仿宋" w:cs="仿宋"/>
          <w:color w:val="auto"/>
          <w:sz w:val="28"/>
          <w:szCs w:val="28"/>
        </w:rPr>
        <w:t>辖区内广大妇女和儿童身心健康服好务。4.做好“普服叶酸”及“降消”项目的宣传，加大住院分娩的宣传力度。5.做好计划生育咨询指导工作及艾滋病防治工作的宣传。</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5、慢病管理：对高血压、糖尿病高危人群进行指导，35岁以上人群实行门诊首诊测血压，慢病患者做到定期随访，全年规范管理高血压患者</w:t>
      </w:r>
      <w:r>
        <w:rPr>
          <w:rFonts w:hint="eastAsia" w:ascii="仿宋" w:hAnsi="仿宋" w:eastAsia="仿宋" w:cs="仿宋"/>
          <w:color w:val="auto"/>
          <w:sz w:val="28"/>
          <w:szCs w:val="28"/>
          <w:lang w:val="en-US" w:eastAsia="zh-CN"/>
        </w:rPr>
        <w:t>599</w:t>
      </w:r>
      <w:r>
        <w:rPr>
          <w:rFonts w:hint="eastAsia" w:ascii="仿宋" w:hAnsi="仿宋" w:eastAsia="仿宋" w:cs="仿宋"/>
          <w:color w:val="auto"/>
          <w:sz w:val="28"/>
          <w:szCs w:val="28"/>
        </w:rPr>
        <w:t>例，规范管理糖尿病患者192例。</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6、严重精神障碍患者管理：及时发现精神病线索并上报，完善严重精神障碍患者健康档案，开展了年度体检工作，共检6</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人，202</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年新增严重精神障碍患者</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人，迁回患者</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人，删除重复档案</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人。目前管理严重精神障碍患者6</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人，管理率达100%，稳定率达到95%。</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7、组织医务人员对辖区居民进行中医药指导，全年开展中医讲座、中医健康咨询活动，书写中医健康宣传栏。通过下村走访，对65岁以上的老年人及0—6岁儿童进行中医药健康服务，提高老年人及儿童的生活质量。</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8、加强传染病管理和卫生监督协管工作，每月进行传染病自查，杜绝漏统、漏报、谎报情况。卫生院对学校卫生，饮用水卫生，食品安全信息报告，职业卫生咨询指导并进行安全巡查，保障了公共卫生安全。全年共巡查48次，对服务对象进行健康指导，对存在的问题提出整改意见。</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9、老年人健康管理：全乡65岁以上老年人10</w:t>
      </w:r>
      <w:r>
        <w:rPr>
          <w:rFonts w:hint="eastAsia" w:ascii="仿宋" w:hAnsi="仿宋" w:eastAsia="仿宋" w:cs="仿宋"/>
          <w:color w:val="auto"/>
          <w:sz w:val="28"/>
          <w:szCs w:val="28"/>
          <w:lang w:val="en-US" w:eastAsia="zh-CN"/>
        </w:rPr>
        <w:t>90</w:t>
      </w:r>
      <w:r>
        <w:rPr>
          <w:rFonts w:hint="eastAsia" w:ascii="仿宋" w:hAnsi="仿宋" w:eastAsia="仿宋" w:cs="仿宋"/>
          <w:color w:val="auto"/>
          <w:sz w:val="28"/>
          <w:szCs w:val="28"/>
        </w:rPr>
        <w:t>人，全年共体检7</w:t>
      </w:r>
      <w:r>
        <w:rPr>
          <w:rFonts w:hint="eastAsia" w:ascii="仿宋" w:hAnsi="仿宋" w:eastAsia="仿宋" w:cs="仿宋"/>
          <w:color w:val="auto"/>
          <w:sz w:val="28"/>
          <w:szCs w:val="28"/>
          <w:lang w:val="en-US" w:eastAsia="zh-CN"/>
        </w:rPr>
        <w:t>93</w:t>
      </w:r>
      <w:r>
        <w:rPr>
          <w:rFonts w:hint="eastAsia" w:ascii="仿宋" w:hAnsi="仿宋" w:eastAsia="仿宋" w:cs="仿宋"/>
          <w:color w:val="auto"/>
          <w:sz w:val="28"/>
          <w:szCs w:val="28"/>
        </w:rPr>
        <w:t>人，体检率7</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%；参加中医药健康管理</w:t>
      </w:r>
      <w:r>
        <w:rPr>
          <w:rFonts w:hint="eastAsia" w:ascii="仿宋" w:hAnsi="仿宋" w:eastAsia="仿宋" w:cs="仿宋"/>
          <w:color w:val="auto"/>
          <w:sz w:val="28"/>
          <w:szCs w:val="28"/>
          <w:lang w:val="en-US" w:eastAsia="zh-CN"/>
        </w:rPr>
        <w:t>969</w:t>
      </w:r>
      <w:r>
        <w:rPr>
          <w:rFonts w:hint="eastAsia" w:ascii="仿宋" w:hAnsi="仿宋" w:eastAsia="仿宋" w:cs="仿宋"/>
          <w:color w:val="auto"/>
          <w:sz w:val="28"/>
          <w:szCs w:val="28"/>
        </w:rPr>
        <w:t>人。</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、加强健康素养促进行动的宣传、健康科普，设立戒烟门诊，重点疾病、重点领域和重点人群的健康教育。</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、家庭医生签约服务：全乡共签约118</w:t>
      </w:r>
      <w:r>
        <w:rPr>
          <w:rFonts w:hint="eastAsia" w:ascii="仿宋" w:hAnsi="仿宋" w:eastAsia="仿宋" w:cs="仿宋"/>
          <w:color w:val="auto"/>
          <w:sz w:val="28"/>
          <w:szCs w:val="28"/>
          <w:lang w:val="en-US" w:eastAsia="zh-CN"/>
        </w:rPr>
        <w:t>84</w:t>
      </w:r>
      <w:r>
        <w:rPr>
          <w:rFonts w:hint="eastAsia" w:ascii="仿宋" w:hAnsi="仿宋" w:eastAsia="仿宋" w:cs="仿宋"/>
          <w:color w:val="auto"/>
          <w:sz w:val="28"/>
          <w:szCs w:val="28"/>
        </w:rPr>
        <w:t>人次，其中高血压患者签约</w:t>
      </w:r>
      <w:r>
        <w:rPr>
          <w:rFonts w:hint="eastAsia" w:ascii="仿宋" w:hAnsi="仿宋" w:eastAsia="仿宋" w:cs="仿宋"/>
          <w:color w:val="auto"/>
          <w:sz w:val="28"/>
          <w:szCs w:val="28"/>
          <w:lang w:val="en-US" w:eastAsia="zh-CN"/>
        </w:rPr>
        <w:t>599</w:t>
      </w:r>
      <w:r>
        <w:rPr>
          <w:rFonts w:hint="eastAsia" w:ascii="仿宋" w:hAnsi="仿宋" w:eastAsia="仿宋" w:cs="仿宋"/>
          <w:color w:val="auto"/>
          <w:sz w:val="28"/>
          <w:szCs w:val="28"/>
        </w:rPr>
        <w:t>人，签约率100%；糖尿病患者签约192人，签约率100%；严重精神障碍患者签约6</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人，签约率100%；0-6岁儿童签约</w:t>
      </w:r>
      <w:r>
        <w:rPr>
          <w:rFonts w:hint="eastAsia" w:ascii="仿宋" w:hAnsi="仿宋" w:eastAsia="仿宋" w:cs="仿宋"/>
          <w:color w:val="auto"/>
          <w:sz w:val="28"/>
          <w:szCs w:val="28"/>
          <w:lang w:val="en-US" w:eastAsia="zh-CN"/>
        </w:rPr>
        <w:t>886</w:t>
      </w:r>
      <w:r>
        <w:rPr>
          <w:rFonts w:hint="eastAsia" w:ascii="仿宋" w:hAnsi="仿宋" w:eastAsia="仿宋" w:cs="仿宋"/>
          <w:color w:val="auto"/>
          <w:sz w:val="28"/>
          <w:szCs w:val="28"/>
        </w:rPr>
        <w:t>人，签约率99%；孕产妇签约</w:t>
      </w:r>
      <w:r>
        <w:rPr>
          <w:rFonts w:hint="eastAsia" w:ascii="仿宋" w:hAnsi="仿宋" w:eastAsia="仿宋" w:cs="仿宋"/>
          <w:color w:val="auto"/>
          <w:sz w:val="28"/>
          <w:szCs w:val="28"/>
          <w:lang w:val="en-US" w:eastAsia="zh-CN"/>
        </w:rPr>
        <w:t>66</w:t>
      </w:r>
      <w:r>
        <w:rPr>
          <w:rFonts w:hint="eastAsia" w:ascii="仿宋" w:hAnsi="仿宋" w:eastAsia="仿宋" w:cs="仿宋"/>
          <w:color w:val="auto"/>
          <w:sz w:val="28"/>
          <w:szCs w:val="28"/>
        </w:rPr>
        <w:t>人，签约率90%；65岁以上老年人签约10</w:t>
      </w:r>
      <w:r>
        <w:rPr>
          <w:rFonts w:hint="eastAsia" w:ascii="仿宋" w:hAnsi="仿宋" w:eastAsia="仿宋" w:cs="仿宋"/>
          <w:color w:val="auto"/>
          <w:sz w:val="28"/>
          <w:szCs w:val="28"/>
          <w:lang w:val="en-US" w:eastAsia="zh-CN"/>
        </w:rPr>
        <w:t>90</w:t>
      </w:r>
      <w:r>
        <w:rPr>
          <w:rFonts w:hint="eastAsia" w:ascii="仿宋" w:hAnsi="仿宋" w:eastAsia="仿宋" w:cs="仿宋"/>
          <w:color w:val="auto"/>
          <w:sz w:val="28"/>
          <w:szCs w:val="28"/>
        </w:rPr>
        <w:t>人，签约率99.8%；贫困人口签约2233人，签约率100%。</w:t>
      </w:r>
    </w:p>
    <w:p>
      <w:pPr>
        <w:rPr>
          <w:rFonts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二</w:t>
      </w:r>
      <w:r>
        <w:rPr>
          <w:rFonts w:hint="eastAsia" w:ascii="仿宋" w:hAnsi="仿宋" w:eastAsia="仿宋" w:cs="仿宋"/>
          <w:color w:val="auto"/>
          <w:sz w:val="28"/>
          <w:szCs w:val="28"/>
        </w:rPr>
        <w:t>)基本医疗</w:t>
      </w:r>
      <w:r>
        <w:rPr>
          <w:rFonts w:hint="eastAsia" w:ascii="仿宋" w:hAnsi="仿宋" w:eastAsia="仿宋" w:cs="仿宋"/>
          <w:color w:val="auto"/>
          <w:sz w:val="28"/>
          <w:szCs w:val="28"/>
          <w:lang w:eastAsia="zh-CN"/>
        </w:rPr>
        <w:t>方面</w:t>
      </w:r>
      <w:r>
        <w:rPr>
          <w:rFonts w:hint="eastAsia" w:ascii="仿宋" w:hAnsi="仿宋" w:eastAsia="仿宋" w:cs="仿宋"/>
          <w:color w:val="auto"/>
          <w:sz w:val="28"/>
          <w:szCs w:val="28"/>
        </w:rPr>
        <w:t>:</w:t>
      </w:r>
    </w:p>
    <w:p>
      <w:pPr>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加强医疗质量管理，保障医疗安全，严格控制医疗质量，落实药品使用量、抗生素使用量、病人自费比例分析制度，认真治理过度医疗问题，卫生院医疗服务质量稳步提升。加强法制教育，规范医疗行为，强化安全责任意识，进一步落实医疗安全责任制和责任追究制，切实防范医疗差错事故的发生。为人民群众提供优质的就医环境，真正做到让人民群众满意，让患者满意。由于新农合和城乡居民医保结合，新医保系统（金宝网）运行故障等原因我院门诊诊疗量和住院患者同比去年有所下降，截止12月中旬，我院共接诊门诊患者</w:t>
      </w:r>
      <w:r>
        <w:rPr>
          <w:rFonts w:hint="eastAsia" w:ascii="仿宋" w:hAnsi="仿宋" w:eastAsia="仿宋" w:cs="仿宋"/>
          <w:color w:val="auto"/>
          <w:sz w:val="28"/>
          <w:szCs w:val="28"/>
          <w:lang w:val="en-US" w:eastAsia="zh-CN"/>
        </w:rPr>
        <w:t>9558</w:t>
      </w:r>
      <w:r>
        <w:rPr>
          <w:rFonts w:hint="eastAsia" w:ascii="仿宋" w:hAnsi="仿宋" w:eastAsia="仿宋" w:cs="仿宋"/>
          <w:color w:val="auto"/>
          <w:sz w:val="28"/>
          <w:szCs w:val="28"/>
        </w:rPr>
        <w:t>人次，住院患者</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人次。</w:t>
      </w:r>
    </w:p>
    <w:p>
      <w:pPr>
        <w:rPr>
          <w:rFonts w:hint="eastAsia" w:ascii="仿宋" w:hAnsi="仿宋" w:eastAsia="仿宋" w:cs="仿宋"/>
          <w:sz w:val="28"/>
          <w:szCs w:val="28"/>
          <w:lang w:eastAsia="zh-CN"/>
        </w:rPr>
      </w:pPr>
      <w:r>
        <w:rPr>
          <w:rFonts w:hint="eastAsia" w:ascii="仿宋" w:hAnsi="仿宋" w:eastAsia="仿宋" w:cs="仿宋"/>
          <w:sz w:val="28"/>
          <w:szCs w:val="28"/>
        </w:rPr>
        <w:t>（</w:t>
      </w:r>
      <w:r>
        <w:rPr>
          <w:rFonts w:hint="eastAsia" w:ascii="仿宋" w:hAnsi="仿宋" w:eastAsia="仿宋" w:cs="仿宋"/>
          <w:sz w:val="28"/>
          <w:szCs w:val="28"/>
          <w:lang w:eastAsia="zh-CN"/>
        </w:rPr>
        <w:t>三</w:t>
      </w:r>
      <w:r>
        <w:rPr>
          <w:rFonts w:hint="eastAsia" w:ascii="仿宋" w:hAnsi="仿宋" w:eastAsia="仿宋" w:cs="仿宋"/>
          <w:sz w:val="28"/>
          <w:szCs w:val="28"/>
        </w:rPr>
        <w:t>）财务管理</w:t>
      </w:r>
      <w:r>
        <w:rPr>
          <w:rFonts w:hint="eastAsia" w:ascii="仿宋" w:hAnsi="仿宋" w:eastAsia="仿宋" w:cs="仿宋"/>
          <w:sz w:val="28"/>
          <w:szCs w:val="28"/>
          <w:lang w:eastAsia="zh-CN"/>
        </w:rPr>
        <w:t>方面：</w:t>
      </w:r>
    </w:p>
    <w:p>
      <w:pPr>
        <w:rPr>
          <w:rFonts w:hint="eastAsia" w:ascii="仿宋" w:hAnsi="仿宋" w:eastAsia="仿宋" w:cs="仿宋"/>
          <w:sz w:val="28"/>
          <w:szCs w:val="28"/>
        </w:rPr>
      </w:pPr>
      <w:r>
        <w:rPr>
          <w:rFonts w:hint="eastAsia" w:ascii="仿宋" w:hAnsi="仿宋" w:eastAsia="仿宋" w:cs="仿宋"/>
          <w:sz w:val="28"/>
          <w:szCs w:val="28"/>
        </w:rPr>
        <w:t>严格执行卫生院财务管理制度，落实固定资产购置处理、开支审批等制度，确保卫生院财务管理工作严格规范。针对医院管理中的关键环节，进一步完善财务管理制度，及时堵塞管理漏洞，实现财务管理科学规范、公开透明。重点做好医疗服务项目、收费标准、药品以及耗材价格等信息的公开，杜绝乱收费现象。</w:t>
      </w:r>
    </w:p>
    <w:p>
      <w:pPr>
        <w:rPr>
          <w:rStyle w:val="26"/>
          <w:rFonts w:ascii="仿宋" w:hAnsi="仿宋" w:eastAsia="仿宋" w:cs="仿宋"/>
          <w:b w:val="0"/>
          <w:bCs w:val="0"/>
          <w:sz w:val="28"/>
          <w:szCs w:val="28"/>
        </w:rPr>
      </w:pPr>
      <w:r>
        <w:rPr>
          <w:rFonts w:hint="eastAsia" w:ascii="黑体" w:eastAsia="黑体"/>
          <w:b/>
          <w:color w:val="000000"/>
          <w:sz w:val="32"/>
          <w:szCs w:val="32"/>
          <w:lang w:eastAsia="zh-CN"/>
        </w:rPr>
        <w:t>三</w:t>
      </w:r>
      <w:r>
        <w:rPr>
          <w:rFonts w:hint="eastAsia" w:ascii="黑体" w:eastAsia="黑体"/>
          <w:b/>
          <w:color w:val="000000"/>
          <w:sz w:val="32"/>
          <w:szCs w:val="32"/>
        </w:rPr>
        <w:t>、</w:t>
      </w:r>
      <w:r>
        <w:rPr>
          <w:rFonts w:hint="eastAsia" w:ascii="黑体" w:hAnsi="黑体" w:eastAsia="黑体"/>
          <w:b/>
          <w:color w:val="000000"/>
          <w:sz w:val="32"/>
          <w:szCs w:val="32"/>
        </w:rPr>
        <w:t>机</w:t>
      </w:r>
      <w:r>
        <w:rPr>
          <w:rStyle w:val="26"/>
          <w:rFonts w:hint="eastAsia" w:ascii="黑体" w:hAnsi="黑体" w:eastAsia="黑体"/>
        </w:rPr>
        <w:t>构设置</w:t>
      </w:r>
    </w:p>
    <w:p>
      <w:pPr>
        <w:ind w:firstLine="640" w:firstLineChars="200"/>
        <w:rPr>
          <w:rFonts w:ascii="仿宋" w:hAnsi="仿宋" w:eastAsia="仿宋"/>
          <w:sz w:val="32"/>
          <w:szCs w:val="32"/>
        </w:rPr>
      </w:pPr>
      <w:r>
        <w:rPr>
          <w:rFonts w:hint="eastAsia" w:ascii="仿宋" w:hAnsi="仿宋" w:eastAsia="仿宋"/>
          <w:sz w:val="32"/>
          <w:szCs w:val="32"/>
          <w:lang w:eastAsia="zh-CN"/>
        </w:rPr>
        <w:t>盐边县红果中心</w:t>
      </w:r>
      <w:r>
        <w:rPr>
          <w:rFonts w:hint="eastAsia" w:ascii="仿宋" w:hAnsi="仿宋" w:eastAsia="仿宋"/>
          <w:sz w:val="32"/>
          <w:szCs w:val="32"/>
        </w:rPr>
        <w:t>卫生院下属非独立核算单位0个，其中行政单位0个，参照公务员法管理的事业单位0个，其他事业单位0个</w:t>
      </w:r>
      <w:r>
        <w:rPr>
          <w:rFonts w:hint="eastAsia" w:ascii="仿宋" w:hAnsi="仿宋" w:eastAsia="仿宋"/>
          <w:sz w:val="32"/>
          <w:szCs w:val="32"/>
          <w:lang w:eastAsia="zh-CN"/>
        </w:rPr>
        <w:t>。</w:t>
      </w:r>
    </w:p>
    <w:p>
      <w:pPr>
        <w:rPr>
          <w:rStyle w:val="25"/>
          <w:rFonts w:ascii="仿宋" w:hAnsi="仿宋" w:eastAsia="仿宋"/>
          <w:b w:val="0"/>
          <w:bCs w:val="0"/>
          <w:color w:val="000000"/>
          <w:kern w:val="0"/>
          <w:sz w:val="32"/>
          <w:szCs w:val="32"/>
        </w:rPr>
      </w:pPr>
      <w:bookmarkStart w:id="26" w:name="_Toc15396602"/>
      <w:bookmarkStart w:id="27" w:name="_Toc15377204"/>
      <w:bookmarkStart w:id="28" w:name="_Toc52180073"/>
      <w:r>
        <w:rPr>
          <w:rFonts w:hint="eastAsia" w:ascii="黑体" w:hAnsi="黑体" w:eastAsia="黑体"/>
          <w:b/>
          <w:color w:val="000000"/>
          <w:sz w:val="44"/>
          <w:szCs w:val="44"/>
        </w:rPr>
        <w:t>第二部分</w:t>
      </w:r>
      <w:r>
        <w:rPr>
          <w:rFonts w:hint="eastAsia" w:ascii="黑体" w:hAnsi="黑体" w:eastAsia="黑体"/>
          <w:color w:val="000000"/>
          <w:sz w:val="44"/>
          <w:szCs w:val="44"/>
        </w:rPr>
        <w:t xml:space="preserve"> </w:t>
      </w:r>
      <w:r>
        <w:rPr>
          <w:rStyle w:val="25"/>
          <w:rFonts w:hint="eastAsia" w:ascii="黑体" w:hAnsi="黑体" w:eastAsia="黑体"/>
        </w:rPr>
        <w:t>202</w:t>
      </w:r>
      <w:r>
        <w:rPr>
          <w:rStyle w:val="25"/>
          <w:rFonts w:hint="eastAsia" w:ascii="黑体" w:hAnsi="黑体" w:eastAsia="黑体"/>
          <w:lang w:val="en-US" w:eastAsia="zh-CN"/>
        </w:rPr>
        <w:t>1</w:t>
      </w:r>
      <w:r>
        <w:rPr>
          <w:rStyle w:val="25"/>
          <w:rFonts w:hint="eastAsia" w:ascii="黑体" w:hAnsi="黑体" w:eastAsia="黑体"/>
        </w:rPr>
        <w:t>年度</w:t>
      </w:r>
      <w:r>
        <w:rPr>
          <w:rStyle w:val="25"/>
          <w:rFonts w:hint="eastAsia" w:ascii="黑体" w:hAnsi="黑体" w:eastAsia="黑体"/>
          <w:lang w:eastAsia="zh-CN"/>
        </w:rPr>
        <w:t>单位</w:t>
      </w:r>
      <w:r>
        <w:rPr>
          <w:rStyle w:val="25"/>
          <w:rFonts w:hint="eastAsia" w:ascii="黑体" w:hAnsi="黑体" w:eastAsia="黑体"/>
        </w:rPr>
        <w:t>决算情况说明</w:t>
      </w:r>
      <w:bookmarkEnd w:id="26"/>
      <w:bookmarkEnd w:id="27"/>
      <w:bookmarkEnd w:id="28"/>
    </w:p>
    <w:p/>
    <w:p>
      <w:pPr>
        <w:pStyle w:val="24"/>
        <w:numPr>
          <w:ilvl w:val="0"/>
          <w:numId w:val="1"/>
        </w:numPr>
        <w:spacing w:line="600" w:lineRule="exact"/>
        <w:ind w:firstLineChars="0"/>
        <w:outlineLvl w:val="1"/>
        <w:rPr>
          <w:rStyle w:val="26"/>
          <w:rFonts w:ascii="黑体" w:hAnsi="黑体" w:eastAsia="黑体"/>
          <w:b w:val="0"/>
        </w:rPr>
      </w:pPr>
      <w:bookmarkStart w:id="29" w:name="_Toc15396603"/>
      <w:bookmarkStart w:id="30" w:name="_Toc52180074"/>
      <w:bookmarkStart w:id="31" w:name="_Toc15377205"/>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29"/>
      <w:bookmarkEnd w:id="30"/>
      <w:bookmarkEnd w:id="31"/>
    </w:p>
    <w:p>
      <w:pPr>
        <w:rPr>
          <w:rFonts w:hint="eastAsia" w:ascii="仿宋_GB2312" w:hAnsi="仿宋" w:eastAsia="仿宋_GB2312"/>
          <w:sz w:val="32"/>
          <w:szCs w:val="32"/>
          <w:lang w:val="en-US" w:eastAsia="zh-CN"/>
        </w:rPr>
      </w:pPr>
      <w:r>
        <w:rPr>
          <w:rFonts w:hint="eastAsia" w:ascii="仿宋" w:hAnsi="仿宋" w:eastAsia="仿宋"/>
          <w:sz w:val="32"/>
          <w:szCs w:val="32"/>
        </w:rPr>
        <w:t>2021年度</w:t>
      </w:r>
      <w:r>
        <w:rPr>
          <w:rFonts w:hint="eastAsia" w:ascii="仿宋" w:hAnsi="仿宋" w:eastAsia="仿宋"/>
          <w:sz w:val="32"/>
          <w:szCs w:val="32"/>
          <w:lang w:val="en-US" w:eastAsia="zh-CN"/>
        </w:rPr>
        <w:t>总收入406.46万元，与2020年323.89万元相比增加82.57万元，同比增长25.49%。2021年度总支出423.31万元，与2020年331.53万元相比增加91.78万元，同比增长27.68%。</w:t>
      </w:r>
      <w:r>
        <w:rPr>
          <w:rFonts w:hint="eastAsia" w:ascii="仿宋" w:hAnsi="仿宋" w:eastAsia="仿宋"/>
          <w:sz w:val="32"/>
          <w:szCs w:val="32"/>
        </w:rPr>
        <w:t>主要变动原因</w:t>
      </w:r>
      <w:r>
        <w:rPr>
          <w:rFonts w:hint="eastAsia" w:ascii="仿宋" w:hAnsi="仿宋" w:eastAsia="仿宋"/>
          <w:color w:val="000000"/>
          <w:sz w:val="32"/>
          <w:szCs w:val="32"/>
        </w:rPr>
        <w:t>是</w:t>
      </w:r>
      <w:r>
        <w:rPr>
          <w:rFonts w:hint="eastAsia" w:ascii="仿宋" w:hAnsi="仿宋" w:eastAsia="仿宋" w:cs="Times New Roman"/>
          <w:sz w:val="32"/>
          <w:szCs w:val="32"/>
        </w:rPr>
        <w:t>有</w:t>
      </w:r>
      <w:r>
        <w:rPr>
          <w:rFonts w:hint="eastAsia" w:ascii="仿宋" w:hAnsi="仿宋" w:eastAsia="仿宋" w:cs="Times New Roman"/>
          <w:sz w:val="32"/>
          <w:szCs w:val="32"/>
          <w:lang w:eastAsia="zh-CN"/>
        </w:rPr>
        <w:t>新进人员增加以</w:t>
      </w:r>
      <w:r>
        <w:rPr>
          <w:rFonts w:hint="eastAsia" w:ascii="仿宋" w:hAnsi="仿宋" w:eastAsia="仿宋" w:cs="Times New Roman"/>
          <w:sz w:val="32"/>
          <w:szCs w:val="32"/>
          <w:lang w:val="en-US" w:eastAsia="zh-CN"/>
        </w:rPr>
        <w:t>及基本公共</w:t>
      </w:r>
      <w:r>
        <w:rPr>
          <w:rFonts w:hint="eastAsia" w:ascii="仿宋_GB2312" w:hAnsi="仿宋" w:eastAsia="仿宋_GB2312"/>
          <w:sz w:val="32"/>
          <w:szCs w:val="32"/>
          <w:lang w:val="en-US" w:eastAsia="zh-CN"/>
        </w:rPr>
        <w:t>卫生服务经费在上年基础上有所增加。</w:t>
      </w:r>
    </w:p>
    <w:p>
      <w:pPr>
        <w:pStyle w:val="2"/>
        <w:jc w:val="center"/>
      </w:pPr>
      <w:r>
        <w:rPr>
          <w:rFonts w:hint="default" w:ascii="仿宋_GB2312" w:hAnsi="Times New Roman" w:eastAsia="仿宋_GB2312" w:cs="Times New Roman"/>
          <w:kern w:val="0"/>
          <w:sz w:val="30"/>
          <w:szCs w:val="24"/>
          <w:lang w:val="en-US" w:eastAsia="zh-CN" w:bidi="ar-SA"/>
        </w:rPr>
        <w:object>
          <v:shape id="_x0000_i1025" o:spt="75" type="#_x0000_t75" style="height:226.2pt;width:447.55pt;" o:ole="t" filled="f" o:preferrelative="t" stroked="f" coordsize="21600,21600">
            <v:path/>
            <v:fill on="f" focussize="0,0"/>
            <v:stroke on="f"/>
            <v:imagedata r:id="rId7" blacklevel="0f" o:title=""/>
            <o:lock v:ext="edit" aspectratio="t"/>
            <w10:wrap type="none"/>
            <w10:anchorlock/>
          </v:shape>
          <o:OLEObject Type="Embed" ProgID="Excel.Chart.8" ShapeID="_x0000_i1025" DrawAspect="Content" ObjectID="_1468075725" r:id="rId6">
            <o:LockedField>false</o:LockedField>
          </o:OLEObject>
        </w:object>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4"/>
        <w:numPr>
          <w:ilvl w:val="0"/>
          <w:numId w:val="1"/>
        </w:numPr>
        <w:spacing w:line="600" w:lineRule="exact"/>
        <w:ind w:firstLineChars="0"/>
        <w:outlineLvl w:val="1"/>
        <w:rPr>
          <w:rStyle w:val="26"/>
          <w:rFonts w:ascii="黑体" w:hAnsi="黑体" w:eastAsia="黑体"/>
          <w:b w:val="0"/>
        </w:rPr>
      </w:pPr>
      <w:bookmarkStart w:id="32" w:name="_Toc15396604"/>
      <w:bookmarkStart w:id="33" w:name="_Toc15377206"/>
      <w:bookmarkStart w:id="34" w:name="_Toc52180075"/>
      <w:r>
        <w:rPr>
          <w:rFonts w:hint="eastAsia" w:ascii="黑体" w:hAnsi="黑体" w:eastAsia="黑体"/>
          <w:color w:val="000000"/>
          <w:sz w:val="32"/>
          <w:szCs w:val="32"/>
        </w:rPr>
        <w:t>收</w:t>
      </w:r>
      <w:r>
        <w:rPr>
          <w:rStyle w:val="26"/>
          <w:rFonts w:hint="eastAsia" w:ascii="黑体" w:hAnsi="黑体" w:eastAsia="黑体"/>
          <w:b w:val="0"/>
        </w:rPr>
        <w:t>入决算情况说明</w:t>
      </w:r>
      <w:bookmarkEnd w:id="32"/>
      <w:bookmarkEnd w:id="33"/>
      <w:bookmarkEnd w:id="34"/>
    </w:p>
    <w:p>
      <w:pPr>
        <w:spacing w:line="600" w:lineRule="exact"/>
        <w:ind w:firstLine="640" w:firstLineChars="200"/>
        <w:outlineLvl w:val="1"/>
        <w:rPr>
          <w:rFonts w:hint="eastAsia" w:ascii="仿宋" w:hAnsi="仿宋" w:eastAsia="仿宋"/>
          <w:color w:val="000000"/>
          <w:sz w:val="32"/>
          <w:szCs w:val="32"/>
        </w:rPr>
      </w:pPr>
      <w:bookmarkStart w:id="35" w:name="_Toc52180076"/>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406.46</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374.10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92.04</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万元，占0</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themeColor="text1"/>
          <w:sz w:val="32"/>
          <w:szCs w:val="32"/>
          <w14:textFill>
            <w14:solidFill>
              <w14:schemeClr w14:val="tx1"/>
            </w14:solidFill>
          </w14:textFill>
        </w:rPr>
        <w:t>上级补助收入0</w:t>
      </w:r>
      <w:r>
        <w:rPr>
          <w:rFonts w:hint="eastAsia" w:ascii="仿宋" w:hAnsi="仿宋" w:eastAsia="仿宋"/>
          <w:color w:val="000000"/>
          <w:sz w:val="32"/>
          <w:szCs w:val="32"/>
        </w:rPr>
        <w:t>万元，占0</w:t>
      </w:r>
      <w:r>
        <w:rPr>
          <w:rFonts w:ascii="仿宋" w:hAnsi="仿宋" w:eastAsia="仿宋"/>
          <w:color w:val="000000"/>
          <w:sz w:val="32"/>
          <w:szCs w:val="32"/>
        </w:rPr>
        <w:t>%</w: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32.36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7.96</w:t>
      </w:r>
      <w:r>
        <w:rPr>
          <w:rFonts w:ascii="仿宋" w:hAnsi="仿宋" w:eastAsia="仿宋"/>
          <w:color w:val="000000"/>
          <w:sz w:val="32"/>
          <w:szCs w:val="32"/>
        </w:rPr>
        <w:t>%</w:t>
      </w:r>
      <w:r>
        <w:rPr>
          <w:rFonts w:hint="eastAsia" w:ascii="仿宋" w:hAnsi="仿宋" w:eastAsia="仿宋"/>
          <w:color w:val="000000"/>
          <w:sz w:val="32"/>
          <w:szCs w:val="32"/>
        </w:rPr>
        <w:t>。</w:t>
      </w:r>
      <w:bookmarkEnd w:id="35"/>
    </w:p>
    <w:p>
      <w:pPr>
        <w:pStyle w:val="2"/>
        <w:jc w:val="center"/>
        <w:rPr>
          <w:rFonts w:hint="eastAsia" w:ascii="仿宋" w:hAnsi="仿宋" w:eastAsia="仿宋"/>
          <w:sz w:val="32"/>
          <w:szCs w:val="32"/>
        </w:rPr>
      </w:pPr>
      <w:r>
        <w:rPr>
          <w:rFonts w:hint="eastAsia" w:ascii="仿宋" w:hAnsi="仿宋" w:eastAsia="仿宋" w:cs="Times New Roman"/>
          <w:kern w:val="0"/>
          <w:sz w:val="32"/>
          <w:szCs w:val="32"/>
          <w:lang w:val="en-US" w:eastAsia="zh-CN" w:bidi="ar-SA"/>
        </w:rPr>
        <w:object>
          <v:shape id="_x0000_i1026" o:spt="75" type="#_x0000_t75" style="height:228.6pt;width:411.15pt;" o:ole="t" filled="f" o:preferrelative="t" stroked="f" coordsize="21600,21600">
            <v:path/>
            <v:fill on="f" focussize="0,0"/>
            <v:stroke on="f"/>
            <v:imagedata r:id="rId9" blacklevel="0f" o:title=""/>
            <o:lock v:ext="edit" aspectratio="t"/>
            <w10:wrap type="none"/>
            <w10:anchorlock/>
          </v:shape>
          <o:OLEObject Type="Embed" ProgID="Excel.Chart.8" ShapeID="_x0000_i1026" DrawAspect="Content" ObjectID="_1468075726" r:id="rId8">
            <o:LockedField>false</o:LockedField>
          </o:OLEObject>
        </w:object>
      </w:r>
      <w:r>
        <w:rPr>
          <w:rFonts w:hint="eastAsia" w:ascii="仿宋" w:hAnsi="仿宋" w:eastAsia="仿宋"/>
          <w:sz w:val="32"/>
          <w:szCs w:val="32"/>
        </w:rPr>
        <w:t>（图2：收入决算结构图）</w:t>
      </w:r>
      <w:bookmarkStart w:id="36" w:name="_Toc15396605"/>
      <w:bookmarkStart w:id="37" w:name="_Toc52180077"/>
      <w:bookmarkStart w:id="38" w:name="_Toc15377207"/>
    </w:p>
    <w:p>
      <w:pPr>
        <w:pStyle w:val="24"/>
        <w:numPr>
          <w:ilvl w:val="0"/>
          <w:numId w:val="0"/>
        </w:numPr>
        <w:spacing w:line="600" w:lineRule="exact"/>
        <w:ind w:left="640" w:leftChars="0"/>
        <w:outlineLvl w:val="1"/>
        <w:rPr>
          <w:rFonts w:hint="eastAsia" w:ascii="黑体" w:hAnsi="黑体" w:eastAsia="黑体" w:cs="Times New Roman"/>
          <w:color w:val="000000"/>
          <w:sz w:val="32"/>
          <w:szCs w:val="32"/>
        </w:rPr>
      </w:pPr>
      <w:r>
        <w:rPr>
          <w:rFonts w:hint="eastAsia" w:ascii="黑体" w:hAnsi="黑体" w:eastAsia="黑体" w:cs="Times New Roman"/>
          <w:color w:val="000000"/>
          <w:sz w:val="32"/>
          <w:szCs w:val="32"/>
          <w:lang w:eastAsia="zh-CN"/>
        </w:rPr>
        <w:t>三、</w:t>
      </w:r>
      <w:r>
        <w:rPr>
          <w:rFonts w:hint="eastAsia" w:ascii="黑体" w:hAnsi="黑体" w:eastAsia="黑体" w:cs="Times New Roman"/>
          <w:color w:val="000000"/>
          <w:sz w:val="32"/>
          <w:szCs w:val="32"/>
        </w:rPr>
        <w:t>支出决算情况说明</w:t>
      </w:r>
      <w:bookmarkEnd w:id="36"/>
      <w:bookmarkEnd w:id="37"/>
      <w:bookmarkEnd w:id="38"/>
    </w:p>
    <w:p>
      <w:pPr>
        <w:spacing w:line="600" w:lineRule="exact"/>
        <w:ind w:firstLine="640" w:firstLineChars="200"/>
        <w:outlineLvl w:val="1"/>
        <w:rPr>
          <w:rFonts w:hint="eastAsia" w:ascii="仿宋" w:hAnsi="仿宋" w:eastAsia="仿宋"/>
          <w:color w:val="000000"/>
          <w:sz w:val="32"/>
          <w:szCs w:val="32"/>
        </w:rPr>
      </w:pPr>
      <w:bookmarkStart w:id="39" w:name="_Toc52180078"/>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396.92</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205.82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51.85</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191.10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48.15</w:t>
      </w:r>
      <w:r>
        <w:rPr>
          <w:rFonts w:ascii="仿宋" w:hAnsi="仿宋" w:eastAsia="仿宋"/>
          <w:color w:val="000000"/>
          <w:sz w:val="32"/>
          <w:szCs w:val="32"/>
        </w:rPr>
        <w:t>%</w:t>
      </w:r>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；对附属单位补助支出0万元，占0</w:t>
      </w:r>
      <w:r>
        <w:rPr>
          <w:rFonts w:ascii="仿宋" w:hAnsi="仿宋" w:eastAsia="仿宋"/>
          <w:color w:val="000000"/>
          <w:sz w:val="32"/>
          <w:szCs w:val="32"/>
        </w:rPr>
        <w:t>%</w:t>
      </w:r>
      <w:r>
        <w:rPr>
          <w:rFonts w:hint="eastAsia" w:ascii="仿宋" w:hAnsi="仿宋" w:eastAsia="仿宋"/>
          <w:color w:val="000000"/>
          <w:sz w:val="32"/>
          <w:szCs w:val="32"/>
        </w:rPr>
        <w:t>。</w:t>
      </w:r>
      <w:bookmarkEnd w:id="39"/>
    </w:p>
    <w:p>
      <w:pPr>
        <w:pStyle w:val="2"/>
        <w:rPr>
          <w:rFonts w:hint="eastAsia" w:ascii="仿宋" w:hAnsi="仿宋" w:eastAsia="仿宋" w:cs="Times New Roman"/>
          <w:kern w:val="0"/>
          <w:sz w:val="32"/>
          <w:szCs w:val="32"/>
          <w:shd w:val="pct10" w:color="auto" w:fill="FFFFFF"/>
          <w:lang w:val="en-US" w:eastAsia="zh-CN" w:bidi="ar-SA"/>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209pt;width:362.55pt;" o:ole="t" filled="f" o:preferrelative="t" stroked="f" coordsize="21600,21600">
            <v:path/>
            <v:fill on="f" focussize="0,0"/>
            <v:stroke on="f"/>
            <v:imagedata r:id="rId11" blacklevel="0f" o:title=""/>
            <o:lock v:ext="edit" aspectratio="t"/>
            <w10:wrap type="none"/>
            <w10:anchorlock/>
          </v:shape>
          <o:OLEObject Type="Embed" ProgID="Excel.Chart.8" ShapeID="_x0000_i1027" DrawAspect="Content" ObjectID="_1468075727" r:id="rId10">
            <o:LockedField>false</o:LockedField>
          </o:OLEObject>
        </w:object>
      </w:r>
    </w:p>
    <w:p>
      <w:pPr>
        <w:pStyle w:val="2"/>
        <w:ind w:firstLine="1920" w:firstLineChars="600"/>
        <w:rPr>
          <w:rFonts w:hint="eastAsia" w:ascii="仿宋" w:hAnsi="仿宋" w:eastAsia="仿宋" w:cs="Times New Roman"/>
          <w:kern w:val="0"/>
          <w:sz w:val="32"/>
          <w:szCs w:val="32"/>
          <w:shd w:val="pct10" w:color="auto" w:fill="FFFFFF"/>
          <w:lang w:val="en-US" w:eastAsia="zh-CN" w:bidi="ar-SA"/>
        </w:rPr>
      </w:pPr>
      <w:r>
        <w:rPr>
          <w:rFonts w:hint="eastAsia" w:ascii="仿宋" w:hAnsi="仿宋" w:eastAsia="仿宋"/>
          <w:sz w:val="32"/>
          <w:szCs w:val="32"/>
        </w:rPr>
        <w:t>（图3：支出决算结构图）</w:t>
      </w:r>
    </w:p>
    <w:p>
      <w:pPr>
        <w:spacing w:line="600" w:lineRule="exact"/>
        <w:ind w:firstLine="640" w:firstLineChars="200"/>
        <w:outlineLvl w:val="1"/>
        <w:rPr>
          <w:rStyle w:val="26"/>
          <w:rFonts w:ascii="黑体" w:hAnsi="黑体" w:eastAsia="黑体"/>
          <w:b w:val="0"/>
        </w:rPr>
      </w:pPr>
      <w:bookmarkStart w:id="40" w:name="_Toc52180079"/>
      <w:bookmarkStart w:id="41" w:name="_Toc15396606"/>
      <w:bookmarkStart w:id="42" w:name="_Toc15377208"/>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40"/>
      <w:bookmarkEnd w:id="41"/>
      <w:bookmarkEnd w:id="42"/>
    </w:p>
    <w:p>
      <w:pPr>
        <w:spacing w:line="600" w:lineRule="exact"/>
        <w:ind w:firstLine="640"/>
        <w:rPr>
          <w:rFonts w:hint="eastAsia" w:ascii="仿宋_GB2312" w:hAnsi="仿宋" w:eastAsia="仿宋_GB2312"/>
          <w:sz w:val="32"/>
          <w:szCs w:val="32"/>
          <w:lang w:val="en-US" w:eastAsia="zh-CN"/>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入总计374.10万元，与2020年307.46万元增加66.64万元，增长21.67%。2021年财政拨款支出总计396.92万元，与2020年312.74万元增加84.18万元，增长26.92%。</w:t>
      </w:r>
      <w:r>
        <w:rPr>
          <w:rFonts w:hint="eastAsia" w:ascii="仿宋" w:hAnsi="仿宋" w:eastAsia="仿宋"/>
          <w:sz w:val="32"/>
          <w:szCs w:val="32"/>
        </w:rPr>
        <w:t>主要变动原因</w:t>
      </w:r>
      <w:r>
        <w:rPr>
          <w:rFonts w:hint="eastAsia" w:ascii="仿宋" w:hAnsi="仿宋" w:eastAsia="仿宋"/>
          <w:color w:val="000000"/>
          <w:sz w:val="32"/>
          <w:szCs w:val="32"/>
        </w:rPr>
        <w:t>是</w:t>
      </w:r>
      <w:r>
        <w:rPr>
          <w:rFonts w:hint="eastAsia" w:ascii="仿宋" w:hAnsi="仿宋" w:eastAsia="仿宋" w:cs="Times New Roman"/>
          <w:sz w:val="32"/>
          <w:szCs w:val="32"/>
        </w:rPr>
        <w:t>有</w:t>
      </w:r>
      <w:r>
        <w:rPr>
          <w:rFonts w:hint="eastAsia" w:ascii="仿宋" w:hAnsi="仿宋" w:eastAsia="仿宋" w:cs="Times New Roman"/>
          <w:sz w:val="32"/>
          <w:szCs w:val="32"/>
          <w:lang w:eastAsia="zh-CN"/>
        </w:rPr>
        <w:t>新进人员增加、新增新冠财政拨款收入以</w:t>
      </w:r>
      <w:r>
        <w:rPr>
          <w:rFonts w:hint="eastAsia" w:ascii="仿宋" w:hAnsi="仿宋" w:eastAsia="仿宋" w:cs="Times New Roman"/>
          <w:sz w:val="32"/>
          <w:szCs w:val="32"/>
          <w:lang w:val="en-US" w:eastAsia="zh-CN"/>
        </w:rPr>
        <w:t>及基本公共卫生服务经费在上年基础</w:t>
      </w:r>
      <w:r>
        <w:rPr>
          <w:rFonts w:hint="eastAsia" w:ascii="仿宋_GB2312" w:hAnsi="仿宋" w:eastAsia="仿宋_GB2312"/>
          <w:sz w:val="32"/>
          <w:szCs w:val="32"/>
          <w:lang w:val="en-US" w:eastAsia="zh-CN"/>
        </w:rPr>
        <w:t>上增加导致财政拨款收支同时增加。</w:t>
      </w:r>
    </w:p>
    <w:p>
      <w:pPr>
        <w:pStyle w:val="2"/>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object>
          <v:shape id="_x0000_i1028" o:spt="75" type="#_x0000_t75" style="height:186.5pt;width:413.55pt;" o:ole="t" filled="f" o:preferrelative="t" stroked="f" coordsize="21600,21600">
            <v:path/>
            <v:fill on="f" focussize="0,0"/>
            <v:stroke on="f"/>
            <v:imagedata r:id="rId13" blacklevel="0f" o:title=""/>
            <o:lock v:ext="edit" aspectratio="t"/>
            <w10:wrap type="none"/>
            <w10:anchorlock/>
          </v:shape>
          <o:OLEObject Type="Embed" ProgID="Excel.Chart.8" ShapeID="_x0000_i1028" DrawAspect="Content" ObjectID="_1468075728" r:id="rId12">
            <o:LockedField>false</o:LockedField>
          </o:OLEObject>
        </w:object>
      </w:r>
    </w:p>
    <w:p>
      <w:pPr>
        <w:pStyle w:val="2"/>
        <w:jc w:val="center"/>
        <w:rPr>
          <w:rFonts w:hint="eastAsia" w:ascii="仿宋" w:hAnsi="仿宋" w:eastAsia="仿宋" w:cs="Times New Roman"/>
          <w:kern w:val="0"/>
          <w:sz w:val="32"/>
          <w:szCs w:val="32"/>
          <w:lang w:val="en-US" w:eastAsia="zh-CN" w:bidi="ar-SA"/>
        </w:rPr>
      </w:pPr>
      <w:r>
        <w:rPr>
          <w:rFonts w:hint="eastAsia" w:ascii="仿宋" w:hAnsi="仿宋" w:eastAsia="仿宋"/>
          <w:sz w:val="32"/>
          <w:szCs w:val="32"/>
        </w:rPr>
        <w:t>（图4：财政拨款收、支决算总计变动情况）</w:t>
      </w:r>
    </w:p>
    <w:p>
      <w:pPr>
        <w:spacing w:line="600" w:lineRule="exact"/>
        <w:ind w:firstLine="640" w:firstLineChars="200"/>
        <w:outlineLvl w:val="1"/>
        <w:rPr>
          <w:rStyle w:val="26"/>
          <w:rFonts w:ascii="黑体" w:hAnsi="黑体" w:eastAsia="黑体"/>
          <w:b w:val="0"/>
        </w:rPr>
      </w:pPr>
      <w:bookmarkStart w:id="43" w:name="_Toc52180080"/>
      <w:bookmarkStart w:id="44" w:name="_Toc15377209"/>
      <w:bookmarkStart w:id="45"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43"/>
      <w:bookmarkEnd w:id="44"/>
      <w:bookmarkEnd w:id="45"/>
    </w:p>
    <w:p>
      <w:pPr>
        <w:spacing w:line="600" w:lineRule="exact"/>
        <w:ind w:firstLine="643" w:firstLineChars="200"/>
        <w:outlineLvl w:val="2"/>
        <w:rPr>
          <w:rFonts w:ascii="仿宋" w:hAnsi="仿宋" w:eastAsia="仿宋"/>
          <w:b/>
          <w:color w:val="000000"/>
          <w:sz w:val="32"/>
          <w:szCs w:val="32"/>
        </w:rPr>
      </w:pPr>
      <w:bookmarkStart w:id="46" w:name="_Toc15377210"/>
      <w:bookmarkStart w:id="47" w:name="_Toc52180081"/>
      <w:r>
        <w:rPr>
          <w:rFonts w:hint="eastAsia" w:ascii="仿宋" w:hAnsi="仿宋" w:eastAsia="仿宋"/>
          <w:b/>
          <w:color w:val="000000"/>
          <w:sz w:val="32"/>
          <w:szCs w:val="32"/>
        </w:rPr>
        <w:t>（一）一般公共预算财政拨款支出决算总体情况</w:t>
      </w:r>
      <w:bookmarkEnd w:id="46"/>
      <w:bookmarkEnd w:id="47"/>
    </w:p>
    <w:p>
      <w:pPr>
        <w:ind w:firstLine="640" w:firstLineChars="200"/>
        <w:rPr>
          <w:rFonts w:hint="eastAsia" w:ascii="仿宋_GB2312" w:hAnsi="仿宋" w:eastAsia="仿宋_GB2312"/>
          <w:sz w:val="32"/>
          <w:szCs w:val="32"/>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396.92</w:t>
      </w:r>
      <w:r>
        <w:rPr>
          <w:rFonts w:hint="eastAsia" w:ascii="仿宋" w:hAnsi="仿宋" w:eastAsia="仿宋"/>
          <w:sz w:val="32"/>
          <w:szCs w:val="32"/>
        </w:rPr>
        <w:t>万元，占本年支出合计的</w:t>
      </w:r>
      <w:r>
        <w:rPr>
          <w:rFonts w:hint="eastAsia" w:ascii="仿宋" w:hAnsi="仿宋" w:eastAsia="仿宋"/>
          <w:sz w:val="32"/>
          <w:szCs w:val="32"/>
          <w:lang w:val="en-US" w:eastAsia="zh-CN"/>
        </w:rPr>
        <w:t>93.77</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w:t>
      </w:r>
      <w:r>
        <w:rPr>
          <w:rFonts w:hint="eastAsia" w:ascii="仿宋" w:hAnsi="仿宋" w:eastAsia="仿宋"/>
          <w:sz w:val="32"/>
          <w:szCs w:val="32"/>
          <w:lang w:val="en-US" w:eastAsia="zh-CN"/>
        </w:rPr>
        <w:t>312.74万元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84.18</w:t>
      </w:r>
      <w:r>
        <w:rPr>
          <w:rFonts w:hint="eastAsia" w:ascii="仿宋" w:hAnsi="仿宋" w:eastAsia="仿宋"/>
          <w:sz w:val="32"/>
          <w:szCs w:val="32"/>
        </w:rPr>
        <w:t>万元，增长</w:t>
      </w:r>
      <w:r>
        <w:rPr>
          <w:rFonts w:hint="eastAsia" w:ascii="仿宋" w:hAnsi="仿宋" w:eastAsia="仿宋"/>
          <w:sz w:val="32"/>
          <w:szCs w:val="32"/>
          <w:lang w:val="en-US" w:eastAsia="zh-CN"/>
        </w:rPr>
        <w:t>26.92</w:t>
      </w:r>
      <w:r>
        <w:rPr>
          <w:rFonts w:ascii="仿宋" w:hAnsi="仿宋" w:eastAsia="仿宋"/>
          <w:sz w:val="32"/>
          <w:szCs w:val="32"/>
        </w:rPr>
        <w:t>%</w:t>
      </w:r>
      <w:r>
        <w:rPr>
          <w:rFonts w:hint="eastAsia" w:ascii="仿宋" w:hAnsi="仿宋" w:eastAsia="仿宋"/>
          <w:sz w:val="32"/>
          <w:szCs w:val="32"/>
        </w:rPr>
        <w:t>。主要变动原因</w:t>
      </w:r>
      <w:r>
        <w:rPr>
          <w:rFonts w:hint="eastAsia" w:ascii="仿宋" w:hAnsi="仿宋" w:eastAsia="仿宋"/>
          <w:color w:val="000000"/>
          <w:sz w:val="32"/>
          <w:szCs w:val="32"/>
        </w:rPr>
        <w:t>是</w:t>
      </w:r>
      <w:r>
        <w:rPr>
          <w:rFonts w:hint="eastAsia" w:ascii="仿宋" w:hAnsi="仿宋" w:eastAsia="仿宋" w:cs="Times New Roman"/>
          <w:sz w:val="32"/>
          <w:szCs w:val="32"/>
        </w:rPr>
        <w:t>有</w:t>
      </w:r>
      <w:r>
        <w:rPr>
          <w:rFonts w:hint="eastAsia" w:ascii="仿宋" w:hAnsi="仿宋" w:eastAsia="仿宋" w:cs="Times New Roman"/>
          <w:sz w:val="32"/>
          <w:szCs w:val="32"/>
          <w:lang w:eastAsia="zh-CN"/>
        </w:rPr>
        <w:t>新进人员增加支出</w:t>
      </w:r>
      <w:r>
        <w:rPr>
          <w:rFonts w:hint="eastAsia" w:ascii="仿宋" w:hAnsi="仿宋" w:eastAsia="仿宋" w:cs="Times New Roman"/>
          <w:sz w:val="32"/>
          <w:szCs w:val="32"/>
          <w:lang w:val="en-US" w:eastAsia="zh-CN"/>
        </w:rPr>
        <w:t>及基本公共</w:t>
      </w:r>
      <w:r>
        <w:rPr>
          <w:rFonts w:hint="eastAsia" w:ascii="仿宋_GB2312" w:hAnsi="仿宋" w:eastAsia="仿宋_GB2312"/>
          <w:sz w:val="32"/>
          <w:szCs w:val="32"/>
          <w:lang w:val="en-US" w:eastAsia="zh-CN"/>
        </w:rPr>
        <w:t>卫生服务经费在上年基础上增加支出。</w:t>
      </w:r>
    </w:p>
    <w:p>
      <w:pPr>
        <w:pStyle w:val="2"/>
        <w:jc w:val="center"/>
        <w:rPr>
          <w:rFonts w:hint="eastAsia"/>
          <w:lang w:val="en-US" w:eastAsia="zh-CN"/>
        </w:rPr>
      </w:pPr>
      <w:r>
        <w:rPr>
          <w:rFonts w:hint="eastAsia" w:ascii="仿宋_GB2312" w:hAnsi="Times New Roman" w:eastAsia="仿宋_GB2312" w:cs="Times New Roman"/>
          <w:kern w:val="0"/>
          <w:sz w:val="30"/>
          <w:szCs w:val="24"/>
          <w:lang w:val="en-US" w:eastAsia="zh-CN" w:bidi="ar-SA"/>
        </w:rPr>
        <w:object>
          <v:shape id="_x0000_i1029" o:spt="75" type="#_x0000_t75" style="height:213.3pt;width:427.65pt;" o:ole="t" filled="f" o:preferrelative="t" stroked="f" coordsize="21600,21600">
            <v:path/>
            <v:fill on="f" focussize="0,0"/>
            <v:stroke on="f"/>
            <v:imagedata r:id="rId15" blacklevel="0f" o:title=""/>
            <o:lock v:ext="edit" aspectratio="t"/>
            <w10:wrap type="none"/>
            <w10:anchorlock/>
          </v:shape>
          <o:OLEObject Type="Embed" ProgID="Excel.Chart.8" ShapeID="_x0000_i1029" DrawAspect="Content" ObjectID="_1468075729" r:id="rId14">
            <o:LockedField>false</o:LockedField>
          </o:OLEObject>
        </w:object>
      </w:r>
      <w:r>
        <w:rPr>
          <w:rFonts w:hint="eastAsia" w:ascii="仿宋" w:hAnsi="仿宋" w:eastAsia="仿宋"/>
          <w:sz w:val="32"/>
          <w:szCs w:val="32"/>
        </w:rPr>
        <w:t>（图5：一般公共预算财政拨款支出决算变动情况）</w:t>
      </w:r>
    </w:p>
    <w:p>
      <w:pPr>
        <w:spacing w:line="600" w:lineRule="exact"/>
        <w:ind w:firstLine="321" w:firstLineChars="100"/>
        <w:outlineLvl w:val="2"/>
        <w:rPr>
          <w:rFonts w:ascii="仿宋" w:hAnsi="仿宋" w:eastAsia="仿宋"/>
          <w:b/>
          <w:color w:val="000000"/>
          <w:sz w:val="32"/>
          <w:szCs w:val="32"/>
        </w:rPr>
      </w:pPr>
      <w:bookmarkStart w:id="48" w:name="_Toc15377211"/>
      <w:bookmarkStart w:id="49" w:name="_Toc52180082"/>
      <w:r>
        <w:rPr>
          <w:rFonts w:hint="eastAsia" w:ascii="仿宋" w:hAnsi="仿宋" w:eastAsia="仿宋"/>
          <w:b/>
          <w:color w:val="000000"/>
          <w:sz w:val="32"/>
          <w:szCs w:val="32"/>
        </w:rPr>
        <w:t>（二）一般公共预算财政拨款支出决算结构情况</w:t>
      </w:r>
      <w:bookmarkEnd w:id="48"/>
      <w:bookmarkEnd w:id="49"/>
    </w:p>
    <w:p>
      <w:pPr>
        <w:jc w:val="center"/>
        <w:rPr>
          <w:rFonts w:ascii="仿宋" w:hAnsi="仿宋" w:eastAsia="仿宋"/>
          <w:b/>
          <w:color w:val="000000" w:themeColor="text1"/>
          <w:sz w:val="32"/>
          <w:szCs w:val="32"/>
          <w14:textFill>
            <w14:solidFill>
              <w14:schemeClr w14:val="tx1"/>
            </w14:solidFill>
          </w14:textFill>
        </w:rPr>
      </w:pPr>
      <w:r>
        <w:rPr>
          <w:rFonts w:hint="eastAsia" w:ascii="仿宋" w:hAnsi="仿宋" w:eastAsia="仿宋"/>
          <w:color w:val="000000"/>
          <w:sz w:val="32"/>
          <w:szCs w:val="32"/>
          <w:lang w:val="en-US" w:eastAsia="zh-CN"/>
        </w:rPr>
        <w:t xml:space="preserve">    </w:t>
      </w: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s="Times New Roman"/>
          <w:sz w:val="32"/>
          <w:szCs w:val="32"/>
          <w:lang w:eastAsia="zh-CN"/>
        </w:rPr>
        <w:t>年一般公共预算财政拨款支出</w:t>
      </w:r>
      <w:r>
        <w:rPr>
          <w:rFonts w:hint="eastAsia" w:ascii="仿宋" w:hAnsi="仿宋" w:eastAsia="仿宋" w:cs="Times New Roman"/>
          <w:sz w:val="32"/>
          <w:szCs w:val="32"/>
          <w:lang w:val="en-US" w:eastAsia="zh-CN"/>
        </w:rPr>
        <w:t>396.92</w:t>
      </w:r>
      <w:r>
        <w:rPr>
          <w:rFonts w:hint="eastAsia" w:ascii="仿宋" w:hAnsi="仿宋" w:eastAsia="仿宋" w:cs="Times New Roman"/>
          <w:sz w:val="32"/>
          <w:szCs w:val="32"/>
          <w:lang w:eastAsia="zh-CN"/>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一般公共服务（类）</w:t>
      </w:r>
      <w:r>
        <w:rPr>
          <w:rFonts w:hint="eastAsia" w:ascii="仿宋" w:hAnsi="仿宋" w:eastAsia="仿宋" w:cs="Times New Roman"/>
          <w:sz w:val="32"/>
          <w:szCs w:val="32"/>
          <w:lang w:eastAsia="zh-CN"/>
        </w:rPr>
        <w:t>支出0万元</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14:textFill>
            <w14:solidFill>
              <w14:schemeClr w14:val="tx1"/>
            </w14:solidFill>
          </w14:textFill>
        </w:rPr>
        <w:t>0万元，占0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科学技术（类）</w:t>
      </w:r>
      <w:r>
        <w:rPr>
          <w:rFonts w:hint="eastAsia" w:ascii="仿宋" w:hAnsi="仿宋" w:eastAsia="仿宋"/>
          <w:color w:val="000000" w:themeColor="text1"/>
          <w:sz w:val="32"/>
          <w:szCs w:val="32"/>
          <w14:textFill>
            <w14:solidFill>
              <w14:schemeClr w14:val="tx1"/>
            </w14:solidFill>
          </w14:textFill>
        </w:rPr>
        <w:t>支出0万元，占0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文化旅游体育与传媒（类）支出0万元，占0</w:t>
      </w:r>
      <w:r>
        <w:rPr>
          <w:rFonts w:ascii="仿宋" w:hAnsi="仿宋" w:eastAsia="仿宋"/>
          <w:b/>
          <w:bCs/>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19.55</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4.93</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卫生健康支出</w:t>
      </w:r>
      <w:r>
        <w:rPr>
          <w:rFonts w:hint="eastAsia" w:ascii="仿宋" w:hAnsi="仿宋" w:eastAsia="仿宋"/>
          <w:color w:val="000000" w:themeColor="text1"/>
          <w:sz w:val="32"/>
          <w:szCs w:val="32"/>
          <w:lang w:val="en-US" w:eastAsia="zh-CN"/>
          <w14:textFill>
            <w14:solidFill>
              <w14:schemeClr w14:val="tx1"/>
            </w14:solidFill>
          </w14:textFill>
        </w:rPr>
        <w:t>358.57</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90.34</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；住房保障支出</w:t>
      </w:r>
      <w:r>
        <w:rPr>
          <w:rFonts w:hint="eastAsia" w:ascii="仿宋" w:hAnsi="仿宋" w:eastAsia="仿宋"/>
          <w:color w:val="000000" w:themeColor="text1"/>
          <w:sz w:val="32"/>
          <w:szCs w:val="32"/>
          <w:lang w:val="en-US" w:eastAsia="zh-CN"/>
          <w14:textFill>
            <w14:solidFill>
              <w14:schemeClr w14:val="tx1"/>
            </w14:solidFill>
          </w14:textFill>
        </w:rPr>
        <w:t>18.80</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5.24</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r>
        <w:rPr>
          <w:rFonts w:hint="eastAsia" w:ascii="仿宋" w:hAnsi="仿宋" w:eastAsia="仿宋" w:cs="Times New Roman"/>
          <w:kern w:val="0"/>
          <w:sz w:val="32"/>
          <w:szCs w:val="32"/>
          <w:lang w:val="en-US" w:eastAsia="zh-CN" w:bidi="ar-SA"/>
        </w:rPr>
        <w:object>
          <v:shape id="_x0000_i1030" o:spt="75" type="#_x0000_t75" style="height:280.85pt;width:429.35pt;" o:ole="t" filled="f" o:preferrelative="t" stroked="f" coordsize="21600,21600">
            <v:path/>
            <v:fill on="f" focussize="0,0"/>
            <v:stroke on="f"/>
            <v:imagedata r:id="rId17" blacklevel="0f" o:title=""/>
            <o:lock v:ext="edit" aspectratio="t"/>
            <w10:wrap type="none"/>
            <w10:anchorlock/>
          </v:shape>
          <o:OLEObject Type="Embed" ProgID="Excel.Chart.8" ShapeID="_x0000_i1030" DrawAspect="Content" ObjectID="_1468075730" r:id="rId16">
            <o:LockedField>false</o:LockedField>
          </o:OLEObject>
        </w:object>
      </w: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color w:val="000000"/>
          <w:sz w:val="32"/>
          <w:szCs w:val="32"/>
        </w:rPr>
      </w:pPr>
      <w:bookmarkStart w:id="50" w:name="_Toc52180083"/>
      <w:bookmarkStart w:id="51" w:name="_Toc15377212"/>
      <w:r>
        <w:rPr>
          <w:rFonts w:hint="eastAsia" w:ascii="仿宋" w:hAnsi="仿宋" w:eastAsia="仿宋"/>
          <w:b/>
          <w:color w:val="000000"/>
          <w:sz w:val="32"/>
          <w:szCs w:val="32"/>
        </w:rPr>
        <w:t>（三）一般公共预算财政拨款支出决算具体情况</w:t>
      </w:r>
      <w:bookmarkEnd w:id="50"/>
      <w:bookmarkEnd w:id="51"/>
    </w:p>
    <w:p>
      <w:pPr>
        <w:spacing w:line="600" w:lineRule="exact"/>
        <w:ind w:firstLine="643" w:firstLineChars="200"/>
        <w:outlineLvl w:val="2"/>
        <w:rPr>
          <w:rFonts w:ascii="仿宋" w:hAnsi="仿宋" w:eastAsia="仿宋"/>
          <w:color w:val="FF0000"/>
          <w:sz w:val="32"/>
          <w:szCs w:val="32"/>
        </w:rPr>
      </w:pPr>
      <w:bookmarkStart w:id="52" w:name="_Toc15377213"/>
      <w:bookmarkStart w:id="53" w:name="_Toc15377444"/>
      <w:bookmarkStart w:id="54" w:name="_Toc52180084"/>
      <w:bookmarkStart w:id="55" w:name="_Toc15378460"/>
      <w:r>
        <w:rPr>
          <w:rFonts w:hint="eastAsia" w:ascii="仿宋" w:hAnsi="仿宋" w:eastAsia="仿宋"/>
          <w:b/>
          <w:color w:val="000000" w:themeColor="text1"/>
          <w:sz w:val="32"/>
          <w:szCs w:val="32"/>
          <w14:textFill>
            <w14:solidFill>
              <w14:schemeClr w14:val="tx1"/>
            </w14:solidFill>
          </w14:textFill>
        </w:rPr>
        <w:t>202</w:t>
      </w: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年一般公共预算支出决算数为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396.92</w:t>
      </w:r>
      <w:r>
        <w:rPr>
          <w:rFonts w:hint="eastAsia" w:ascii="仿宋" w:hAnsi="仿宋" w:eastAsia="仿宋"/>
          <w:b/>
          <w:color w:val="000000" w:themeColor="text1"/>
          <w:sz w:val="32"/>
          <w:szCs w:val="32"/>
          <w14:textFill>
            <w14:solidFill>
              <w14:schemeClr w14:val="tx1"/>
            </w14:solidFill>
          </w14:textFill>
        </w:rPr>
        <w:t>万元</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52"/>
      <w:bookmarkEnd w:id="53"/>
      <w:bookmarkEnd w:id="54"/>
      <w:bookmarkEnd w:id="55"/>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rPr>
        <w:t>1.社会保障和就业支出（类）行政事业单位养老支出（款）机关事业单位基本养老保险缴费支出（项）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19.55</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rPr>
        <w:t>2.卫生健康支出（类）基层医疗卫生机构（款）乡镇卫生院（项）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201.35</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rPr>
        <w:t>3.卫生健康支出（类）基层医疗卫生机构（款）其他基层医疗卫生机构支出（项）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24.70</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rPr>
        <w:t>4.卫生健康支出（类）公共卫生（款）基本公共卫生服务（项）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108.21</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rPr>
        <w:t>5.卫生健康支出（类）公共卫生（款）重大公共卫生服务（项）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10.65</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lang w:val="en-US" w:eastAsia="zh-CN"/>
        </w:rPr>
        <w:t>6</w:t>
      </w:r>
      <w:r>
        <w:rPr>
          <w:rStyle w:val="15"/>
          <w:rFonts w:hint="eastAsia" w:ascii="仿宋" w:hAnsi="仿宋" w:eastAsia="仿宋" w:cs="黑体"/>
          <w:b/>
          <w:bCs w:val="0"/>
          <w:sz w:val="32"/>
          <w:szCs w:val="32"/>
        </w:rPr>
        <w:t>.卫生健康支出（类）行政事业单位医疗（款）事业单位医疗（项）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9.75</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lang w:val="en-US" w:eastAsia="zh-CN"/>
        </w:rPr>
        <w:t>7</w:t>
      </w:r>
      <w:r>
        <w:rPr>
          <w:rStyle w:val="15"/>
          <w:rFonts w:hint="eastAsia" w:ascii="仿宋" w:hAnsi="仿宋" w:eastAsia="仿宋" w:cs="黑体"/>
          <w:b/>
          <w:bCs w:val="0"/>
          <w:sz w:val="32"/>
          <w:szCs w:val="32"/>
        </w:rPr>
        <w:t>.卫生健康支出（类）行政事业单位医疗（款）公务员医疗补助（项）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1.73</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lang w:val="en-US" w:eastAsia="zh-CN"/>
        </w:rPr>
        <w:t>8</w:t>
      </w:r>
      <w:r>
        <w:rPr>
          <w:rStyle w:val="15"/>
          <w:rFonts w:hint="eastAsia" w:ascii="仿宋" w:hAnsi="仿宋" w:eastAsia="仿宋" w:cs="黑体"/>
          <w:b/>
          <w:bCs w:val="0"/>
          <w:sz w:val="32"/>
          <w:szCs w:val="32"/>
        </w:rPr>
        <w:t>.卫生健康支出（类）其他卫生健康支出（款）其他卫生健康支出（项）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2.18</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spacing w:line="600" w:lineRule="exact"/>
        <w:ind w:firstLine="643" w:firstLineChars="200"/>
        <w:rPr>
          <w:rStyle w:val="15"/>
          <w:rFonts w:hint="eastAsia" w:ascii="仿宋" w:hAnsi="仿宋" w:eastAsia="仿宋" w:cs="黑体"/>
          <w:b w:val="0"/>
          <w:bCs/>
          <w:sz w:val="32"/>
          <w:szCs w:val="32"/>
        </w:rPr>
      </w:pPr>
      <w:r>
        <w:rPr>
          <w:rStyle w:val="15"/>
          <w:rFonts w:hint="eastAsia" w:ascii="仿宋" w:hAnsi="仿宋" w:eastAsia="仿宋" w:cs="黑体"/>
          <w:b/>
          <w:bCs w:val="0"/>
          <w:sz w:val="32"/>
          <w:szCs w:val="32"/>
          <w:lang w:val="en-US" w:eastAsia="zh-CN"/>
        </w:rPr>
        <w:t>9</w:t>
      </w:r>
      <w:r>
        <w:rPr>
          <w:rStyle w:val="15"/>
          <w:rFonts w:hint="eastAsia" w:ascii="仿宋" w:hAnsi="仿宋" w:eastAsia="仿宋" w:cs="黑体"/>
          <w:b/>
          <w:bCs w:val="0"/>
          <w:sz w:val="32"/>
          <w:szCs w:val="32"/>
        </w:rPr>
        <w:t>.住房保障支出（类）住房改革支出（款）住房公积金（项）</w:t>
      </w:r>
      <w:r>
        <w:rPr>
          <w:rStyle w:val="15"/>
          <w:rFonts w:hint="eastAsia" w:ascii="仿宋" w:hAnsi="仿宋" w:eastAsia="仿宋" w:cs="黑体"/>
          <w:b w:val="0"/>
          <w:bCs/>
          <w:sz w:val="32"/>
          <w:szCs w:val="32"/>
        </w:rPr>
        <w:t>:支出决算为</w:t>
      </w:r>
      <w:r>
        <w:rPr>
          <w:rStyle w:val="15"/>
          <w:rFonts w:hint="eastAsia" w:ascii="仿宋" w:hAnsi="仿宋" w:eastAsia="仿宋" w:cs="黑体"/>
          <w:b w:val="0"/>
          <w:bCs/>
          <w:sz w:val="32"/>
          <w:szCs w:val="32"/>
          <w:lang w:val="en-US" w:eastAsia="zh-CN"/>
        </w:rPr>
        <w:t>18.80</w:t>
      </w:r>
      <w:r>
        <w:rPr>
          <w:rStyle w:val="15"/>
          <w:rFonts w:hint="eastAsia" w:ascii="仿宋" w:hAnsi="仿宋" w:eastAsia="仿宋" w:cs="黑体"/>
          <w:b w:val="0"/>
          <w:bCs/>
          <w:sz w:val="32"/>
          <w:szCs w:val="32"/>
        </w:rPr>
        <w:t>万元，完成预算</w:t>
      </w:r>
      <w:r>
        <w:rPr>
          <w:rStyle w:val="15"/>
          <w:rFonts w:hint="eastAsia" w:ascii="仿宋" w:hAnsi="仿宋" w:eastAsia="仿宋" w:cs="黑体"/>
          <w:b w:val="0"/>
          <w:bCs/>
          <w:sz w:val="32"/>
          <w:szCs w:val="32"/>
          <w:lang w:val="en-US" w:eastAsia="zh-CN"/>
        </w:rPr>
        <w:t>100</w:t>
      </w:r>
      <w:r>
        <w:rPr>
          <w:rStyle w:val="15"/>
          <w:rFonts w:hint="eastAsia" w:ascii="仿宋" w:hAnsi="仿宋" w:eastAsia="仿宋" w:cs="黑体"/>
          <w:b w:val="0"/>
          <w:bCs/>
          <w:sz w:val="32"/>
          <w:szCs w:val="32"/>
        </w:rPr>
        <w:t>%，决算数等于预算数。</w:t>
      </w:r>
    </w:p>
    <w:p>
      <w:pPr>
        <w:tabs>
          <w:tab w:val="right" w:pos="8306"/>
        </w:tabs>
        <w:spacing w:line="600" w:lineRule="exact"/>
        <w:ind w:firstLine="640" w:firstLineChars="200"/>
        <w:outlineLvl w:val="1"/>
        <w:rPr>
          <w:rStyle w:val="26"/>
        </w:rPr>
      </w:pPr>
      <w:bookmarkStart w:id="56" w:name="_Toc15396608"/>
      <w:bookmarkStart w:id="57" w:name="_Toc15377214"/>
      <w:bookmarkStart w:id="58" w:name="_Toc52180085"/>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56"/>
      <w:bookmarkEnd w:id="57"/>
      <w:bookmarkEnd w:id="58"/>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年一般公共预算财政拨款基本支出</w:t>
      </w:r>
      <w:r>
        <w:rPr>
          <w:rFonts w:hint="eastAsia" w:ascii="仿宋" w:hAnsi="仿宋" w:eastAsia="仿宋"/>
          <w:color w:val="000000"/>
          <w:sz w:val="32"/>
          <w:szCs w:val="32"/>
          <w:lang w:val="en-US" w:eastAsia="zh-CN"/>
        </w:rPr>
        <w:t>205.82</w:t>
      </w:r>
      <w:r>
        <w:rPr>
          <w:rFonts w:hint="eastAsia" w:ascii="仿宋" w:hAnsi="仿宋" w:eastAsia="仿宋"/>
          <w:color w:val="000000"/>
          <w:sz w:val="32"/>
          <w:szCs w:val="32"/>
        </w:rPr>
        <w:t>万元，其中：</w:t>
      </w:r>
    </w:p>
    <w:p>
      <w:pPr>
        <w:spacing w:line="600" w:lineRule="exact"/>
        <w:ind w:firstLine="645"/>
        <w:rPr>
          <w:rFonts w:hint="eastAsia" w:ascii="仿宋" w:hAnsi="仿宋" w:eastAsia="仿宋"/>
          <w:color w:val="000000"/>
          <w:sz w:val="32"/>
          <w:szCs w:val="32"/>
          <w:lang w:eastAsia="zh-CN"/>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205.82</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540" w:lineRule="exact"/>
        <w:rPr>
          <w:rFonts w:eastAsia="仿宋_GB2312"/>
          <w:sz w:val="32"/>
          <w:szCs w:val="32"/>
        </w:rPr>
      </w:pPr>
      <w:r>
        <w:rPr>
          <w:rFonts w:hint="eastAsia" w:ascii="仿宋" w:hAnsi="仿宋" w:eastAsia="仿宋"/>
          <w:color w:val="000000"/>
          <w:sz w:val="32"/>
          <w:szCs w:val="32"/>
        </w:rPr>
        <w:t>　　</w:t>
      </w:r>
      <w:r>
        <w:rPr>
          <w:rFonts w:eastAsia="仿宋_GB2312"/>
          <w:sz w:val="32"/>
          <w:szCs w:val="32"/>
        </w:rPr>
        <w:t>　日常公用经费</w:t>
      </w:r>
      <w:r>
        <w:rPr>
          <w:rFonts w:hint="eastAsia" w:eastAsia="仿宋_GB2312"/>
          <w:sz w:val="32"/>
          <w:szCs w:val="32"/>
          <w:lang w:val="en-US" w:eastAsia="zh-CN"/>
        </w:rPr>
        <w:t>191.10</w:t>
      </w:r>
      <w:r>
        <w:rPr>
          <w:rFonts w:eastAsia="仿宋_GB2312"/>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6"/>
          <w:rFonts w:ascii="黑体" w:hAnsi="黑体" w:eastAsia="黑体"/>
          <w:b w:val="0"/>
        </w:rPr>
      </w:pPr>
      <w:bookmarkStart w:id="59" w:name="_Toc15377215"/>
      <w:bookmarkStart w:id="60" w:name="_Toc52180086"/>
      <w:bookmarkStart w:id="61" w:name="_Toc15396609"/>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9"/>
      <w:bookmarkEnd w:id="60"/>
      <w:bookmarkEnd w:id="61"/>
    </w:p>
    <w:p>
      <w:pPr>
        <w:spacing w:line="600" w:lineRule="exact"/>
        <w:ind w:firstLine="640"/>
        <w:outlineLvl w:val="2"/>
        <w:rPr>
          <w:rFonts w:ascii="仿宋" w:hAnsi="仿宋" w:eastAsia="仿宋"/>
          <w:b/>
          <w:color w:val="000000"/>
          <w:sz w:val="32"/>
          <w:szCs w:val="32"/>
        </w:rPr>
      </w:pPr>
      <w:bookmarkStart w:id="62" w:name="_Toc52180087"/>
      <w:bookmarkStart w:id="63" w:name="_Toc15377216"/>
      <w:r>
        <w:rPr>
          <w:rFonts w:hint="eastAsia" w:ascii="仿宋" w:hAnsi="仿宋" w:eastAsia="仿宋"/>
          <w:b/>
          <w:color w:val="000000"/>
          <w:sz w:val="32"/>
          <w:szCs w:val="32"/>
        </w:rPr>
        <w:t>（一）“三公”经费财政拨款支出决算总体情况说明</w:t>
      </w:r>
      <w:bookmarkEnd w:id="62"/>
      <w:bookmarkEnd w:id="63"/>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年“三公”经费财政拨款支出决算为0万元，完成预算0</w:t>
      </w:r>
      <w:r>
        <w:rPr>
          <w:rFonts w:ascii="仿宋" w:hAnsi="仿宋" w:eastAsia="仿宋"/>
          <w:color w:val="000000"/>
          <w:sz w:val="32"/>
          <w:szCs w:val="32"/>
        </w:rPr>
        <w:t>%</w:t>
      </w:r>
      <w:r>
        <w:rPr>
          <w:rFonts w:hint="eastAsia" w:ascii="仿宋" w:hAnsi="仿宋" w:eastAsia="仿宋"/>
          <w:color w:val="000000"/>
          <w:sz w:val="32"/>
          <w:szCs w:val="32"/>
        </w:rPr>
        <w:t>，未纳入预算。</w:t>
      </w:r>
    </w:p>
    <w:p>
      <w:pPr>
        <w:spacing w:line="600" w:lineRule="exact"/>
        <w:ind w:firstLine="640"/>
        <w:outlineLvl w:val="2"/>
        <w:rPr>
          <w:rFonts w:ascii="仿宋" w:hAnsi="仿宋" w:eastAsia="仿宋"/>
          <w:b/>
          <w:color w:val="000000"/>
          <w:sz w:val="32"/>
          <w:szCs w:val="32"/>
        </w:rPr>
      </w:pPr>
      <w:bookmarkStart w:id="64" w:name="_Toc15377217"/>
      <w:bookmarkStart w:id="65" w:name="_Toc52180088"/>
      <w:r>
        <w:rPr>
          <w:rFonts w:hint="eastAsia" w:ascii="仿宋" w:hAnsi="仿宋" w:eastAsia="仿宋"/>
          <w:b/>
          <w:color w:val="000000"/>
          <w:sz w:val="32"/>
          <w:szCs w:val="32"/>
        </w:rPr>
        <w:t>（二）“三公”经费财政拨款支出决算具体情况说明</w:t>
      </w:r>
      <w:bookmarkEnd w:id="64"/>
      <w:bookmarkEnd w:id="65"/>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；公务用车购置及运行维护费支出决算0万元，占0</w:t>
      </w:r>
      <w:r>
        <w:rPr>
          <w:rFonts w:ascii="仿宋" w:hAnsi="仿宋" w:eastAsia="仿宋"/>
          <w:color w:val="000000"/>
          <w:sz w:val="32"/>
          <w:szCs w:val="32"/>
        </w:rPr>
        <w:t>%</w:t>
      </w:r>
      <w:r>
        <w:rPr>
          <w:rFonts w:hint="eastAsia" w:ascii="仿宋" w:hAnsi="仿宋" w:eastAsia="仿宋"/>
          <w:color w:val="000000"/>
          <w:sz w:val="32"/>
          <w:szCs w:val="32"/>
        </w:rPr>
        <w:t>；公务接待费支出决算0万元，占0</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全年安排因公出国（境）团组0次，出国（境）0人。因公出国（境）支出决算与</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年持平。</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w:t>
      </w:r>
      <w:r>
        <w:rPr>
          <w:rFonts w:hint="eastAsia" w:ascii="仿宋_GB2312" w:eastAsia="仿宋_GB2312"/>
          <w:color w:val="000000"/>
          <w:sz w:val="32"/>
          <w:szCs w:val="32"/>
          <w:lang w:eastAsia="zh-CN"/>
        </w:rPr>
        <w:t>与</w:t>
      </w:r>
      <w:r>
        <w:rPr>
          <w:rFonts w:hint="eastAsia" w:ascii="仿宋_GB2312" w:eastAsia="仿宋_GB2312"/>
          <w:color w:val="000000"/>
          <w:sz w:val="32"/>
          <w:szCs w:val="32"/>
          <w:lang w:val="en-US" w:eastAsia="zh-CN"/>
        </w:rPr>
        <w:t>2020年持平，</w:t>
      </w:r>
      <w:r>
        <w:rPr>
          <w:rFonts w:hint="eastAsia" w:ascii="仿宋_GB2312" w:eastAsia="仿宋_GB2312"/>
          <w:color w:val="000000"/>
          <w:sz w:val="32"/>
          <w:szCs w:val="32"/>
        </w:rPr>
        <w:t>主要原因是公务用车已报废，未产生公务用车运行维护费。</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万元。全年按规定更新购置公务用车0辆，金额0</w:t>
      </w:r>
      <w:r>
        <w:rPr>
          <w:rFonts w:hint="eastAsia" w:ascii="仿宋_GB2312" w:eastAsia="仿宋_GB2312"/>
          <w:color w:val="000000"/>
          <w:sz w:val="32"/>
          <w:szCs w:val="32"/>
          <w:lang w:eastAsia="zh-CN"/>
        </w:rPr>
        <w:t>万</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月底，单位共有公务用车0辆，其中：主要领导干部用车0辆、机要通信用车0辆、应急保障用车0辆、 执法执勤用车0辆。</w:t>
      </w:r>
    </w:p>
    <w:p>
      <w:pPr>
        <w:spacing w:line="600" w:lineRule="exact"/>
        <w:ind w:firstLine="640"/>
        <w:rPr>
          <w:rFonts w:hint="eastAsia"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0万元。</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w:t>
      </w:r>
      <w:r>
        <w:rPr>
          <w:rFonts w:hint="eastAsia" w:ascii="仿宋_GB2312" w:eastAsia="仿宋_GB2312"/>
          <w:color w:val="000000"/>
          <w:sz w:val="32"/>
          <w:szCs w:val="32"/>
          <w:lang w:eastAsia="zh-CN"/>
        </w:rPr>
        <w:t>与</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持平。主要原因是未产生公务接待。</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w:t>
      </w:r>
      <w:r>
        <w:rPr>
          <w:rFonts w:hint="eastAsia" w:ascii="仿宋_GB2312" w:eastAsia="仿宋_GB2312"/>
          <w:color w:val="000000"/>
          <w:sz w:val="32"/>
          <w:szCs w:val="32"/>
        </w:rPr>
        <w:t>万元，国内公务接待0批次，0人次（不包括陪同人员），共计支出0万元，</w:t>
      </w:r>
    </w:p>
    <w:p>
      <w:pPr>
        <w:spacing w:line="60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，外事接待0批次，0人，共计支出0万元</w:t>
      </w:r>
      <w:r>
        <w:rPr>
          <w:rFonts w:hint="eastAsia" w:ascii="仿宋_GB2312" w:eastAsia="仿宋_GB2312"/>
          <w:color w:val="000000" w:themeColor="text1"/>
          <w:sz w:val="32"/>
          <w:szCs w:val="32"/>
          <w:lang w:eastAsia="zh-CN"/>
          <w14:textFill>
            <w14:solidFill>
              <w14:schemeClr w14:val="tx1"/>
            </w14:solidFill>
          </w14:textFill>
        </w:rPr>
        <w:t>。</w:t>
      </w:r>
    </w:p>
    <w:p>
      <w:pPr>
        <w:spacing w:line="600" w:lineRule="exact"/>
        <w:ind w:firstLine="640"/>
        <w:outlineLvl w:val="1"/>
        <w:rPr>
          <w:rFonts w:ascii="黑体" w:eastAsia="黑体"/>
          <w:color w:val="000000"/>
          <w:sz w:val="32"/>
          <w:szCs w:val="32"/>
        </w:rPr>
      </w:pPr>
      <w:bookmarkStart w:id="66" w:name="_Toc15377218"/>
      <w:bookmarkStart w:id="67" w:name="_Toc15396610"/>
    </w:p>
    <w:p>
      <w:pPr>
        <w:spacing w:line="600" w:lineRule="exact"/>
        <w:ind w:firstLine="640"/>
        <w:outlineLvl w:val="1"/>
        <w:rPr>
          <w:rStyle w:val="26"/>
          <w:rFonts w:ascii="黑体" w:hAnsi="黑体" w:eastAsia="黑体"/>
        </w:rPr>
      </w:pPr>
      <w:bookmarkStart w:id="68" w:name="_Toc52180089"/>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66"/>
      <w:bookmarkEnd w:id="67"/>
      <w:bookmarkEnd w:id="68"/>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年政府性基金预算拨款支出0万元。</w:t>
      </w:r>
    </w:p>
    <w:p>
      <w:pPr>
        <w:spacing w:line="600" w:lineRule="exact"/>
        <w:ind w:firstLine="640"/>
        <w:rPr>
          <w:rFonts w:ascii="仿宋_GB2312" w:eastAsia="仿宋_GB2312"/>
          <w:color w:val="000000"/>
          <w:sz w:val="32"/>
          <w:szCs w:val="32"/>
        </w:rPr>
      </w:pPr>
    </w:p>
    <w:p>
      <w:pPr>
        <w:numPr>
          <w:ilvl w:val="0"/>
          <w:numId w:val="2"/>
        </w:numPr>
        <w:spacing w:line="600" w:lineRule="exact"/>
        <w:ind w:firstLine="640"/>
        <w:outlineLvl w:val="1"/>
        <w:rPr>
          <w:rStyle w:val="26"/>
          <w:rFonts w:ascii="黑体" w:hAnsi="黑体" w:eastAsia="黑体"/>
          <w:b w:val="0"/>
        </w:rPr>
      </w:pPr>
      <w:bookmarkStart w:id="69" w:name="_Toc52180090"/>
      <w:bookmarkStart w:id="70" w:name="_Toc15396611"/>
      <w:bookmarkStart w:id="71" w:name="_Toc15377219"/>
      <w:r>
        <w:rPr>
          <w:rStyle w:val="26"/>
          <w:rFonts w:hint="eastAsia" w:ascii="黑体" w:hAnsi="黑体" w:eastAsia="黑体"/>
          <w:b w:val="0"/>
        </w:rPr>
        <w:t>国有资本经营预算支出决算情况说明</w:t>
      </w:r>
      <w:bookmarkEnd w:id="69"/>
      <w:bookmarkEnd w:id="70"/>
      <w:bookmarkEnd w:id="71"/>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年国有资本经营预算拨款支出0万元。</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6"/>
          <w:rFonts w:ascii="黑体" w:hAnsi="黑体" w:eastAsia="黑体"/>
        </w:rPr>
      </w:pPr>
      <w:bookmarkStart w:id="72" w:name="_Toc15377221"/>
      <w:bookmarkStart w:id="73" w:name="_Toc52180091"/>
      <w:bookmarkStart w:id="74" w:name="_Toc15396612"/>
      <w:r>
        <w:rPr>
          <w:rFonts w:hint="eastAsia" w:ascii="黑体" w:hAnsi="黑体" w:eastAsia="黑体"/>
          <w:color w:val="000000"/>
          <w:sz w:val="32"/>
          <w:szCs w:val="32"/>
        </w:rPr>
        <w:t>十</w:t>
      </w:r>
      <w:r>
        <w:rPr>
          <w:rStyle w:val="26"/>
          <w:rFonts w:hint="eastAsia" w:ascii="黑体" w:hAnsi="黑体" w:eastAsia="黑体"/>
        </w:rPr>
        <w:t>、</w:t>
      </w:r>
      <w:r>
        <w:rPr>
          <w:rStyle w:val="26"/>
          <w:rFonts w:hint="eastAsia" w:ascii="黑体" w:hAnsi="黑体" w:eastAsia="黑体"/>
          <w:b w:val="0"/>
        </w:rPr>
        <w:t>其他重要事项的情况说明</w:t>
      </w:r>
      <w:bookmarkEnd w:id="72"/>
      <w:bookmarkEnd w:id="73"/>
      <w:bookmarkEnd w:id="74"/>
    </w:p>
    <w:p>
      <w:pPr>
        <w:spacing w:line="600" w:lineRule="exact"/>
        <w:ind w:firstLine="643" w:firstLineChars="200"/>
        <w:outlineLvl w:val="2"/>
        <w:rPr>
          <w:rFonts w:ascii="仿宋" w:hAnsi="仿宋" w:eastAsia="仿宋"/>
          <w:color w:val="000000"/>
          <w:sz w:val="32"/>
          <w:szCs w:val="32"/>
        </w:rPr>
      </w:pPr>
      <w:bookmarkStart w:id="75" w:name="_Toc15377222"/>
      <w:bookmarkStart w:id="76" w:name="_Toc52180092"/>
      <w:r>
        <w:rPr>
          <w:rFonts w:hint="eastAsia" w:ascii="仿宋" w:hAnsi="仿宋" w:eastAsia="仿宋"/>
          <w:b/>
          <w:color w:val="000000"/>
          <w:sz w:val="32"/>
          <w:szCs w:val="32"/>
        </w:rPr>
        <w:t>（一）机关运行经费支出情况</w:t>
      </w:r>
      <w:bookmarkEnd w:id="75"/>
      <w:bookmarkEnd w:id="76"/>
    </w:p>
    <w:p>
      <w:pPr>
        <w:spacing w:line="60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年，盐边县红果中心卫生院运行经费支出0万元。与</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年决算数持平。</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7" w:name="_Toc15377223"/>
      <w:bookmarkStart w:id="78" w:name="_Toc52180093"/>
      <w:r>
        <w:rPr>
          <w:rFonts w:hint="eastAsia" w:ascii="仿宋" w:hAnsi="仿宋" w:eastAsia="仿宋"/>
          <w:b/>
          <w:color w:val="000000"/>
          <w:sz w:val="32"/>
          <w:szCs w:val="32"/>
        </w:rPr>
        <w:t>（二）政府采购支出情况</w:t>
      </w:r>
      <w:bookmarkEnd w:id="77"/>
      <w:bookmarkEnd w:id="78"/>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年，政府采购支出总额0万元，其中：政府采购货物支出0万元、政府采购工程支出0万元、政府采购服务支出0万元。授予中小企业合同金额0万元，占政府采购支出总额的0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9" w:name="_Toc15377224"/>
      <w:bookmarkStart w:id="80" w:name="_Toc52180094"/>
      <w:r>
        <w:rPr>
          <w:rFonts w:hint="eastAsia" w:ascii="仿宋" w:hAnsi="仿宋" w:eastAsia="仿宋"/>
          <w:b/>
          <w:color w:val="000000"/>
          <w:sz w:val="32"/>
          <w:szCs w:val="32"/>
        </w:rPr>
        <w:t>（三）国有资产占有使用情况</w:t>
      </w:r>
      <w:bookmarkEnd w:id="79"/>
      <w:bookmarkEnd w:id="80"/>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日，共有车辆0辆，其中：主要领导干部用车0辆、机要通信用车0辆、应急保障用车0辆、其他用车0辆</w:t>
      </w:r>
      <w:r>
        <w:rPr>
          <w:rFonts w:hint="eastAsia" w:ascii="仿宋_GB2312" w:eastAsia="仿宋_GB2312"/>
          <w:color w:val="000000"/>
          <w:sz w:val="32"/>
          <w:szCs w:val="32"/>
          <w:lang w:eastAsia="zh-CN"/>
        </w:rPr>
        <w:t>、</w:t>
      </w:r>
      <w:r>
        <w:rPr>
          <w:rFonts w:hint="eastAsia" w:ascii="仿宋_GB2312" w:eastAsia="仿宋_GB2312"/>
          <w:color w:val="000000" w:themeColor="text1"/>
          <w:sz w:val="32"/>
          <w:szCs w:val="32"/>
          <w14:textFill>
            <w14:solidFill>
              <w14:schemeClr w14:val="tx1"/>
            </w14:solidFill>
          </w14:textFill>
        </w:rPr>
        <w:t>单价</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万元以上通用设备0台（套），单价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1" w:name="_Toc52180095"/>
      <w:r>
        <w:rPr>
          <w:rFonts w:hint="eastAsia" w:ascii="仿宋" w:hAnsi="仿宋" w:eastAsia="仿宋"/>
          <w:b/>
          <w:color w:val="000000"/>
          <w:sz w:val="32"/>
          <w:szCs w:val="32"/>
        </w:rPr>
        <w:t>（四）预算绩效管理情况。</w:t>
      </w:r>
      <w:bookmarkEnd w:id="81"/>
    </w:p>
    <w:p>
      <w:pPr>
        <w:spacing w:line="580" w:lineRule="exact"/>
        <w:rPr>
          <w:rFonts w:eastAsia="仿宋_GB2312"/>
          <w:sz w:val="32"/>
          <w:szCs w:val="32"/>
        </w:rPr>
      </w:pPr>
      <w:r>
        <w:rPr>
          <w:rFonts w:hint="eastAsia" w:ascii="仿宋_GB2312" w:hAnsi="仿宋_GB2312" w:eastAsia="仿宋_GB2312" w:cs="仿宋_GB2312"/>
          <w:sz w:val="32"/>
          <w:szCs w:val="32"/>
          <w:lang w:val="en-US" w:eastAsia="zh-CN"/>
        </w:rPr>
        <w:t xml:space="preserve">   </w:t>
      </w:r>
      <w:r>
        <w:rPr>
          <w:rFonts w:eastAsia="仿宋_GB2312"/>
          <w:color w:val="auto"/>
          <w:sz w:val="32"/>
          <w:szCs w:val="32"/>
          <w:highlight w:val="none"/>
        </w:rPr>
        <w:t>根据预算绩效管理要求，本部门（单位）在</w:t>
      </w:r>
      <w:r>
        <w:rPr>
          <w:rFonts w:hint="eastAsia" w:eastAsia="仿宋_GB2312"/>
          <w:color w:val="auto"/>
          <w:sz w:val="32"/>
          <w:szCs w:val="32"/>
          <w:highlight w:val="none"/>
          <w:lang w:val="en-US" w:eastAsia="zh-CN"/>
        </w:rPr>
        <w:t>2021</w:t>
      </w:r>
      <w:r>
        <w:rPr>
          <w:rFonts w:eastAsia="仿宋_GB2312"/>
          <w:color w:val="auto"/>
          <w:sz w:val="32"/>
          <w:szCs w:val="32"/>
          <w:highlight w:val="none"/>
        </w:rPr>
        <w:t>年</w:t>
      </w:r>
      <w:r>
        <w:rPr>
          <w:rFonts w:hint="eastAsia" w:eastAsia="仿宋_GB2312"/>
          <w:color w:val="auto"/>
          <w:sz w:val="32"/>
          <w:szCs w:val="32"/>
          <w:highlight w:val="none"/>
          <w:lang w:eastAsia="zh-CN"/>
        </w:rPr>
        <w:t>度</w:t>
      </w:r>
      <w:r>
        <w:rPr>
          <w:rFonts w:eastAsia="仿宋_GB2312"/>
          <w:color w:val="auto"/>
          <w:sz w:val="32"/>
          <w:szCs w:val="32"/>
          <w:highlight w:val="none"/>
        </w:rPr>
        <w:t>预算编制阶段，组织对</w:t>
      </w:r>
      <w:r>
        <w:rPr>
          <w:rFonts w:hint="eastAsia" w:eastAsia="仿宋_GB2312"/>
          <w:color w:val="auto"/>
          <w:sz w:val="32"/>
          <w:szCs w:val="32"/>
          <w:highlight w:val="none"/>
          <w:lang w:eastAsia="zh-CN"/>
        </w:rPr>
        <w:t>基本公共卫生服务、基本药物制度补助、医疗卫生事业发展资金</w:t>
      </w:r>
      <w:r>
        <w:rPr>
          <w:rFonts w:eastAsia="仿宋_GB2312"/>
          <w:color w:val="auto"/>
          <w:sz w:val="32"/>
          <w:szCs w:val="32"/>
          <w:highlight w:val="none"/>
        </w:rPr>
        <w:t>项目</w:t>
      </w:r>
      <w:r>
        <w:rPr>
          <w:rFonts w:eastAsia="仿宋_GB2312"/>
          <w:sz w:val="32"/>
          <w:szCs w:val="32"/>
        </w:rPr>
        <w:t>开展了预算事前绩效评估，对</w:t>
      </w:r>
      <w:r>
        <w:rPr>
          <w:rFonts w:hint="eastAsia" w:eastAsia="仿宋_GB2312"/>
          <w:sz w:val="32"/>
          <w:szCs w:val="32"/>
          <w:lang w:val="en-US" w:eastAsia="zh-CN"/>
        </w:rPr>
        <w:t>3</w:t>
      </w:r>
      <w:r>
        <w:rPr>
          <w:rFonts w:eastAsia="仿宋_GB2312"/>
          <w:sz w:val="32"/>
          <w:szCs w:val="32"/>
        </w:rPr>
        <w:t>个项目编制了绩效目标，预算执行过程中，选取</w:t>
      </w:r>
      <w:r>
        <w:rPr>
          <w:rFonts w:hint="eastAsia" w:eastAsia="仿宋_GB2312"/>
          <w:sz w:val="32"/>
          <w:szCs w:val="32"/>
          <w:lang w:val="en-US" w:eastAsia="zh-CN"/>
        </w:rPr>
        <w:t>3</w:t>
      </w:r>
      <w:r>
        <w:rPr>
          <w:rFonts w:eastAsia="仿宋_GB2312"/>
          <w:sz w:val="32"/>
          <w:szCs w:val="32"/>
        </w:rPr>
        <w:t>个项目开展绩效监控，年终执行完毕后，对</w:t>
      </w:r>
      <w:r>
        <w:rPr>
          <w:rFonts w:hint="eastAsia" w:eastAsia="仿宋_GB2312"/>
          <w:sz w:val="32"/>
          <w:szCs w:val="32"/>
          <w:lang w:val="en-US" w:eastAsia="zh-CN"/>
        </w:rPr>
        <w:t>3</w:t>
      </w:r>
      <w:r>
        <w:rPr>
          <w:rFonts w:eastAsia="仿宋_GB2312"/>
          <w:sz w:val="32"/>
          <w:szCs w:val="32"/>
        </w:rPr>
        <w:t>个项目开展了绩效自评</w:t>
      </w:r>
      <w:r>
        <w:rPr>
          <w:rFonts w:hint="eastAsia" w:eastAsia="仿宋_GB2312"/>
          <w:sz w:val="32"/>
          <w:szCs w:val="32"/>
          <w:lang w:eastAsia="zh-CN"/>
        </w:rPr>
        <w:t>，</w:t>
      </w:r>
      <w:r>
        <w:rPr>
          <w:rFonts w:hint="eastAsia" w:ascii="仿宋_GB2312" w:hAnsi="仿宋_GB2312" w:eastAsia="仿宋_GB2312" w:cs="仿宋_GB2312"/>
          <w:sz w:val="32"/>
          <w:szCs w:val="32"/>
        </w:rPr>
        <w:t>2021年特定目标类部门预算项目绩效目标自评表见附件（第四部分）。</w:t>
      </w: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82" w:name="_Toc15396613"/>
      <w:bookmarkStart w:id="83" w:name="_Toc15377225"/>
      <w:bookmarkStart w:id="84" w:name="_Toc52180096"/>
      <w:r>
        <w:rPr>
          <w:rFonts w:hint="eastAsia" w:ascii="黑体" w:hAnsi="黑体" w:eastAsia="黑体"/>
          <w:color w:val="000000"/>
          <w:sz w:val="44"/>
          <w:szCs w:val="44"/>
        </w:rPr>
        <w:t>名</w:t>
      </w:r>
      <w:r>
        <w:rPr>
          <w:rStyle w:val="25"/>
          <w:rFonts w:hint="eastAsia" w:ascii="黑体" w:hAnsi="黑体" w:eastAsia="黑体"/>
          <w:b w:val="0"/>
        </w:rPr>
        <w:t>词解释</w:t>
      </w:r>
      <w:bookmarkEnd w:id="82"/>
      <w:bookmarkEnd w:id="83"/>
      <w:bookmarkEnd w:id="84"/>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3"/>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bookmarkStart w:id="85" w:name="_Toc15377226"/>
      <w:r>
        <w:rPr>
          <w:rFonts w:ascii="宋体"/>
          <w:b/>
          <w:color w:val="000000"/>
          <w:sz w:val="44"/>
          <w:szCs w:val="44"/>
        </w:rPr>
        <w:br w:type="page"/>
      </w:r>
      <w:bookmarkStart w:id="86" w:name="_Toc15396614"/>
      <w:bookmarkStart w:id="87" w:name="_Toc52180097"/>
      <w:r>
        <w:rPr>
          <w:rFonts w:hint="eastAsia" w:ascii="黑体" w:hAnsi="黑体" w:eastAsia="黑体"/>
          <w:color w:val="000000"/>
          <w:sz w:val="44"/>
          <w:szCs w:val="44"/>
        </w:rPr>
        <w:t>第</w:t>
      </w:r>
      <w:r>
        <w:rPr>
          <w:rStyle w:val="25"/>
          <w:rFonts w:hint="eastAsia" w:ascii="黑体" w:hAnsi="黑体" w:eastAsia="黑体"/>
          <w:b w:val="0"/>
        </w:rPr>
        <w:t>四部分 附件</w:t>
      </w:r>
      <w:bookmarkEnd w:id="86"/>
      <w:bookmarkEnd w:id="87"/>
    </w:p>
    <w:p>
      <w:pPr>
        <w:spacing w:line="600" w:lineRule="exact"/>
        <w:jc w:val="left"/>
        <w:outlineLvl w:val="0"/>
        <w:rPr>
          <w:rFonts w:ascii="方正小标宋简体" w:hAnsi="方正小标宋简体" w:eastAsia="方正小标宋简体" w:cs="方正小标宋简体"/>
          <w:sz w:val="44"/>
          <w:szCs w:val="44"/>
        </w:rPr>
      </w:pPr>
      <w:bookmarkStart w:id="88" w:name="_Toc52180098"/>
      <w:r>
        <w:rPr>
          <w:rFonts w:hint="eastAsia" w:ascii="黑体" w:hAnsi="黑体" w:eastAsia="黑体" w:cs="黑体"/>
          <w:sz w:val="32"/>
          <w:szCs w:val="32"/>
        </w:rPr>
        <w:t>附件1</w:t>
      </w:r>
      <w:bookmarkEnd w:id="88"/>
    </w:p>
    <w:tbl>
      <w:tblPr>
        <w:tblStyle w:val="13"/>
        <w:tblpPr w:leftFromText="180" w:rightFromText="180" w:vertAnchor="text" w:horzAnchor="page" w:tblpX="1281" w:tblpY="660"/>
        <w:tblOverlap w:val="never"/>
        <w:tblW w:w="98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76"/>
        <w:gridCol w:w="1142"/>
        <w:gridCol w:w="1635"/>
        <w:gridCol w:w="1189"/>
        <w:gridCol w:w="1224"/>
        <w:gridCol w:w="24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jc w:val="center"/>
              <w:textAlignment w:val="center"/>
              <w:rPr>
                <w:rFonts w:ascii="宋体" w:hAnsi="宋体" w:cs="宋体"/>
                <w:b/>
                <w:sz w:val="32"/>
                <w:szCs w:val="32"/>
              </w:rPr>
            </w:pPr>
            <w:r>
              <w:rPr>
                <w:rFonts w:hint="eastAsia" w:ascii="宋体" w:hAnsi="宋体" w:cs="宋体"/>
                <w:b/>
                <w:sz w:val="32"/>
                <w:szCs w:val="32"/>
                <w:lang w:eastAsia="zh-CN"/>
              </w:rPr>
              <w:t>基本公共卫生服务</w:t>
            </w:r>
            <w:r>
              <w:rPr>
                <w:rFonts w:hint="eastAsia" w:ascii="宋体" w:hAnsi="宋体" w:cs="宋体"/>
                <w:b/>
                <w:sz w:val="32"/>
                <w:szCs w:val="32"/>
              </w:rPr>
              <w:t>项目绩效目标自评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1"/>
                <w:szCs w:val="21"/>
                <w:lang w:eastAsia="zh-CN"/>
              </w:rPr>
              <w:t>盐边县红果中心卫生院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89.20</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89.20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89.20</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val="en-US" w:eastAsia="zh-CN"/>
              </w:rPr>
            </w:pPr>
            <w:r>
              <w:rPr>
                <w:rFonts w:hint="eastAsia" w:ascii="宋体" w:hAnsi="宋体" w:cs="宋体"/>
                <w:sz w:val="24"/>
                <w:lang w:val="en-US" w:eastAsia="zh-CN"/>
              </w:rPr>
              <w:t>89.20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免费为全乡居民12002人提供基本公共卫生服务。提升居民健康服务管理质量，切实为人民群众提供全方位生命周期健康服务。</w:t>
            </w:r>
          </w:p>
        </w:tc>
        <w:tc>
          <w:tcPr>
            <w:tcW w:w="3633" w:type="dxa"/>
            <w:gridSpan w:val="2"/>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面向全乡城乡居民免费提供健康档案管理、健康教育、慢性病管理等基本公共卫生服务。各项工作均按年初计划实施执行，基本达到预期指标。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年度绩效指标完成情况</w:t>
            </w:r>
          </w:p>
        </w:tc>
        <w:tc>
          <w:tcPr>
            <w:tcW w:w="1142"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三级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预期指标值</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完成指标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数量指标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居民健康档案管理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93%</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99.02%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预防接种</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0-6岁儿童健康管理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孕产妇健康管理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老年人健康管理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慢性病管理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ind w:left="423" w:leftChars="87" w:hanging="240" w:hangingChars="100"/>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中医药健康管理率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45%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传染病及突发公共卫生事件报告和处理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卫生计生监督协管服务</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健康教育宣传</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90%以上</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质量指标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慢性病管理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60%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66.28%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85.91%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肺结核患者健康管理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时效指标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项目资金按要求及时拨付</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按时完成半年、年终绩效考核</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基本公共卫生服务按月推进完成</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成本指标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公共卫生服务支出</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89.20万元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89.20万元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效益指标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社会效益指标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受益群众的满意度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满意度指标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满意度指标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重点人群满意度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群众参与率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97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4"/>
                <w:szCs w:val="24"/>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群众知晓率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4"/>
                <w:szCs w:val="24"/>
              </w:rPr>
            </w:pPr>
            <w:r>
              <w:rPr>
                <w:rFonts w:hint="default" w:ascii="Arial" w:hAnsi="Arial" w:eastAsia="仿宋_GB2312" w:cs="Arial"/>
                <w:sz w:val="24"/>
                <w:szCs w:val="24"/>
              </w:rPr>
              <w:t>≥</w:t>
            </w:r>
            <w:r>
              <w:rPr>
                <w:rFonts w:hint="eastAsia" w:ascii="Arial" w:hAnsi="Arial" w:eastAsia="仿宋_GB2312" w:cs="Arial"/>
                <w:sz w:val="24"/>
                <w:szCs w:val="24"/>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95%</w:t>
            </w: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32"/>
          <w:szCs w:val="32"/>
        </w:rPr>
      </w:pPr>
    </w:p>
    <w:p>
      <w:pPr>
        <w:spacing w:line="580" w:lineRule="exact"/>
        <w:rPr>
          <w:rFonts w:hint="eastAsia" w:ascii="黑体" w:hAnsi="黑体" w:eastAsia="黑体" w:cs="黑体"/>
          <w:sz w:val="24"/>
          <w:szCs w:val="24"/>
        </w:rPr>
      </w:pPr>
      <w:r>
        <w:rPr>
          <w:rFonts w:hint="eastAsia" w:ascii="黑体" w:hAnsi="黑体" w:eastAsia="黑体" w:cs="黑体"/>
          <w:sz w:val="32"/>
          <w:szCs w:val="32"/>
        </w:rPr>
        <w:t>附件2</w:t>
      </w:r>
    </w:p>
    <w:tbl>
      <w:tblPr>
        <w:tblStyle w:val="13"/>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976"/>
        <w:gridCol w:w="915"/>
        <w:gridCol w:w="1862"/>
        <w:gridCol w:w="958"/>
        <w:gridCol w:w="1190"/>
        <w:gridCol w:w="2674"/>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24"/>
                <w:szCs w:val="24"/>
              </w:rPr>
            </w:pPr>
            <w:r>
              <w:rPr>
                <w:rFonts w:hint="eastAsia" w:ascii="宋体" w:hAnsi="宋体" w:cs="宋体"/>
                <w:b/>
                <w:sz w:val="24"/>
                <w:szCs w:val="24"/>
                <w:lang w:eastAsia="zh-CN"/>
              </w:rPr>
              <w:t>基本药物制度补助项目</w:t>
            </w:r>
            <w:r>
              <w:rPr>
                <w:rFonts w:hint="eastAsia" w:ascii="宋体" w:hAnsi="宋体" w:cs="宋体"/>
                <w:b/>
                <w:sz w:val="24"/>
                <w:szCs w:val="24"/>
              </w:rPr>
              <w:t>绩效目标自评</w:t>
            </w:r>
          </w:p>
        </w:tc>
      </w:tr>
      <w:tr>
        <w:tblPrEx>
          <w:tblCellMar>
            <w:top w:w="0" w:type="dxa"/>
            <w:left w:w="108" w:type="dxa"/>
            <w:bottom w:w="0" w:type="dxa"/>
            <w:right w:w="108" w:type="dxa"/>
          </w:tblCellMar>
        </w:tblPrEx>
        <w:trPr>
          <w:trHeight w:val="90" w:hRule="atLeast"/>
        </w:trPr>
        <w:tc>
          <w:tcPr>
            <w:tcW w:w="2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主管部门及代码</w:t>
            </w:r>
          </w:p>
        </w:tc>
        <w:tc>
          <w:tcPr>
            <w:tcW w:w="2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szCs w:val="24"/>
              </w:rPr>
            </w:pPr>
            <w:r>
              <w:rPr>
                <w:rFonts w:hint="eastAsia" w:ascii="宋体" w:hAnsi="宋体" w:cs="宋体"/>
                <w:sz w:val="24"/>
                <w:szCs w:val="24"/>
                <w:lang w:eastAsia="zh-CN"/>
              </w:rPr>
              <w:t>盐边县卫生健康局</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实施单位</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lang w:eastAsia="zh-CN"/>
              </w:rPr>
            </w:pPr>
            <w:r>
              <w:rPr>
                <w:rFonts w:hint="eastAsia" w:ascii="宋体" w:hAnsi="宋体" w:cs="宋体"/>
                <w:sz w:val="24"/>
                <w:szCs w:val="24"/>
                <w:lang w:eastAsia="zh-CN"/>
              </w:rPr>
              <w:t>盐边县红果中心卫生院</w:t>
            </w:r>
          </w:p>
        </w:tc>
      </w:tr>
      <w:tr>
        <w:tblPrEx>
          <w:tblCellMar>
            <w:top w:w="0" w:type="dxa"/>
            <w:left w:w="108" w:type="dxa"/>
            <w:bottom w:w="0" w:type="dxa"/>
            <w:right w:w="108" w:type="dxa"/>
          </w:tblCellMar>
        </w:tblPrEx>
        <w:trPr>
          <w:trHeight w:val="341" w:hRule="atLeast"/>
        </w:trPr>
        <w:tc>
          <w:tcPr>
            <w:tcW w:w="289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项目预算</w:t>
            </w:r>
            <w:r>
              <w:rPr>
                <w:rFonts w:hint="eastAsia" w:ascii="宋体" w:hAnsi="宋体" w:cs="宋体"/>
                <w:kern w:val="0"/>
                <w:sz w:val="24"/>
                <w:szCs w:val="24"/>
              </w:rPr>
              <w:br w:type="textWrapping"/>
            </w:r>
            <w:r>
              <w:rPr>
                <w:rFonts w:hint="eastAsia" w:ascii="宋体" w:hAnsi="宋体" w:cs="宋体"/>
                <w:kern w:val="0"/>
                <w:sz w:val="24"/>
                <w:szCs w:val="24"/>
              </w:rPr>
              <w:t>执行情况</w:t>
            </w:r>
            <w:r>
              <w:rPr>
                <w:rFonts w:hint="eastAsia" w:ascii="宋体" w:hAnsi="宋体" w:cs="宋体"/>
                <w:kern w:val="0"/>
                <w:sz w:val="24"/>
                <w:szCs w:val="24"/>
              </w:rPr>
              <w:br w:type="textWrapping"/>
            </w:r>
            <w:r>
              <w:rPr>
                <w:rFonts w:hint="eastAsia" w:ascii="宋体" w:hAnsi="宋体" w:cs="宋体"/>
                <w:kern w:val="0"/>
                <w:sz w:val="24"/>
                <w:szCs w:val="24"/>
              </w:rPr>
              <w:t>（万元）</w:t>
            </w:r>
          </w:p>
        </w:tc>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 xml:space="preserve"> 预算数：</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23.64</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 xml:space="preserve"> 执行数：</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szCs w:val="24"/>
              </w:rPr>
            </w:pPr>
            <w:r>
              <w:rPr>
                <w:rFonts w:hint="eastAsia" w:ascii="宋体" w:hAnsi="宋体" w:cs="宋体"/>
                <w:sz w:val="24"/>
                <w:szCs w:val="24"/>
                <w:lang w:val="en-US" w:eastAsia="zh-CN"/>
              </w:rPr>
              <w:t>23.64</w:t>
            </w:r>
          </w:p>
        </w:tc>
      </w:tr>
      <w:tr>
        <w:tblPrEx>
          <w:tblCellMar>
            <w:top w:w="0" w:type="dxa"/>
            <w:left w:w="108" w:type="dxa"/>
            <w:bottom w:w="0" w:type="dxa"/>
            <w:right w:w="108" w:type="dxa"/>
          </w:tblCellMar>
        </w:tblPrEx>
        <w:trPr>
          <w:trHeight w:val="555" w:hRule="atLeast"/>
        </w:trPr>
        <w:tc>
          <w:tcPr>
            <w:tcW w:w="28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szCs w:val="24"/>
              </w:rPr>
            </w:pPr>
          </w:p>
        </w:tc>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szCs w:val="24"/>
              </w:rPr>
            </w:pPr>
            <w:r>
              <w:rPr>
                <w:rFonts w:hint="eastAsia" w:ascii="宋体" w:hAnsi="宋体" w:cs="宋体"/>
                <w:kern w:val="0"/>
                <w:sz w:val="24"/>
                <w:szCs w:val="24"/>
              </w:rPr>
              <w:t>其中：</w:t>
            </w:r>
          </w:p>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财政拨款</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r>
              <w:rPr>
                <w:rFonts w:hint="eastAsia" w:ascii="宋体" w:hAnsi="宋体" w:cs="宋体"/>
                <w:sz w:val="24"/>
                <w:szCs w:val="24"/>
                <w:lang w:val="en-US" w:eastAsia="zh-CN"/>
              </w:rPr>
              <w:t>23.64</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szCs w:val="24"/>
              </w:rPr>
            </w:pPr>
            <w:r>
              <w:rPr>
                <w:rFonts w:hint="eastAsia" w:ascii="宋体" w:hAnsi="宋体" w:cs="宋体"/>
                <w:kern w:val="0"/>
                <w:sz w:val="24"/>
                <w:szCs w:val="24"/>
              </w:rPr>
              <w:t>其中：</w:t>
            </w:r>
          </w:p>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szCs w:val="24"/>
              </w:rPr>
            </w:pPr>
            <w:r>
              <w:rPr>
                <w:rFonts w:hint="eastAsia" w:ascii="宋体" w:hAnsi="宋体" w:cs="宋体"/>
                <w:sz w:val="24"/>
                <w:szCs w:val="24"/>
                <w:lang w:val="en-US" w:eastAsia="zh-CN"/>
              </w:rPr>
              <w:t>23.64</w:t>
            </w:r>
          </w:p>
        </w:tc>
      </w:tr>
      <w:tr>
        <w:tblPrEx>
          <w:tblCellMar>
            <w:top w:w="0" w:type="dxa"/>
            <w:left w:w="108" w:type="dxa"/>
            <w:bottom w:w="0" w:type="dxa"/>
            <w:right w:w="108" w:type="dxa"/>
          </w:tblCellMar>
        </w:tblPrEx>
        <w:trPr>
          <w:trHeight w:val="341" w:hRule="atLeast"/>
        </w:trPr>
        <w:tc>
          <w:tcPr>
            <w:tcW w:w="289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szCs w:val="24"/>
              </w:rPr>
            </w:pPr>
          </w:p>
        </w:tc>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其他资金</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szCs w:val="24"/>
              </w:rPr>
            </w:pPr>
            <w:r>
              <w:rPr>
                <w:rFonts w:hint="eastAsia" w:ascii="宋体" w:hAnsi="宋体" w:cs="宋体"/>
                <w:kern w:val="0"/>
                <w:sz w:val="24"/>
                <w:szCs w:val="24"/>
              </w:rPr>
              <w:t>其他资金</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szCs w:val="24"/>
              </w:rPr>
            </w:pPr>
            <w:r>
              <w:rPr>
                <w:rFonts w:hint="eastAsia" w:ascii="宋体" w:hAnsi="宋体" w:cs="宋体"/>
                <w:kern w:val="0"/>
                <w:sz w:val="24"/>
                <w:szCs w:val="24"/>
              </w:rPr>
              <w:t>年度总体目标</w:t>
            </w:r>
          </w:p>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完成情况</w:t>
            </w:r>
          </w:p>
        </w:tc>
        <w:tc>
          <w:tcPr>
            <w:tcW w:w="37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预期目标</w:t>
            </w:r>
          </w:p>
        </w:tc>
        <w:tc>
          <w:tcPr>
            <w:tcW w:w="38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szCs w:val="24"/>
              </w:rPr>
            </w:pPr>
            <w:r>
              <w:rPr>
                <w:rFonts w:hint="eastAsia" w:ascii="宋体" w:hAnsi="宋体" w:cs="宋体"/>
                <w:kern w:val="0"/>
                <w:sz w:val="24"/>
                <w:szCs w:val="24"/>
              </w:rPr>
              <w:t>目标实际完成情况</w:t>
            </w:r>
          </w:p>
        </w:tc>
      </w:tr>
      <w:tr>
        <w:tblPrEx>
          <w:tblCellMar>
            <w:top w:w="0" w:type="dxa"/>
            <w:left w:w="108" w:type="dxa"/>
            <w:bottom w:w="0" w:type="dxa"/>
            <w:right w:w="108" w:type="dxa"/>
          </w:tblCellMar>
        </w:tblPrEx>
        <w:trPr>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szCs w:val="24"/>
              </w:rPr>
            </w:pPr>
          </w:p>
        </w:tc>
        <w:tc>
          <w:tcPr>
            <w:tcW w:w="3735"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szCs w:val="24"/>
              </w:rPr>
            </w:pPr>
            <w:r>
              <w:rPr>
                <w:rFonts w:hint="eastAsia" w:ascii="宋体" w:hAnsi="宋体" w:cs="宋体"/>
                <w:sz w:val="24"/>
                <w:szCs w:val="24"/>
              </w:rPr>
              <w:t>保证我院实施国家基本药物制度，推进综合改革顺利进行。对实施国家基本药物制度的村卫生室给予补助，支持国家基本药物制度在村卫生室顺利实施。</w:t>
            </w:r>
          </w:p>
        </w:tc>
        <w:tc>
          <w:tcPr>
            <w:tcW w:w="386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szCs w:val="24"/>
              </w:rPr>
            </w:pPr>
            <w:r>
              <w:rPr>
                <w:rFonts w:hint="eastAsia" w:ascii="宋体" w:hAnsi="宋体" w:cs="宋体"/>
                <w:sz w:val="24"/>
                <w:szCs w:val="24"/>
              </w:rPr>
              <w:t>我院2021年采购基本药物并执行零加价的药品21.60万元，100%实施国家基本药物制度，考核下发基本药物补助资金16.38万元；村卫生室执行基本药物制度10家，2021年采购基本药物并执行零加价的药品2.50万元，村卫生室实施国家基本药物制度覆盖率100%，下拨资金7.82万元，由我院考核已全部发放给村医。确保了国家基本药物制度的有效实施，推进基层医疗卫生机构综合改革，转变医疗卫生服务模式，有效控制不合理医疗费用，增强城乡居民就诊看病的“获得感”，鼓励了基层医疗机构抓实基本医疗服务。</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年度绩效指标完成情况</w:t>
            </w:r>
          </w:p>
        </w:tc>
        <w:tc>
          <w:tcPr>
            <w:tcW w:w="915"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8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三级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预期指标值</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完成</w:t>
            </w:r>
          </w:p>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862"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数量指标</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村卫生室全部实施国家基本药物制度</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r>
      <w:tr>
        <w:tblPrEx>
          <w:tblCellMar>
            <w:top w:w="0" w:type="dxa"/>
            <w:left w:w="108" w:type="dxa"/>
            <w:bottom w:w="0" w:type="dxa"/>
            <w:right w:w="108" w:type="dxa"/>
          </w:tblCellMar>
        </w:tblPrEx>
        <w:trPr>
          <w:trHeight w:val="20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szCs w:val="24"/>
              </w:rPr>
            </w:pPr>
          </w:p>
        </w:tc>
        <w:tc>
          <w:tcPr>
            <w:tcW w:w="1862"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卫生院实施国家基本药物制度</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8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社会效益指标</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乡村医生收入</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保持稳定</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保持稳定</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862"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可持续影响</w:t>
            </w:r>
            <w:r>
              <w:rPr>
                <w:rFonts w:hint="eastAsia" w:ascii="仿宋_GB2312" w:hAnsi="仿宋_GB2312" w:eastAsia="仿宋_GB2312" w:cs="仿宋_GB2312"/>
                <w:kern w:val="0"/>
                <w:sz w:val="24"/>
                <w:szCs w:val="24"/>
                <w:lang w:eastAsia="zh-CN"/>
              </w:rPr>
              <w:t>指</w:t>
            </w:r>
            <w:r>
              <w:rPr>
                <w:rFonts w:hint="eastAsia" w:ascii="仿宋_GB2312" w:hAnsi="仿宋_GB2312" w:eastAsia="仿宋_GB2312" w:cs="仿宋_GB2312"/>
                <w:kern w:val="0"/>
                <w:sz w:val="24"/>
                <w:szCs w:val="24"/>
              </w:rPr>
              <w:t>标</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国家基本药物制度在基层医疗机构持续实施</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中长期</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中长期</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862"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国家基本药物制度在村卫生室持续实施</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中长期</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中长期</w:t>
            </w:r>
          </w:p>
        </w:tc>
      </w:tr>
      <w:tr>
        <w:tblPrEx>
          <w:tblCellMar>
            <w:top w:w="0" w:type="dxa"/>
            <w:left w:w="108" w:type="dxa"/>
            <w:bottom w:w="0" w:type="dxa"/>
            <w:right w:w="108" w:type="dxa"/>
          </w:tblCellMar>
        </w:tblPrEx>
        <w:trPr>
          <w:trHeight w:val="53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满意</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度指标</w:t>
            </w:r>
          </w:p>
        </w:tc>
        <w:tc>
          <w:tcPr>
            <w:tcW w:w="1862"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both"/>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满意度指标</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群众满意度</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100%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530" w:hRule="atLeast"/>
        </w:trPr>
        <w:tc>
          <w:tcPr>
            <w:tcW w:w="1976" w:type="dxa"/>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1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862"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群众知晓率</w:t>
            </w:r>
          </w:p>
        </w:tc>
        <w:tc>
          <w:tcPr>
            <w:tcW w:w="11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100%</w:t>
            </w:r>
          </w:p>
        </w:tc>
        <w:tc>
          <w:tcPr>
            <w:tcW w:w="2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4"/>
                <w:szCs w:val="24"/>
              </w:rPr>
            </w:pPr>
            <w:r>
              <w:rPr>
                <w:rFonts w:hint="eastAsia" w:ascii="宋体" w:hAnsi="宋体" w:eastAsia="宋体" w:cs="宋体"/>
                <w:i w:val="0"/>
                <w:iCs w:val="0"/>
                <w:color w:val="000000"/>
                <w:kern w:val="0"/>
                <w:sz w:val="24"/>
                <w:szCs w:val="24"/>
                <w:u w:val="none"/>
                <w:lang w:val="en-US" w:eastAsia="zh-CN" w:bidi="ar"/>
              </w:rPr>
              <w:t>100%</w:t>
            </w:r>
          </w:p>
        </w:tc>
      </w:tr>
    </w:tbl>
    <w:p>
      <w:pPr>
        <w:spacing w:line="580" w:lineRule="exac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tbl>
      <w:tblPr>
        <w:tblStyle w:val="13"/>
        <w:tblpPr w:leftFromText="180" w:rightFromText="180" w:vertAnchor="text" w:horzAnchor="page" w:tblpX="1281" w:tblpY="660"/>
        <w:tblOverlap w:val="never"/>
        <w:tblW w:w="9575" w:type="dxa"/>
        <w:tblInd w:w="0" w:type="dxa"/>
        <w:tblLayout w:type="fixed"/>
        <w:tblCellMar>
          <w:top w:w="0" w:type="dxa"/>
          <w:left w:w="108" w:type="dxa"/>
          <w:bottom w:w="0" w:type="dxa"/>
          <w:right w:w="108" w:type="dxa"/>
        </w:tblCellMar>
      </w:tblPr>
      <w:tblGrid>
        <w:gridCol w:w="1691"/>
        <w:gridCol w:w="1140"/>
        <w:gridCol w:w="1580"/>
        <w:gridCol w:w="1150"/>
        <w:gridCol w:w="1290"/>
        <w:gridCol w:w="2724"/>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24"/>
                <w:szCs w:val="24"/>
              </w:rPr>
              <w:t>医疗卫生机构事业发展资金项目绩效目标自评</w:t>
            </w:r>
          </w:p>
        </w:tc>
      </w:tr>
      <w:tr>
        <w:tblPrEx>
          <w:tblCellMar>
            <w:top w:w="0" w:type="dxa"/>
            <w:left w:w="108" w:type="dxa"/>
            <w:bottom w:w="0" w:type="dxa"/>
            <w:right w:w="108" w:type="dxa"/>
          </w:tblCellMar>
        </w:tblPrEx>
        <w:trPr>
          <w:trHeight w:val="254" w:hRule="atLeast"/>
        </w:trPr>
        <w:tc>
          <w:tcPr>
            <w:tcW w:w="28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szCs w:val="24"/>
                <w:lang w:eastAsia="zh-CN"/>
              </w:rPr>
              <w:t>盐边县卫生健康局</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both"/>
              <w:textAlignment w:val="center"/>
              <w:rPr>
                <w:rFonts w:hint="eastAsia" w:ascii="宋体" w:hAnsi="宋体" w:eastAsia="宋体" w:cs="宋体"/>
                <w:sz w:val="24"/>
                <w:lang w:eastAsia="zh-CN"/>
              </w:rPr>
            </w:pPr>
            <w:r>
              <w:rPr>
                <w:rFonts w:hint="eastAsia" w:ascii="宋体" w:hAnsi="宋体" w:cs="宋体"/>
                <w:sz w:val="24"/>
                <w:lang w:eastAsia="zh-CN"/>
              </w:rPr>
              <w:t>盐边县红果中心卫生院</w:t>
            </w:r>
          </w:p>
        </w:tc>
      </w:tr>
      <w:tr>
        <w:tblPrEx>
          <w:tblCellMar>
            <w:top w:w="0" w:type="dxa"/>
            <w:left w:w="108" w:type="dxa"/>
            <w:bottom w:w="0" w:type="dxa"/>
            <w:right w:w="108" w:type="dxa"/>
          </w:tblCellMar>
        </w:tblPrEx>
        <w:trPr>
          <w:trHeight w:val="341" w:hRule="atLeast"/>
        </w:trPr>
        <w:tc>
          <w:tcPr>
            <w:tcW w:w="283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45.36</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45.36</w:t>
            </w:r>
          </w:p>
        </w:tc>
      </w:tr>
      <w:tr>
        <w:tblPrEx>
          <w:tblCellMar>
            <w:top w:w="0" w:type="dxa"/>
            <w:left w:w="108" w:type="dxa"/>
            <w:bottom w:w="0" w:type="dxa"/>
            <w:right w:w="108" w:type="dxa"/>
          </w:tblCellMar>
        </w:tblPrEx>
        <w:trPr>
          <w:trHeight w:val="555" w:hRule="atLeast"/>
        </w:trPr>
        <w:tc>
          <w:tcPr>
            <w:tcW w:w="28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trHeight w:val="341" w:hRule="atLeast"/>
        </w:trPr>
        <w:tc>
          <w:tcPr>
            <w:tcW w:w="283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eastAsia="zh-CN"/>
              </w:rPr>
            </w:pPr>
            <w:r>
              <w:rPr>
                <w:rFonts w:hint="eastAsia" w:ascii="宋体" w:hAnsi="宋体" w:cs="宋体"/>
                <w:kern w:val="0"/>
                <w:sz w:val="24"/>
              </w:rPr>
              <w:t>其他资金</w:t>
            </w:r>
            <w:r>
              <w:rPr>
                <w:rFonts w:hint="eastAsia" w:ascii="宋体" w:hAnsi="宋体" w:cs="宋体"/>
                <w:kern w:val="0"/>
                <w:sz w:val="24"/>
                <w:lang w:eastAsia="zh-CN"/>
              </w:rPr>
              <w:t>（本级财政资金）</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lang w:val="en-US" w:eastAsia="zh-CN"/>
              </w:rPr>
              <w:t>45.36</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2"/>
                <w:sz w:val="24"/>
                <w:szCs w:val="24"/>
                <w:lang w:val="en-US" w:eastAsia="zh-CN" w:bidi="ar-SA"/>
              </w:rPr>
            </w:pPr>
            <w:r>
              <w:rPr>
                <w:rFonts w:hint="eastAsia" w:ascii="宋体" w:hAnsi="宋体" w:cs="宋体"/>
                <w:kern w:val="0"/>
                <w:sz w:val="24"/>
              </w:rPr>
              <w:t>其他资金</w:t>
            </w:r>
            <w:r>
              <w:rPr>
                <w:rFonts w:hint="eastAsia" w:ascii="宋体" w:hAnsi="宋体" w:cs="宋体"/>
                <w:kern w:val="0"/>
                <w:sz w:val="24"/>
                <w:lang w:eastAsia="zh-CN"/>
              </w:rPr>
              <w:t>（本级财政资金）</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lang w:val="en-US" w:eastAsia="zh-CN"/>
              </w:rPr>
              <w:t>45.36</w:t>
            </w:r>
          </w:p>
        </w:tc>
      </w:tr>
      <w:tr>
        <w:tblPrEx>
          <w:tblCellMar>
            <w:top w:w="0" w:type="dxa"/>
            <w:left w:w="108" w:type="dxa"/>
            <w:bottom w:w="0" w:type="dxa"/>
            <w:right w:w="108" w:type="dxa"/>
          </w:tblCellMar>
        </w:tblPrEx>
        <w:trPr>
          <w:trHeight w:val="217" w:hRule="atLeast"/>
        </w:trPr>
        <w:tc>
          <w:tcPr>
            <w:tcW w:w="16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8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797" w:hRule="atLeast"/>
        </w:trPr>
        <w:tc>
          <w:tcPr>
            <w:tcW w:w="16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870"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1、加强和规范本卫生院收支预算管理、合理控制成本、提高管理水平、提升资源使用效益、促进医疗机构持续健康发展；2、实行全面预算管理制度、强化预算约束、保障本医疗机构正常运转。</w:t>
            </w:r>
          </w:p>
        </w:tc>
        <w:tc>
          <w:tcPr>
            <w:tcW w:w="401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本乡镇1家卫生院全部纳入，并按时上缴事业收入纳入财政预算管理，资金上缴率100%。强化预算约束，增加财政收入，提升资金管理水平；财政及时拨付，确保医疗机构正常运转。医疗机构资金规范使用率100%。</w:t>
            </w:r>
          </w:p>
        </w:tc>
      </w:tr>
      <w:tr>
        <w:tblPrEx>
          <w:tblCellMar>
            <w:top w:w="0" w:type="dxa"/>
            <w:left w:w="108" w:type="dxa"/>
            <w:bottom w:w="0" w:type="dxa"/>
            <w:right w:w="108" w:type="dxa"/>
          </w:tblCellMar>
        </w:tblPrEx>
        <w:trPr>
          <w:trHeight w:val="1063" w:hRule="atLeast"/>
        </w:trPr>
        <w:tc>
          <w:tcPr>
            <w:tcW w:w="169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年度绩效指标完成情况</w:t>
            </w:r>
          </w:p>
        </w:tc>
        <w:tc>
          <w:tcPr>
            <w:tcW w:w="1140"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三级</w:t>
            </w:r>
          </w:p>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预期指标值</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实际完成指标值</w:t>
            </w:r>
          </w:p>
        </w:tc>
      </w:tr>
      <w:tr>
        <w:tblPrEx>
          <w:tblCellMar>
            <w:top w:w="0" w:type="dxa"/>
            <w:left w:w="108" w:type="dxa"/>
            <w:bottom w:w="0" w:type="dxa"/>
            <w:right w:w="108" w:type="dxa"/>
          </w:tblCellMar>
        </w:tblPrEx>
        <w:trPr>
          <w:trHeight w:val="415"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完成</w:t>
            </w:r>
          </w:p>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数量指标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both"/>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乡镇卫生院</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1家</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1家</w:t>
            </w:r>
          </w:p>
        </w:tc>
      </w:tr>
      <w:tr>
        <w:tblPrEx>
          <w:tblCellMar>
            <w:top w:w="0" w:type="dxa"/>
            <w:left w:w="108" w:type="dxa"/>
            <w:bottom w:w="0" w:type="dxa"/>
            <w:right w:w="108" w:type="dxa"/>
          </w:tblCellMar>
        </w:tblPrEx>
        <w:trPr>
          <w:trHeight w:val="415"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质量指标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收入上缴率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100%</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100%</w:t>
            </w:r>
          </w:p>
        </w:tc>
      </w:tr>
      <w:tr>
        <w:tblPrEx>
          <w:tblCellMar>
            <w:top w:w="0" w:type="dxa"/>
            <w:left w:w="108" w:type="dxa"/>
            <w:bottom w:w="0" w:type="dxa"/>
            <w:right w:w="108" w:type="dxa"/>
          </w:tblCellMar>
        </w:tblPrEx>
        <w:trPr>
          <w:trHeight w:val="415"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规范使用率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100%</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100%</w:t>
            </w:r>
          </w:p>
        </w:tc>
      </w:tr>
      <w:tr>
        <w:tblPrEx>
          <w:tblCellMar>
            <w:top w:w="0" w:type="dxa"/>
            <w:left w:w="108" w:type="dxa"/>
            <w:bottom w:w="0" w:type="dxa"/>
            <w:right w:w="108" w:type="dxa"/>
          </w:tblCellMar>
        </w:tblPrEx>
        <w:trPr>
          <w:trHeight w:val="415"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时效指标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项目完成时间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年度内</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lang w:eastAsia="zh-CN"/>
              </w:rPr>
              <w:t>年度内按时</w:t>
            </w:r>
            <w:r>
              <w:rPr>
                <w:rFonts w:hint="eastAsia" w:ascii="仿宋_GB2312" w:hAnsi="仿宋_GB2312" w:eastAsia="仿宋_GB2312" w:cs="仿宋_GB2312"/>
                <w:sz w:val="24"/>
                <w:szCs w:val="24"/>
              </w:rPr>
              <w:t>完成</w:t>
            </w:r>
          </w:p>
        </w:tc>
      </w:tr>
      <w:tr>
        <w:tblPrEx>
          <w:tblCellMar>
            <w:top w:w="0" w:type="dxa"/>
            <w:left w:w="108" w:type="dxa"/>
            <w:bottom w:w="0" w:type="dxa"/>
            <w:right w:w="108" w:type="dxa"/>
          </w:tblCellMar>
        </w:tblPrEx>
        <w:trPr>
          <w:trHeight w:val="415"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上缴时间</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适时</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适时上缴</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成本指标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经费总额</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45.36</w:t>
            </w:r>
            <w:r>
              <w:rPr>
                <w:rFonts w:hint="eastAsia" w:ascii="仿宋_GB2312" w:hAnsi="仿宋_GB2312" w:eastAsia="仿宋_GB2312" w:cs="仿宋_GB2312"/>
                <w:sz w:val="24"/>
                <w:szCs w:val="24"/>
                <w:lang w:eastAsia="zh-CN"/>
              </w:rPr>
              <w:t>万元</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45.36</w:t>
            </w:r>
            <w:r>
              <w:rPr>
                <w:rFonts w:hint="eastAsia" w:ascii="仿宋_GB2312" w:hAnsi="仿宋_GB2312" w:eastAsia="仿宋_GB2312" w:cs="仿宋_GB2312"/>
                <w:sz w:val="24"/>
                <w:szCs w:val="24"/>
                <w:lang w:eastAsia="zh-CN"/>
              </w:rPr>
              <w:t>万元</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设备购置</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控制在预算范围内</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控制在预算范围内</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药品采购</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按实际支付</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按实际支付</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人员经费</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控制在收入内</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控制在收入内</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公用经费</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控制在预算标准内</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控制在预算标准内</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效益</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指标</w:t>
            </w: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经济效益  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财政收入</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有所提高</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有所提高</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580"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人员就业 </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得到保障</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得到保障</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相关产业发展</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得到带动</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得到带动</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社会效益  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群众生活和就医环境</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持续改进</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持续改进</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kern w:val="0"/>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城乡居民基本公共卫生服务差距 </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不断缩小</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不断缩小</w:t>
            </w:r>
          </w:p>
        </w:tc>
      </w:tr>
      <w:tr>
        <w:tblPrEx>
          <w:tblCellMar>
            <w:top w:w="0" w:type="dxa"/>
            <w:left w:w="108" w:type="dxa"/>
            <w:bottom w:w="0" w:type="dxa"/>
            <w:right w:w="108" w:type="dxa"/>
          </w:tblCellMar>
        </w:tblPrEx>
        <w:trPr>
          <w:trHeight w:val="577"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restart"/>
            <w:tcBorders>
              <w:top w:val="single" w:color="000000" w:sz="4" w:space="0"/>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可持续影响 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基本公共卫生服务水平</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不断提高</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不断提高</w:t>
            </w:r>
          </w:p>
        </w:tc>
      </w:tr>
      <w:tr>
        <w:tblPrEx>
          <w:tblCellMar>
            <w:top w:w="0" w:type="dxa"/>
            <w:left w:w="108" w:type="dxa"/>
            <w:bottom w:w="0" w:type="dxa"/>
            <w:right w:w="108" w:type="dxa"/>
          </w:tblCellMar>
        </w:tblPrEx>
        <w:trPr>
          <w:trHeight w:val="480" w:hRule="atLeast"/>
        </w:trPr>
        <w:tc>
          <w:tcPr>
            <w:tcW w:w="169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szCs w:val="24"/>
              </w:rPr>
            </w:pPr>
          </w:p>
        </w:tc>
        <w:tc>
          <w:tcPr>
            <w:tcW w:w="1580"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医务人员技术</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不断提高</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不断提高</w:t>
            </w:r>
          </w:p>
        </w:tc>
      </w:tr>
      <w:tr>
        <w:tblPrEx>
          <w:tblCellMar>
            <w:top w:w="0" w:type="dxa"/>
            <w:left w:w="108" w:type="dxa"/>
            <w:bottom w:w="0" w:type="dxa"/>
            <w:right w:w="108" w:type="dxa"/>
          </w:tblCellMar>
        </w:tblPrEx>
        <w:trPr>
          <w:trHeight w:val="530" w:hRule="atLeast"/>
        </w:trPr>
        <w:tc>
          <w:tcPr>
            <w:tcW w:w="169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4"/>
                <w:szCs w:val="24"/>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满意</w:t>
            </w:r>
            <w:r>
              <w:rPr>
                <w:rFonts w:hint="eastAsia" w:ascii="仿宋_GB2312" w:hAnsi="仿宋_GB2312" w:eastAsia="仿宋_GB2312" w:cs="仿宋_GB2312"/>
                <w:kern w:val="0"/>
                <w:sz w:val="24"/>
                <w:szCs w:val="24"/>
              </w:rPr>
              <w:br w:type="textWrapping"/>
            </w:r>
            <w:r>
              <w:rPr>
                <w:rFonts w:hint="eastAsia" w:ascii="仿宋_GB2312" w:hAnsi="仿宋_GB2312" w:eastAsia="仿宋_GB2312" w:cs="仿宋_GB2312"/>
                <w:kern w:val="0"/>
                <w:sz w:val="24"/>
                <w:szCs w:val="24"/>
              </w:rPr>
              <w:t>度指标</w:t>
            </w:r>
          </w:p>
        </w:tc>
        <w:tc>
          <w:tcPr>
            <w:tcW w:w="158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满意度</w:t>
            </w:r>
          </w:p>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kern w:val="0"/>
                <w:sz w:val="24"/>
                <w:szCs w:val="24"/>
              </w:rPr>
              <w:t>指标</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服务对象满意度</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≧95%</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szCs w:val="24"/>
              </w:rPr>
            </w:pPr>
            <w:r>
              <w:rPr>
                <w:rFonts w:hint="eastAsia" w:ascii="仿宋_GB2312" w:hAnsi="仿宋_GB2312" w:eastAsia="仿宋_GB2312" w:cs="仿宋_GB2312"/>
                <w:sz w:val="24"/>
                <w:szCs w:val="24"/>
              </w:rPr>
              <w:t>96%</w:t>
            </w:r>
          </w:p>
        </w:tc>
      </w:tr>
    </w:tbl>
    <w:p>
      <w:pPr>
        <w:spacing w:line="580" w:lineRule="exact"/>
        <w:ind w:firstLine="640" w:firstLineChars="200"/>
        <w:rPr>
          <w:rFonts w:ascii="仿宋_GB2312" w:hAnsi="仿宋_GB2312" w:eastAsia="仿宋_GB2312" w:cs="仿宋_GB2312"/>
          <w:sz w:val="32"/>
          <w:szCs w:val="32"/>
        </w:rPr>
      </w:pPr>
    </w:p>
    <w:p>
      <w:pPr>
        <w:spacing w:line="600" w:lineRule="exact"/>
        <w:jc w:val="center"/>
        <w:outlineLvl w:val="0"/>
        <w:rPr>
          <w:rStyle w:val="25"/>
          <w:rFonts w:ascii="黑体" w:hAnsi="黑体" w:eastAsia="黑体"/>
          <w:b w:val="0"/>
        </w:rPr>
      </w:pPr>
    </w:p>
    <w:p>
      <w:pPr>
        <w:spacing w:line="600" w:lineRule="exact"/>
        <w:jc w:val="center"/>
        <w:outlineLvl w:val="0"/>
        <w:rPr>
          <w:rStyle w:val="25"/>
          <w:rFonts w:hint="eastAsia" w:ascii="黑体" w:hAnsi="黑体" w:eastAsia="黑体"/>
          <w:b w:val="0"/>
        </w:rPr>
      </w:pPr>
      <w:bookmarkStart w:id="89" w:name="_Toc15396618"/>
      <w:bookmarkStart w:id="90" w:name="_Toc52180099"/>
      <w:r>
        <w:rPr>
          <w:rFonts w:hint="eastAsia" w:ascii="黑体" w:hAnsi="黑体" w:eastAsia="黑体"/>
          <w:color w:val="000000"/>
          <w:sz w:val="44"/>
          <w:szCs w:val="44"/>
        </w:rPr>
        <w:t>第</w:t>
      </w:r>
      <w:r>
        <w:rPr>
          <w:rStyle w:val="25"/>
          <w:rFonts w:hint="eastAsia" w:ascii="黑体" w:hAnsi="黑体" w:eastAsia="黑体"/>
          <w:b w:val="0"/>
        </w:rPr>
        <w:t>五部分 附表</w:t>
      </w:r>
      <w:bookmarkEnd w:id="85"/>
      <w:bookmarkEnd w:id="89"/>
      <w:bookmarkEnd w:id="90"/>
      <w:bookmarkStart w:id="91" w:name="_Toc52180100"/>
      <w:bookmarkStart w:id="92" w:name="_Toc15396619"/>
    </w:p>
    <w:p>
      <w:pPr>
        <w:spacing w:line="600" w:lineRule="exact"/>
        <w:jc w:val="both"/>
        <w:outlineLvl w:val="0"/>
        <w:rPr>
          <w:rFonts w:hint="eastAsia" w:ascii="仿宋" w:hAnsi="仿宋" w:eastAsia="仿宋" w:cstheme="majorBidi"/>
          <w:b w:val="0"/>
          <w:bCs/>
          <w:color w:val="000000"/>
          <w:kern w:val="2"/>
          <w:sz w:val="32"/>
          <w:szCs w:val="32"/>
          <w:lang w:val="en-US" w:eastAsia="zh-CN" w:bidi="ar-SA"/>
        </w:rPr>
      </w:pPr>
      <w:r>
        <w:rPr>
          <w:rFonts w:hint="eastAsia" w:ascii="仿宋" w:hAnsi="仿宋" w:eastAsia="仿宋" w:cstheme="majorBidi"/>
          <w:b w:val="0"/>
          <w:bCs/>
          <w:color w:val="000000"/>
          <w:kern w:val="2"/>
          <w:sz w:val="32"/>
          <w:szCs w:val="32"/>
          <w:lang w:val="en-US" w:eastAsia="zh-CN" w:bidi="ar-SA"/>
        </w:rPr>
        <w:t>一、收入支出决算总表</w:t>
      </w:r>
      <w:bookmarkEnd w:id="91"/>
      <w:bookmarkEnd w:id="92"/>
    </w:p>
    <w:p>
      <w:pPr>
        <w:pStyle w:val="4"/>
        <w:rPr>
          <w:rFonts w:ascii="仿宋" w:hAnsi="仿宋" w:eastAsia="仿宋"/>
          <w:color w:val="000000"/>
        </w:rPr>
      </w:pPr>
      <w:bookmarkStart w:id="93" w:name="_Toc52180101"/>
      <w:bookmarkStart w:id="94" w:name="_Toc15396620"/>
      <w:r>
        <w:rPr>
          <w:rFonts w:hint="eastAsia" w:ascii="仿宋" w:hAnsi="仿宋" w:eastAsia="仿宋"/>
          <w:b w:val="0"/>
          <w:color w:val="000000"/>
        </w:rPr>
        <w:t>二、收</w:t>
      </w:r>
      <w:r>
        <w:rPr>
          <w:rStyle w:val="26"/>
          <w:rFonts w:hint="eastAsia" w:ascii="仿宋" w:hAnsi="仿宋" w:eastAsia="仿宋"/>
          <w:b w:val="0"/>
          <w:bCs w:val="0"/>
        </w:rPr>
        <w:t>入决算表</w:t>
      </w:r>
      <w:bookmarkEnd w:id="93"/>
      <w:bookmarkEnd w:id="94"/>
    </w:p>
    <w:p>
      <w:pPr>
        <w:pStyle w:val="4"/>
        <w:rPr>
          <w:rFonts w:ascii="仿宋" w:hAnsi="仿宋" w:eastAsia="仿宋"/>
          <w:color w:val="000000"/>
        </w:rPr>
      </w:pPr>
      <w:bookmarkStart w:id="95" w:name="_Toc52180102"/>
      <w:bookmarkStart w:id="96"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95"/>
      <w:bookmarkEnd w:id="96"/>
    </w:p>
    <w:p>
      <w:pPr>
        <w:pStyle w:val="4"/>
        <w:rPr>
          <w:rFonts w:ascii="仿宋" w:hAnsi="仿宋" w:eastAsia="仿宋"/>
          <w:b w:val="0"/>
          <w:color w:val="000000"/>
        </w:rPr>
      </w:pPr>
      <w:bookmarkStart w:id="97" w:name="_Toc15396622"/>
      <w:bookmarkStart w:id="98" w:name="_Toc52180103"/>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97"/>
      <w:bookmarkEnd w:id="98"/>
    </w:p>
    <w:p>
      <w:pPr>
        <w:pStyle w:val="4"/>
        <w:rPr>
          <w:rStyle w:val="26"/>
          <w:rFonts w:ascii="仿宋" w:hAnsi="仿宋" w:eastAsia="仿宋"/>
          <w:b w:val="0"/>
          <w:bCs w:val="0"/>
        </w:rPr>
      </w:pPr>
      <w:bookmarkStart w:id="99" w:name="_Toc15396623"/>
      <w:bookmarkStart w:id="100" w:name="_Toc52180104"/>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99"/>
      <w:bookmarkEnd w:id="100"/>
      <w:bookmarkStart w:id="101" w:name="_Toc15396624"/>
    </w:p>
    <w:p>
      <w:pPr>
        <w:pStyle w:val="4"/>
        <w:rPr>
          <w:rFonts w:ascii="仿宋" w:hAnsi="仿宋" w:eastAsia="仿宋"/>
          <w:color w:val="000000"/>
        </w:rPr>
      </w:pPr>
      <w:bookmarkStart w:id="102" w:name="_Toc52180105"/>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101"/>
      <w:bookmarkEnd w:id="102"/>
    </w:p>
    <w:p>
      <w:pPr>
        <w:pStyle w:val="4"/>
        <w:rPr>
          <w:rFonts w:ascii="仿宋" w:hAnsi="仿宋" w:eastAsia="仿宋"/>
          <w:color w:val="000000"/>
        </w:rPr>
      </w:pPr>
      <w:bookmarkStart w:id="103" w:name="_Toc52180106"/>
      <w:bookmarkStart w:id="104"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103"/>
      <w:bookmarkEnd w:id="104"/>
    </w:p>
    <w:p>
      <w:pPr>
        <w:pStyle w:val="4"/>
        <w:rPr>
          <w:rFonts w:ascii="仿宋" w:hAnsi="仿宋" w:eastAsia="仿宋"/>
          <w:color w:val="000000"/>
        </w:rPr>
      </w:pPr>
      <w:bookmarkStart w:id="105" w:name="_Toc15396626"/>
      <w:bookmarkStart w:id="106" w:name="_Toc52180107"/>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105"/>
      <w:bookmarkEnd w:id="106"/>
    </w:p>
    <w:p>
      <w:pPr>
        <w:pStyle w:val="4"/>
        <w:rPr>
          <w:rFonts w:ascii="仿宋" w:hAnsi="仿宋" w:eastAsia="仿宋"/>
          <w:color w:val="000000"/>
        </w:rPr>
      </w:pPr>
      <w:bookmarkStart w:id="107" w:name="_Toc15396627"/>
      <w:bookmarkStart w:id="108" w:name="_Toc52180108"/>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107"/>
      <w:bookmarkEnd w:id="108"/>
    </w:p>
    <w:p>
      <w:pPr>
        <w:pStyle w:val="4"/>
        <w:rPr>
          <w:rFonts w:ascii="仿宋" w:hAnsi="仿宋" w:eastAsia="仿宋"/>
          <w:color w:val="000000"/>
        </w:rPr>
      </w:pPr>
      <w:bookmarkStart w:id="109" w:name="_Toc15396628"/>
      <w:bookmarkStart w:id="110" w:name="_Toc52180109"/>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109"/>
      <w:bookmarkEnd w:id="110"/>
    </w:p>
    <w:p>
      <w:pPr>
        <w:pStyle w:val="4"/>
        <w:rPr>
          <w:rFonts w:ascii="仿宋" w:hAnsi="仿宋" w:eastAsia="仿宋"/>
          <w:color w:val="000000"/>
        </w:rPr>
      </w:pPr>
      <w:bookmarkStart w:id="111" w:name="_Toc15396629"/>
      <w:bookmarkStart w:id="112" w:name="_Toc52180110"/>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111"/>
      <w:bookmarkEnd w:id="112"/>
    </w:p>
    <w:p>
      <w:pPr>
        <w:pStyle w:val="4"/>
        <w:rPr>
          <w:rFonts w:ascii="仿宋" w:hAnsi="仿宋" w:eastAsia="仿宋"/>
          <w:color w:val="000000"/>
        </w:rPr>
      </w:pPr>
      <w:bookmarkStart w:id="113" w:name="_Toc15396630"/>
      <w:bookmarkStart w:id="114" w:name="_Toc52180111"/>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113"/>
      <w:bookmarkEnd w:id="114"/>
    </w:p>
    <w:p>
      <w:pPr>
        <w:pStyle w:val="4"/>
        <w:rPr>
          <w:rStyle w:val="26"/>
          <w:rFonts w:ascii="仿宋" w:hAnsi="仿宋" w:eastAsia="仿宋"/>
          <w:b w:val="0"/>
          <w:bCs w:val="0"/>
        </w:rPr>
      </w:pPr>
      <w:bookmarkStart w:id="115" w:name="_Toc15396631"/>
      <w:bookmarkStart w:id="116" w:name="_Toc52180112"/>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p>
    <w:p>
      <w:pPr>
        <w:rPr>
          <w:rFonts w:ascii="仿宋" w:hAnsi="仿宋" w:eastAsia="仿宋"/>
          <w:color w:val="000000" w:themeColor="text1"/>
          <w14:textFill>
            <w14:solidFill>
              <w14:schemeClr w14:val="tx1"/>
            </w14:solidFill>
          </w14:textFill>
        </w:rPr>
      </w:pPr>
      <w:r>
        <w:rPr>
          <w:rStyle w:val="26"/>
          <w:rFonts w:hint="eastAsia" w:ascii="仿宋" w:hAnsi="仿宋" w:eastAsia="仿宋"/>
          <w:b w:val="0"/>
          <w:bCs w:val="0"/>
        </w:rPr>
        <w:t>十四、国有资本经营预算财政拨款支出决算表</w:t>
      </w:r>
      <w:bookmarkEnd w:id="115"/>
      <w:bookmarkEnd w:id="11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3</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zZWRjZmJkZDdjMDk4OGE2NDU1NTEyYmFjYTI3ZDUifQ=="/>
  </w:docVars>
  <w:rsids>
    <w:rsidRoot w:val="00F1361C"/>
    <w:rsid w:val="000222C6"/>
    <w:rsid w:val="0002549F"/>
    <w:rsid w:val="000468DB"/>
    <w:rsid w:val="0006487A"/>
    <w:rsid w:val="00065F8F"/>
    <w:rsid w:val="00070A43"/>
    <w:rsid w:val="000768F2"/>
    <w:rsid w:val="0009184B"/>
    <w:rsid w:val="00093B52"/>
    <w:rsid w:val="00094236"/>
    <w:rsid w:val="0009593C"/>
    <w:rsid w:val="00097322"/>
    <w:rsid w:val="000A6A92"/>
    <w:rsid w:val="000B047F"/>
    <w:rsid w:val="000B5923"/>
    <w:rsid w:val="000B5A48"/>
    <w:rsid w:val="000B6FF3"/>
    <w:rsid w:val="000C3467"/>
    <w:rsid w:val="000C3CA6"/>
    <w:rsid w:val="000C4C47"/>
    <w:rsid w:val="000D1007"/>
    <w:rsid w:val="000D1267"/>
    <w:rsid w:val="000D1D50"/>
    <w:rsid w:val="000D5782"/>
    <w:rsid w:val="000E6613"/>
    <w:rsid w:val="000E6D62"/>
    <w:rsid w:val="000E7119"/>
    <w:rsid w:val="00114E9B"/>
    <w:rsid w:val="0013531C"/>
    <w:rsid w:val="00142216"/>
    <w:rsid w:val="00144D6A"/>
    <w:rsid w:val="0014729F"/>
    <w:rsid w:val="00157BAB"/>
    <w:rsid w:val="001654D1"/>
    <w:rsid w:val="00174518"/>
    <w:rsid w:val="0018106D"/>
    <w:rsid w:val="001877A7"/>
    <w:rsid w:val="00187FC1"/>
    <w:rsid w:val="00191536"/>
    <w:rsid w:val="00192293"/>
    <w:rsid w:val="00193CB2"/>
    <w:rsid w:val="00196687"/>
    <w:rsid w:val="001C0962"/>
    <w:rsid w:val="001D7531"/>
    <w:rsid w:val="001E737D"/>
    <w:rsid w:val="001F0592"/>
    <w:rsid w:val="001F4B81"/>
    <w:rsid w:val="001F7506"/>
    <w:rsid w:val="002006CD"/>
    <w:rsid w:val="0020242D"/>
    <w:rsid w:val="00202B36"/>
    <w:rsid w:val="00204B7A"/>
    <w:rsid w:val="00204CDE"/>
    <w:rsid w:val="0021101A"/>
    <w:rsid w:val="00220536"/>
    <w:rsid w:val="00235629"/>
    <w:rsid w:val="00260C38"/>
    <w:rsid w:val="002616C0"/>
    <w:rsid w:val="00265372"/>
    <w:rsid w:val="002662AA"/>
    <w:rsid w:val="00270819"/>
    <w:rsid w:val="00280496"/>
    <w:rsid w:val="00294DC9"/>
    <w:rsid w:val="00295495"/>
    <w:rsid w:val="002A31DE"/>
    <w:rsid w:val="002B2613"/>
    <w:rsid w:val="002D19B0"/>
    <w:rsid w:val="002D30C7"/>
    <w:rsid w:val="002D6D05"/>
    <w:rsid w:val="002F1818"/>
    <w:rsid w:val="002F567B"/>
    <w:rsid w:val="00302E77"/>
    <w:rsid w:val="003216A9"/>
    <w:rsid w:val="00326D58"/>
    <w:rsid w:val="00327F31"/>
    <w:rsid w:val="0033023A"/>
    <w:rsid w:val="00335A74"/>
    <w:rsid w:val="0035447F"/>
    <w:rsid w:val="00355C62"/>
    <w:rsid w:val="0036561B"/>
    <w:rsid w:val="00366BC3"/>
    <w:rsid w:val="0037013F"/>
    <w:rsid w:val="003747FC"/>
    <w:rsid w:val="0038059C"/>
    <w:rsid w:val="00380C92"/>
    <w:rsid w:val="00387DED"/>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38A9"/>
    <w:rsid w:val="00434489"/>
    <w:rsid w:val="00437085"/>
    <w:rsid w:val="004414C7"/>
    <w:rsid w:val="00443880"/>
    <w:rsid w:val="004464F4"/>
    <w:rsid w:val="00471401"/>
    <w:rsid w:val="00473F31"/>
    <w:rsid w:val="004765AC"/>
    <w:rsid w:val="0048263A"/>
    <w:rsid w:val="00487E5D"/>
    <w:rsid w:val="004A711F"/>
    <w:rsid w:val="004B199D"/>
    <w:rsid w:val="004B4690"/>
    <w:rsid w:val="004E0A2D"/>
    <w:rsid w:val="004E206B"/>
    <w:rsid w:val="004E6DF7"/>
    <w:rsid w:val="004E7C3A"/>
    <w:rsid w:val="004F0FBD"/>
    <w:rsid w:val="004F403E"/>
    <w:rsid w:val="00505A47"/>
    <w:rsid w:val="00507D09"/>
    <w:rsid w:val="00512FDA"/>
    <w:rsid w:val="00520DA0"/>
    <w:rsid w:val="005540AE"/>
    <w:rsid w:val="005664BB"/>
    <w:rsid w:val="00566FFA"/>
    <w:rsid w:val="0057481D"/>
    <w:rsid w:val="00575F0B"/>
    <w:rsid w:val="0058486E"/>
    <w:rsid w:val="00585B33"/>
    <w:rsid w:val="0059014D"/>
    <w:rsid w:val="005B5C64"/>
    <w:rsid w:val="005C0E8E"/>
    <w:rsid w:val="005C6BD0"/>
    <w:rsid w:val="005C6C4C"/>
    <w:rsid w:val="005D1C8B"/>
    <w:rsid w:val="005D3DF0"/>
    <w:rsid w:val="005D468D"/>
    <w:rsid w:val="005D5CED"/>
    <w:rsid w:val="005F1A4C"/>
    <w:rsid w:val="005F4A69"/>
    <w:rsid w:val="00605688"/>
    <w:rsid w:val="006070AF"/>
    <w:rsid w:val="00607E6C"/>
    <w:rsid w:val="006101B1"/>
    <w:rsid w:val="00613A51"/>
    <w:rsid w:val="00614E44"/>
    <w:rsid w:val="0062270A"/>
    <w:rsid w:val="00622830"/>
    <w:rsid w:val="00623DA0"/>
    <w:rsid w:val="00630AEF"/>
    <w:rsid w:val="006325F8"/>
    <w:rsid w:val="00632D60"/>
    <w:rsid w:val="00633463"/>
    <w:rsid w:val="00634C9A"/>
    <w:rsid w:val="006440E4"/>
    <w:rsid w:val="00644774"/>
    <w:rsid w:val="0066343B"/>
    <w:rsid w:val="00664777"/>
    <w:rsid w:val="006655B7"/>
    <w:rsid w:val="00672617"/>
    <w:rsid w:val="006748A4"/>
    <w:rsid w:val="00681A31"/>
    <w:rsid w:val="00683E73"/>
    <w:rsid w:val="0068639A"/>
    <w:rsid w:val="006A3141"/>
    <w:rsid w:val="006A5E34"/>
    <w:rsid w:val="006B2422"/>
    <w:rsid w:val="006B2B9A"/>
    <w:rsid w:val="006C1937"/>
    <w:rsid w:val="006D0A93"/>
    <w:rsid w:val="006F020C"/>
    <w:rsid w:val="007127B7"/>
    <w:rsid w:val="0071798E"/>
    <w:rsid w:val="0072319A"/>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59CC"/>
    <w:rsid w:val="007F10DE"/>
    <w:rsid w:val="007F1991"/>
    <w:rsid w:val="007F2C2F"/>
    <w:rsid w:val="007F55FC"/>
    <w:rsid w:val="007F5665"/>
    <w:rsid w:val="00800112"/>
    <w:rsid w:val="00813348"/>
    <w:rsid w:val="008253BB"/>
    <w:rsid w:val="00833962"/>
    <w:rsid w:val="0083706E"/>
    <w:rsid w:val="008408F6"/>
    <w:rsid w:val="008423A5"/>
    <w:rsid w:val="00850625"/>
    <w:rsid w:val="00853718"/>
    <w:rsid w:val="00853D55"/>
    <w:rsid w:val="00855221"/>
    <w:rsid w:val="00860645"/>
    <w:rsid w:val="00871F71"/>
    <w:rsid w:val="00872FD8"/>
    <w:rsid w:val="00885AF4"/>
    <w:rsid w:val="008939CD"/>
    <w:rsid w:val="008979EE"/>
    <w:rsid w:val="008B768C"/>
    <w:rsid w:val="008C4DB1"/>
    <w:rsid w:val="008C4EAF"/>
    <w:rsid w:val="008C5176"/>
    <w:rsid w:val="008C7FD0"/>
    <w:rsid w:val="008E1DE7"/>
    <w:rsid w:val="008E707C"/>
    <w:rsid w:val="008F0B6A"/>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3A91"/>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4C2E"/>
    <w:rsid w:val="00A268C4"/>
    <w:rsid w:val="00A307CD"/>
    <w:rsid w:val="00A331C8"/>
    <w:rsid w:val="00A35117"/>
    <w:rsid w:val="00A36ABF"/>
    <w:rsid w:val="00A40A00"/>
    <w:rsid w:val="00A4142F"/>
    <w:rsid w:val="00A422EB"/>
    <w:rsid w:val="00A45BB7"/>
    <w:rsid w:val="00A56DF2"/>
    <w:rsid w:val="00A56E6E"/>
    <w:rsid w:val="00A62336"/>
    <w:rsid w:val="00A67AB5"/>
    <w:rsid w:val="00A733B2"/>
    <w:rsid w:val="00A741C2"/>
    <w:rsid w:val="00A91760"/>
    <w:rsid w:val="00A93B00"/>
    <w:rsid w:val="00A93C21"/>
    <w:rsid w:val="00AB07A1"/>
    <w:rsid w:val="00AB64C9"/>
    <w:rsid w:val="00AC1113"/>
    <w:rsid w:val="00AC3C6A"/>
    <w:rsid w:val="00AD0F83"/>
    <w:rsid w:val="00AD5620"/>
    <w:rsid w:val="00AD656B"/>
    <w:rsid w:val="00AD7C1B"/>
    <w:rsid w:val="00AE16BA"/>
    <w:rsid w:val="00AE1EBE"/>
    <w:rsid w:val="00AF6403"/>
    <w:rsid w:val="00B03C9D"/>
    <w:rsid w:val="00B060AE"/>
    <w:rsid w:val="00B10517"/>
    <w:rsid w:val="00B14E76"/>
    <w:rsid w:val="00B161B8"/>
    <w:rsid w:val="00B2048C"/>
    <w:rsid w:val="00B310B9"/>
    <w:rsid w:val="00B35F3F"/>
    <w:rsid w:val="00B3603A"/>
    <w:rsid w:val="00B36CBB"/>
    <w:rsid w:val="00B425E0"/>
    <w:rsid w:val="00B440AA"/>
    <w:rsid w:val="00B44B70"/>
    <w:rsid w:val="00B53C56"/>
    <w:rsid w:val="00B56B9E"/>
    <w:rsid w:val="00B57DAF"/>
    <w:rsid w:val="00B73091"/>
    <w:rsid w:val="00B76A26"/>
    <w:rsid w:val="00B77EA6"/>
    <w:rsid w:val="00B81598"/>
    <w:rsid w:val="00B841F1"/>
    <w:rsid w:val="00B944D6"/>
    <w:rsid w:val="00BB2DEB"/>
    <w:rsid w:val="00BB4DF0"/>
    <w:rsid w:val="00BC289F"/>
    <w:rsid w:val="00BC2D50"/>
    <w:rsid w:val="00BC5361"/>
    <w:rsid w:val="00BC5460"/>
    <w:rsid w:val="00BC6B50"/>
    <w:rsid w:val="00BD0E25"/>
    <w:rsid w:val="00BF5BD6"/>
    <w:rsid w:val="00BF69F7"/>
    <w:rsid w:val="00C03E31"/>
    <w:rsid w:val="00C30E69"/>
    <w:rsid w:val="00C33E72"/>
    <w:rsid w:val="00C354B2"/>
    <w:rsid w:val="00C35554"/>
    <w:rsid w:val="00C42709"/>
    <w:rsid w:val="00C42798"/>
    <w:rsid w:val="00C533CC"/>
    <w:rsid w:val="00C5751C"/>
    <w:rsid w:val="00C61BFC"/>
    <w:rsid w:val="00C62B85"/>
    <w:rsid w:val="00C64692"/>
    <w:rsid w:val="00C65438"/>
    <w:rsid w:val="00C77F8C"/>
    <w:rsid w:val="00C91CBB"/>
    <w:rsid w:val="00CB4E70"/>
    <w:rsid w:val="00CC09B6"/>
    <w:rsid w:val="00CC0C30"/>
    <w:rsid w:val="00CC666F"/>
    <w:rsid w:val="00CD1E3F"/>
    <w:rsid w:val="00CE44F6"/>
    <w:rsid w:val="00CE49DA"/>
    <w:rsid w:val="00CE7B61"/>
    <w:rsid w:val="00D00095"/>
    <w:rsid w:val="00D016EB"/>
    <w:rsid w:val="00D0261D"/>
    <w:rsid w:val="00D103E7"/>
    <w:rsid w:val="00D114F0"/>
    <w:rsid w:val="00D20620"/>
    <w:rsid w:val="00D23975"/>
    <w:rsid w:val="00D254F7"/>
    <w:rsid w:val="00D26091"/>
    <w:rsid w:val="00D2685C"/>
    <w:rsid w:val="00D34E7C"/>
    <w:rsid w:val="00D35489"/>
    <w:rsid w:val="00D36AFE"/>
    <w:rsid w:val="00D51276"/>
    <w:rsid w:val="00D54F93"/>
    <w:rsid w:val="00D5763F"/>
    <w:rsid w:val="00D7035F"/>
    <w:rsid w:val="00D92060"/>
    <w:rsid w:val="00DA634F"/>
    <w:rsid w:val="00DA65AC"/>
    <w:rsid w:val="00DB1913"/>
    <w:rsid w:val="00DB57DE"/>
    <w:rsid w:val="00DC410D"/>
    <w:rsid w:val="00DC5A81"/>
    <w:rsid w:val="00DC68CA"/>
    <w:rsid w:val="00DC7CBA"/>
    <w:rsid w:val="00DD73B7"/>
    <w:rsid w:val="00DF28BC"/>
    <w:rsid w:val="00DF34B9"/>
    <w:rsid w:val="00DF55EE"/>
    <w:rsid w:val="00E01053"/>
    <w:rsid w:val="00E07ACF"/>
    <w:rsid w:val="00E260DE"/>
    <w:rsid w:val="00E331A1"/>
    <w:rsid w:val="00E33202"/>
    <w:rsid w:val="00E336A9"/>
    <w:rsid w:val="00E472B1"/>
    <w:rsid w:val="00E50624"/>
    <w:rsid w:val="00E568DF"/>
    <w:rsid w:val="00E64269"/>
    <w:rsid w:val="00E66797"/>
    <w:rsid w:val="00E750B5"/>
    <w:rsid w:val="00E802E4"/>
    <w:rsid w:val="00E82267"/>
    <w:rsid w:val="00E84581"/>
    <w:rsid w:val="00E853CE"/>
    <w:rsid w:val="00E867B6"/>
    <w:rsid w:val="00E87F08"/>
    <w:rsid w:val="00E919E0"/>
    <w:rsid w:val="00EA010F"/>
    <w:rsid w:val="00EB376A"/>
    <w:rsid w:val="00ED1B63"/>
    <w:rsid w:val="00ED3C1F"/>
    <w:rsid w:val="00ED4085"/>
    <w:rsid w:val="00ED420E"/>
    <w:rsid w:val="00ED6FBE"/>
    <w:rsid w:val="00EE2F57"/>
    <w:rsid w:val="00EE3A96"/>
    <w:rsid w:val="00EF4C34"/>
    <w:rsid w:val="00EF77C6"/>
    <w:rsid w:val="00F04C1D"/>
    <w:rsid w:val="00F05438"/>
    <w:rsid w:val="00F1361C"/>
    <w:rsid w:val="00F156F0"/>
    <w:rsid w:val="00F160C7"/>
    <w:rsid w:val="00F2408F"/>
    <w:rsid w:val="00F240E9"/>
    <w:rsid w:val="00F36D8F"/>
    <w:rsid w:val="00F417B1"/>
    <w:rsid w:val="00F44725"/>
    <w:rsid w:val="00F45853"/>
    <w:rsid w:val="00F57670"/>
    <w:rsid w:val="00F602DF"/>
    <w:rsid w:val="00F67527"/>
    <w:rsid w:val="00F754A1"/>
    <w:rsid w:val="00F81FD9"/>
    <w:rsid w:val="00F841AA"/>
    <w:rsid w:val="00F84A94"/>
    <w:rsid w:val="00F87E96"/>
    <w:rsid w:val="00F92093"/>
    <w:rsid w:val="00F93F92"/>
    <w:rsid w:val="00FA23E8"/>
    <w:rsid w:val="00FD3CC1"/>
    <w:rsid w:val="00FE15D0"/>
    <w:rsid w:val="00FF160F"/>
    <w:rsid w:val="00FF1E02"/>
    <w:rsid w:val="00FF30B4"/>
    <w:rsid w:val="08135F0E"/>
    <w:rsid w:val="10C055FF"/>
    <w:rsid w:val="10D92F4B"/>
    <w:rsid w:val="135D2E40"/>
    <w:rsid w:val="14107EB2"/>
    <w:rsid w:val="14AB002A"/>
    <w:rsid w:val="150707EC"/>
    <w:rsid w:val="16BB723D"/>
    <w:rsid w:val="196F11D7"/>
    <w:rsid w:val="1B882B78"/>
    <w:rsid w:val="1D321DEF"/>
    <w:rsid w:val="1F2D5C87"/>
    <w:rsid w:val="20446B5F"/>
    <w:rsid w:val="240371BF"/>
    <w:rsid w:val="259A06CF"/>
    <w:rsid w:val="265C6F87"/>
    <w:rsid w:val="269C463E"/>
    <w:rsid w:val="27421CD9"/>
    <w:rsid w:val="29FD04D3"/>
    <w:rsid w:val="2A8C46BD"/>
    <w:rsid w:val="2CF527A7"/>
    <w:rsid w:val="319F7F4E"/>
    <w:rsid w:val="33C06DA7"/>
    <w:rsid w:val="34713BFD"/>
    <w:rsid w:val="3A9C574C"/>
    <w:rsid w:val="3AAE6A08"/>
    <w:rsid w:val="3B147191"/>
    <w:rsid w:val="3CCB68DC"/>
    <w:rsid w:val="3E536437"/>
    <w:rsid w:val="3F10781E"/>
    <w:rsid w:val="413B487B"/>
    <w:rsid w:val="4372470F"/>
    <w:rsid w:val="4533142E"/>
    <w:rsid w:val="45D37BB3"/>
    <w:rsid w:val="465876FB"/>
    <w:rsid w:val="4A5E5603"/>
    <w:rsid w:val="4CFB6302"/>
    <w:rsid w:val="4ECE2238"/>
    <w:rsid w:val="50025BF9"/>
    <w:rsid w:val="518E5997"/>
    <w:rsid w:val="550751B0"/>
    <w:rsid w:val="55B72954"/>
    <w:rsid w:val="572B68B6"/>
    <w:rsid w:val="5A3F468A"/>
    <w:rsid w:val="5AE619BC"/>
    <w:rsid w:val="5C05618F"/>
    <w:rsid w:val="5C734107"/>
    <w:rsid w:val="5CEE2AEF"/>
    <w:rsid w:val="5ED01898"/>
    <w:rsid w:val="5ED426C2"/>
    <w:rsid w:val="652A37D1"/>
    <w:rsid w:val="694806C9"/>
    <w:rsid w:val="70F7553D"/>
    <w:rsid w:val="715D1057"/>
    <w:rsid w:val="72734D90"/>
    <w:rsid w:val="72AB0DA9"/>
    <w:rsid w:val="73B1375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link w:val="31"/>
    <w:unhideWhenUsed/>
    <w:qFormat/>
    <w:uiPriority w:val="0"/>
    <w:rPr>
      <w:rFonts w:ascii="宋体" w:hAnsi="Courier New"/>
    </w:r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纯文本 Char"/>
    <w:basedOn w:val="14"/>
    <w:link w:val="7"/>
    <w:qFormat/>
    <w:uiPriority w:val="0"/>
    <w:rPr>
      <w:rFonts w:ascii="宋体" w:hAnsi="Courier New"/>
      <w:kern w:val="2"/>
      <w:sz w:val="21"/>
      <w:szCs w:val="24"/>
    </w:rPr>
  </w:style>
  <w:style w:type="character" w:customStyle="1" w:styleId="32">
    <w:name w:val="font81"/>
    <w:basedOn w:val="14"/>
    <w:qFormat/>
    <w:uiPriority w:val="0"/>
    <w:rPr>
      <w:rFonts w:hint="default" w:ascii="Times New Roman" w:hAnsi="Times New Roman" w:cs="Times New Roman"/>
      <w:color w:val="000000"/>
      <w:sz w:val="24"/>
      <w:szCs w:val="24"/>
      <w:u w:val="none"/>
    </w:rPr>
  </w:style>
  <w:style w:type="character" w:customStyle="1" w:styleId="33">
    <w:name w:val="font11"/>
    <w:basedOn w:val="14"/>
    <w:qFormat/>
    <w:uiPriority w:val="0"/>
    <w:rPr>
      <w:rFonts w:hint="eastAsia" w:ascii="宋体" w:hAnsi="宋体" w:eastAsia="宋体" w:cs="宋体"/>
      <w:color w:val="000000"/>
      <w:sz w:val="24"/>
      <w:szCs w:val="24"/>
      <w:u w:val="none"/>
    </w:rPr>
  </w:style>
  <w:style w:type="character" w:customStyle="1" w:styleId="34">
    <w:name w:val="font71"/>
    <w:basedOn w:val="14"/>
    <w:qFormat/>
    <w:uiPriority w:val="0"/>
    <w:rPr>
      <w:rFonts w:hint="default" w:ascii="Times New Roman" w:hAnsi="Times New Roman" w:cs="Times New Roman"/>
      <w:color w:val="000000"/>
      <w:sz w:val="24"/>
      <w:szCs w:val="24"/>
      <w:u w:val="none"/>
    </w:rPr>
  </w:style>
  <w:style w:type="paragraph" w:customStyle="1" w:styleId="35">
    <w:name w:val="WPSOffice手动目录 1"/>
    <w:qFormat/>
    <w:uiPriority w:val="0"/>
    <w:pPr>
      <w:ind w:leftChars="0"/>
    </w:pPr>
    <w:rPr>
      <w:rFonts w:ascii="Times New Roman" w:hAnsi="Times New Roman" w:eastAsia="宋体" w:cs="Times New Roman"/>
      <w:sz w:val="20"/>
      <w:szCs w:val="20"/>
      <w:lang w:val="en-US" w:eastAsia="zh-CN" w:bidi="ar-SA"/>
    </w:rPr>
  </w:style>
  <w:style w:type="paragraph" w:customStyle="1" w:styleId="36">
    <w:name w:val="WPSOffice手动目录 2"/>
    <w:qFormat/>
    <w:uiPriority w:val="0"/>
    <w:pPr>
      <w:ind w:leftChars="200"/>
    </w:pPr>
    <w:rPr>
      <w:rFonts w:ascii="Times New Roman" w:hAnsi="Times New Roman" w:eastAsia="宋体" w:cs="Times New Roman"/>
      <w:sz w:val="20"/>
      <w:szCs w:val="20"/>
      <w:lang w:val="en-US" w:eastAsia="zh-CN" w:bidi="ar-SA"/>
    </w:rPr>
  </w:style>
  <w:style w:type="character" w:customStyle="1" w:styleId="37">
    <w:name w:val="font41"/>
    <w:basedOn w:val="1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5A8A3-A0EB-4E4F-B0EA-3E5A35C3D9FB}">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26</Pages>
  <Words>8970</Words>
  <Characters>9952</Characters>
  <Lines>133</Lines>
  <Paragraphs>37</Paragraphs>
  <TotalTime>9</TotalTime>
  <ScaleCrop>false</ScaleCrop>
  <LinksUpToDate>false</LinksUpToDate>
  <CharactersWithSpaces>10035</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邓雨欣</cp:lastModifiedBy>
  <cp:lastPrinted>2022-01-27T09:01:00Z</cp:lastPrinted>
  <dcterms:modified xsi:type="dcterms:W3CDTF">2023-06-08T02:06:56Z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5A99DB12012A4DD5B64BD938FDEBEB29</vt:lpwstr>
  </property>
</Properties>
</file>