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8"/>
          <w:szCs w:val="38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盐边县经济合作和商务局行政权力事项调整目录</w:t>
      </w:r>
      <w:bookmarkEnd w:id="0"/>
    </w:p>
    <w:tbl>
      <w:tblPr>
        <w:tblStyle w:val="5"/>
        <w:tblpPr w:leftFromText="180" w:rightFromText="180" w:vertAnchor="text" w:horzAnchor="page" w:tblpX="1356" w:tblpY="163"/>
        <w:tblOverlap w:val="never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851"/>
        <w:gridCol w:w="4155"/>
        <w:gridCol w:w="645"/>
        <w:gridCol w:w="810"/>
        <w:gridCol w:w="2130"/>
        <w:gridCol w:w="780"/>
        <w:gridCol w:w="3765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6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当前情况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调整方式</w:t>
            </w:r>
          </w:p>
        </w:tc>
        <w:tc>
          <w:tcPr>
            <w:tcW w:w="21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调整原因及依据</w:t>
            </w:r>
          </w:p>
        </w:tc>
        <w:tc>
          <w:tcPr>
            <w:tcW w:w="52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调整后情况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权力类型</w:t>
            </w:r>
          </w:p>
        </w:tc>
        <w:tc>
          <w:tcPr>
            <w:tcW w:w="4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权力名称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权力类型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权力名称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4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对外贸易经营者备案登记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取消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《中华人民共和国对外贸易法》修订后，已删除相关规定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4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洗染业经营者备案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保留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鉴于“多证合一”仅是为了利企便民进行的证照整合和服务优化，相关法律法规规章中仍有备案规定，有关部门仍需加强事中事后监管，现继续保留“洗染业经营者备案”事项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洗染业经营者备案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清单序号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210</w:t>
            </w:r>
          </w:p>
        </w:tc>
      </w:tr>
    </w:tbl>
    <w:p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ZjUxY2JkYzc0ZWMxNWUxODljYzFjNmU0ZWU2ZTYifQ=="/>
  </w:docVars>
  <w:rsids>
    <w:rsidRoot w:val="53405323"/>
    <w:rsid w:val="5340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2023-05-15T07:53:00Z</dcterms:created>
  <dc:creator>‍‍‍‍‍‍‍‍‍‍‍‍</dc:creator>
  <cp:lastModifiedBy>‍‍‍‍‍‍‍‍‍‍‍‍</cp:lastModifiedBy>
  <dcterms:modified xsi:type="dcterms:W3CDTF">2023-05-15T07:54:15Z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EF81202F3E7949D5AADEECF2FA26A35F_11</vt:lpwstr>
  </property>
</Properties>
</file>