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9"/>
        <w:rPr>
          <w:rFonts w:ascii="方正小标宋简体" w:hAnsi="宋体" w:eastAsia="方正小标宋简体"/>
          <w:sz w:val="72"/>
          <w:szCs w:val="72"/>
        </w:rPr>
      </w:pPr>
      <w:bookmarkStart w:id="0" w:name="_Toc15306267"/>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spacing w:line="600" w:lineRule="exact"/>
        <w:jc w:val="center"/>
        <w:outlineLvl w:val="9"/>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8333"/>
      <w:bookmarkStart w:id="3" w:name="_Toc15378441"/>
      <w:bookmarkStart w:id="4" w:name="_Toc15396475"/>
      <w:bookmarkStart w:id="5" w:name="_Toc15377425"/>
      <w:bookmarkStart w:id="6"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bookmarkEnd w:id="6"/>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val="en-US" w:eastAsia="zh-CN"/>
        </w:rPr>
      </w:pPr>
      <w:bookmarkStart w:id="7" w:name="_Toc21516"/>
      <w:bookmarkStart w:id="8" w:name="_Toc15396598"/>
      <w:bookmarkStart w:id="9" w:name="_Toc15377426"/>
      <w:bookmarkStart w:id="10" w:name="_Toc15378442"/>
      <w:bookmarkStart w:id="11" w:name="_Toc15377194"/>
      <w:bookmarkStart w:id="12" w:name="_Toc15396476"/>
      <w:r>
        <w:rPr>
          <w:rFonts w:hint="eastAsia" w:ascii="方正小标宋简体" w:hAnsi="方正小标宋简体" w:eastAsia="方正小标宋简体" w:cs="方正小标宋简体"/>
          <w:sz w:val="72"/>
          <w:szCs w:val="72"/>
        </w:rPr>
        <w:t>盐边县</w:t>
      </w:r>
      <w:bookmarkEnd w:id="0"/>
      <w:bookmarkStart w:id="13" w:name="_Toc15306268"/>
      <w:r>
        <w:rPr>
          <w:rFonts w:hint="eastAsia" w:ascii="方正小标宋简体" w:hAnsi="方正小标宋简体" w:eastAsia="方正小标宋简体" w:cs="方正小标宋简体"/>
          <w:sz w:val="72"/>
          <w:szCs w:val="72"/>
          <w:lang w:val="en-US" w:eastAsia="zh-CN"/>
        </w:rPr>
        <w:t>国胜中心卫生院</w:t>
      </w:r>
      <w:bookmarkEnd w:id="7"/>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14" w:name="_Toc30794"/>
      <w:r>
        <w:rPr>
          <w:rFonts w:hint="eastAsia" w:ascii="方正小标宋简体" w:hAnsi="方正小标宋简体" w:eastAsia="方正小标宋简体" w:cs="方正小标宋简体"/>
          <w:sz w:val="72"/>
          <w:szCs w:val="72"/>
        </w:rPr>
        <w:t>单位决算</w:t>
      </w:r>
      <w:bookmarkEnd w:id="8"/>
      <w:bookmarkEnd w:id="9"/>
      <w:bookmarkEnd w:id="10"/>
      <w:bookmarkEnd w:id="11"/>
      <w:bookmarkEnd w:id="12"/>
      <w:bookmarkEnd w:id="13"/>
      <w:bookmarkEnd w:id="14"/>
      <w:r>
        <w:rPr>
          <w:rFonts w:hint="eastAsia" w:ascii="方正小标宋简体" w:hAnsi="方正小标宋简体" w:eastAsia="方正小标宋简体" w:cs="方正小标宋简体"/>
          <w:sz w:val="72"/>
          <w:szCs w:val="72"/>
          <w:lang w:eastAsia="zh-CN"/>
        </w:rPr>
        <w:t>公开编制说明</w:t>
      </w:r>
    </w:p>
    <w:p>
      <w:pPr>
        <w:adjustRightInd w:val="0"/>
        <w:snapToGrid w:val="0"/>
        <w:spacing w:line="360" w:lineRule="auto"/>
        <w:jc w:val="center"/>
        <w:outlineLvl w:val="0"/>
        <w:rPr>
          <w:rFonts w:ascii="方正小标宋简体" w:hAnsi="方正小标宋简体" w:eastAsia="方正小标宋简体" w:cs="方正小标宋简体"/>
          <w:sz w:val="72"/>
          <w:szCs w:val="7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黑体"/>
          <w:sz w:val="28"/>
          <w:szCs w:val="28"/>
        </w:rPr>
      </w:pPr>
    </w:p>
    <w:p>
      <w:pPr>
        <w:pStyle w:val="11"/>
      </w:pPr>
      <w:r>
        <w:rPr>
          <w:rFonts w:hint="eastAsia"/>
        </w:rPr>
        <w:t>公开时间：2022年</w:t>
      </w:r>
      <w:r>
        <w:rPr>
          <w:rFonts w:hint="eastAsia"/>
          <w:lang w:val="en-US" w:eastAsia="zh-CN"/>
        </w:rPr>
        <w:t>11</w:t>
      </w:r>
      <w:r>
        <w:rPr>
          <w:rFonts w:hint="eastAsia"/>
        </w:rPr>
        <w:t>月</w:t>
      </w:r>
      <w:r>
        <w:rPr>
          <w:rFonts w:hint="eastAsia"/>
          <w:lang w:val="en-US" w:eastAsia="zh-CN"/>
        </w:rPr>
        <w:t>1</w:t>
      </w:r>
      <w:r>
        <w:rPr>
          <w:rFonts w:hint="eastAsia"/>
        </w:rPr>
        <w:t>日</w:t>
      </w:r>
    </w:p>
    <w:p/>
    <w:p>
      <w:pPr>
        <w:spacing w:before="0" w:beforeLines="0" w:after="0" w:afterLines="0" w:line="240" w:lineRule="auto"/>
        <w:ind w:left="0" w:leftChars="0" w:right="0" w:firstLine="0" w:firstLineChars="0"/>
        <w:jc w:val="center"/>
      </w:pPr>
    </w:p>
    <w:p>
      <w:pPr>
        <w:pStyle w:val="22"/>
        <w:tabs>
          <w:tab w:val="right" w:leader="dot" w:pos="8306"/>
        </w:tabs>
        <w:rPr>
          <w:rFonts w:hint="eastAsia" w:ascii="黑体" w:hAnsi="黑体" w:eastAsia="黑体" w:cs="黑体"/>
          <w:b w:val="0"/>
          <w:bCs w:val="0"/>
          <w:sz w:val="28"/>
          <w:szCs w:val="28"/>
        </w:rPr>
      </w:pPr>
      <w:r>
        <w:rPr>
          <w:b w:val="0"/>
          <w:bCs w:val="0"/>
        </w:rPr>
        <w:fldChar w:fldCharType="begin"/>
      </w:r>
      <w:r>
        <w:rPr>
          <w:b w:val="0"/>
          <w:bCs w:val="0"/>
        </w:rPr>
        <w:instrText xml:space="preserve">TOC \o "1-2" \h \u </w:instrText>
      </w:r>
      <w:r>
        <w:rPr>
          <w:b w:val="0"/>
          <w:bCs w:val="0"/>
        </w:rPr>
        <w:fldChar w:fldCharType="separate"/>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_Toc220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第一部分 单位概况</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4</w:t>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_Toc20849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一、职能简介</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4</w:t>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_Toc580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二、2021年重点工作完成情况</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4</w:t>
      </w:r>
      <w:r>
        <w:rPr>
          <w:rFonts w:hint="eastAsia" w:ascii="黑体" w:hAnsi="黑体" w:eastAsia="黑体" w:cs="黑体"/>
          <w:b w:val="0"/>
          <w:bCs w:val="0"/>
          <w:sz w:val="28"/>
          <w:szCs w:val="28"/>
        </w:rPr>
        <w:fldChar w:fldCharType="end"/>
      </w:r>
    </w:p>
    <w:p>
      <w:pPr>
        <w:pStyle w:val="22"/>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_Toc9153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第二部分 2021年度单位决算情况说明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_Toc9153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7</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_Toc4183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一、 收入支出决算总体情况说明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_Toc4183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7</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_Toc20640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二、 收入决算情况说明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7</w:t>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_Toc26654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三、 支出决算情况说明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8</w:t>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_Toc17627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四、财政拨款收入支出决算总体情况说明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9</w:t>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_Toc28910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五、一般公共预算财政拨款支出决算情况说明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9</w:t>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_Toc30132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六、一般公共预算财政拨款基本支出决算情况说明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1</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3</w:t>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_Toc22225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七、“三公”经费财政拨款支出决算情况说明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1</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3</w:t>
      </w:r>
    </w:p>
    <w:p>
      <w:pPr>
        <w:pStyle w:val="23"/>
        <w:tabs>
          <w:tab w:val="right" w:leader="dot" w:pos="8306"/>
        </w:tabs>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_Toc1497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八、政府性基金预算支出决算情况说明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15</w:t>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_Toc24471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九、 国有资本经营预算支出决算情况说明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_Toc24471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1</w:t>
      </w:r>
      <w:r>
        <w:rPr>
          <w:rFonts w:hint="eastAsia" w:ascii="黑体" w:hAnsi="黑体" w:eastAsia="黑体" w:cs="黑体"/>
          <w:b w:val="0"/>
          <w:bCs w:val="0"/>
          <w:sz w:val="28"/>
          <w:szCs w:val="28"/>
          <w:lang w:val="en-US" w:eastAsia="zh-CN"/>
        </w:rPr>
        <w:t>5</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_Toc17425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十、 其他重要事项的情况说明</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_Toc17425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1</w:t>
      </w:r>
      <w:r>
        <w:rPr>
          <w:rFonts w:hint="eastAsia" w:ascii="黑体" w:hAnsi="黑体" w:eastAsia="黑体" w:cs="黑体"/>
          <w:b w:val="0"/>
          <w:bCs w:val="0"/>
          <w:sz w:val="28"/>
          <w:szCs w:val="28"/>
          <w:lang w:val="en-US" w:eastAsia="zh-CN"/>
        </w:rPr>
        <w:t>5</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 xml:space="preserve"> </w:t>
      </w:r>
    </w:p>
    <w:p>
      <w:pPr>
        <w:pStyle w:val="23"/>
        <w:tabs>
          <w:tab w:val="right" w:leader="dot" w:pos="8306"/>
        </w:tabs>
        <w:ind w:left="0" w:leftChars="0" w:firstLine="0" w:firstLineChars="0"/>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_Toc3830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第三部分 名词解释</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17</w:t>
      </w:r>
    </w:p>
    <w:p>
      <w:pPr>
        <w:pStyle w:val="22"/>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_Toc7424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第四部分 附件</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_Toc7424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0</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2"/>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_Toc26269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第五部分 附表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eastAsia" w:ascii="黑体" w:hAnsi="黑体" w:eastAsia="黑体" w:cs="黑体"/>
          <w:b w:val="0"/>
          <w:bCs w:val="0"/>
          <w:sz w:val="28"/>
          <w:szCs w:val="28"/>
        </w:rPr>
      </w:pP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_Toc25972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一、收入支出决算总表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_Toc27742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二、收入决算表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_Toc27742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_Toc20798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三、支出决算表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_Toc20798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_Toc27120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四、财政拨款收入支出决算总表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_Toc27120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_Toc27988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五、财政拨款支出决算明细表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_Toc27988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_Toc20587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六、一般公共预算财政拨款支出决算表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_Toc20587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_Toc7758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七、一般公共预算财政拨款支出决算明细表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_Toc7758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_Toc21088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八、一般公共预算财政拨款基本支出决算表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PAGEREF _Toc21088 \h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rPr>
        <w:fldChar w:fldCharType="end"/>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_Toc4970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九、一般公共预算财政拨款项目支出决算表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_Toc21820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十、一般公共预算财政拨款“三公”经费支出决算表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_Toc27362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十一、政府性基金预算财政拨款收入支出决算表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_Toc6863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十二、政府性基金预算财政拨款“三公”经费支出决算表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_Toc29145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十三、国有资本经营预算财政拨款收入支出决算表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pStyle w:val="23"/>
        <w:tabs>
          <w:tab w:val="right" w:leader="dot" w:pos="8306"/>
        </w:tabs>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rPr>
        <w:fldChar w:fldCharType="begin"/>
      </w:r>
      <w:r>
        <w:rPr>
          <w:rFonts w:hint="eastAsia" w:ascii="黑体" w:hAnsi="黑体" w:eastAsia="黑体" w:cs="黑体"/>
          <w:b w:val="0"/>
          <w:bCs w:val="0"/>
          <w:sz w:val="28"/>
          <w:szCs w:val="28"/>
        </w:rPr>
        <w:instrText xml:space="preserve"> HYPERLINK \l _Toc19449 </w:instrText>
      </w:r>
      <w:r>
        <w:rPr>
          <w:rFonts w:hint="eastAsia" w:ascii="黑体" w:hAnsi="黑体" w:eastAsia="黑体" w:cs="黑体"/>
          <w:b w:val="0"/>
          <w:bCs w:val="0"/>
          <w:sz w:val="28"/>
          <w:szCs w:val="28"/>
        </w:rPr>
        <w:fldChar w:fldCharType="separate"/>
      </w:r>
      <w:r>
        <w:rPr>
          <w:rFonts w:hint="eastAsia" w:ascii="黑体" w:hAnsi="黑体" w:eastAsia="黑体" w:cs="黑体"/>
          <w:b w:val="0"/>
          <w:bCs w:val="0"/>
          <w:sz w:val="28"/>
          <w:szCs w:val="28"/>
        </w:rPr>
        <w:t>十四、国有资本经营预算财政拨款支出决算表</w:t>
      </w:r>
      <w:r>
        <w:rPr>
          <w:rFonts w:hint="eastAsia" w:ascii="黑体" w:hAnsi="黑体" w:eastAsia="黑体" w:cs="黑体"/>
          <w:b w:val="0"/>
          <w:bCs w:val="0"/>
          <w:sz w:val="28"/>
          <w:szCs w:val="28"/>
        </w:rPr>
        <w:tab/>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fldChar w:fldCharType="end"/>
      </w:r>
      <w:r>
        <w:rPr>
          <w:rFonts w:hint="eastAsia" w:ascii="黑体" w:hAnsi="黑体" w:eastAsia="黑体" w:cs="黑体"/>
          <w:b w:val="0"/>
          <w:bCs w:val="0"/>
          <w:sz w:val="28"/>
          <w:szCs w:val="28"/>
          <w:lang w:val="en-US" w:eastAsia="zh-CN"/>
        </w:rPr>
        <w:t>2</w:t>
      </w:r>
    </w:p>
    <w:p>
      <w:pPr>
        <w:widowControl/>
        <w:adjustRightInd w:val="0"/>
        <w:snapToGrid w:val="0"/>
        <w:spacing w:line="440" w:lineRule="exact"/>
        <w:ind w:firstLine="1155" w:firstLineChars="550"/>
        <w:jc w:val="left"/>
        <w:rPr>
          <w:rFonts w:ascii="仿宋" w:hAnsi="仿宋" w:eastAsia="仿宋"/>
          <w:b w:val="0"/>
          <w:bCs w:val="0"/>
          <w:sz w:val="24"/>
        </w:rPr>
      </w:pPr>
      <w:r>
        <w:rPr>
          <w:b w:val="0"/>
          <w:bCs w:val="0"/>
        </w:rPr>
        <w:fldChar w:fldCharType="end"/>
      </w:r>
    </w:p>
    <w:p>
      <w:pPr>
        <w:widowControl/>
        <w:spacing w:line="440" w:lineRule="exact"/>
        <w:jc w:val="left"/>
        <w:rPr>
          <w:rFonts w:ascii="仿宋" w:hAnsi="仿宋" w:eastAsia="仿宋"/>
          <w:b w:val="0"/>
          <w:bCs w:val="0"/>
          <w:kern w:val="44"/>
          <w:sz w:val="24"/>
        </w:rPr>
      </w:pPr>
      <w:bookmarkStart w:id="15" w:name="_Toc15377196"/>
      <w:bookmarkStart w:id="16" w:name="_Toc15396599"/>
      <w:r>
        <w:rPr>
          <w:rFonts w:ascii="仿宋" w:hAnsi="仿宋" w:eastAsia="仿宋"/>
          <w:b w:val="0"/>
          <w:bCs w:val="0"/>
          <w:sz w:val="24"/>
        </w:rPr>
        <w:br w:type="page"/>
      </w:r>
    </w:p>
    <w:p>
      <w:pPr>
        <w:pStyle w:val="3"/>
        <w:jc w:val="center"/>
        <w:rPr>
          <w:rFonts w:ascii="黑体" w:eastAsia="黑体"/>
          <w:sz w:val="32"/>
          <w:szCs w:val="32"/>
        </w:rPr>
      </w:pPr>
      <w:bookmarkStart w:id="17" w:name="_Toc220"/>
      <w:r>
        <w:rPr>
          <w:rFonts w:hint="eastAsia" w:ascii="黑体" w:hAnsi="黑体" w:eastAsia="黑体"/>
          <w:b w:val="0"/>
        </w:rPr>
        <w:t>第一部分 单位</w:t>
      </w:r>
      <w:r>
        <w:rPr>
          <w:rStyle w:val="30"/>
          <w:rFonts w:hint="eastAsia" w:ascii="黑体" w:hAnsi="黑体" w:eastAsia="黑体"/>
          <w:b w:val="0"/>
          <w:bCs w:val="0"/>
        </w:rPr>
        <w:t>概况</w:t>
      </w:r>
      <w:bookmarkEnd w:id="15"/>
      <w:bookmarkEnd w:id="16"/>
      <w:bookmarkEnd w:id="17"/>
    </w:p>
    <w:p>
      <w:pPr>
        <w:pStyle w:val="4"/>
        <w:pageBreakBefore w:val="0"/>
        <w:widowControl w:val="0"/>
        <w:numPr>
          <w:ilvl w:val="0"/>
          <w:numId w:val="0"/>
        </w:numPr>
        <w:kinsoku/>
        <w:wordWrap/>
        <w:overflowPunct/>
        <w:topLinePunct w:val="0"/>
        <w:bidi w:val="0"/>
        <w:adjustRightInd/>
        <w:snapToGrid/>
        <w:ind w:firstLine="640" w:firstLineChars="200"/>
        <w:textAlignment w:val="auto"/>
        <w:rPr>
          <w:rStyle w:val="31"/>
          <w:rFonts w:hint="eastAsia" w:ascii="黑体" w:hAnsi="黑体" w:eastAsia="黑体"/>
          <w:b w:val="0"/>
          <w:bCs w:val="0"/>
        </w:rPr>
      </w:pPr>
      <w:bookmarkStart w:id="18" w:name="_Toc20849"/>
      <w:bookmarkStart w:id="19" w:name="_Toc15377197"/>
      <w:bookmarkStart w:id="20" w:name="_Toc15396600"/>
      <w:r>
        <w:rPr>
          <w:rStyle w:val="31"/>
          <w:rFonts w:hint="eastAsia" w:ascii="黑体" w:hAnsi="黑体" w:eastAsia="黑体"/>
          <w:b w:val="0"/>
          <w:bCs w:val="0"/>
          <w:lang w:eastAsia="zh-CN"/>
        </w:rPr>
        <w:t>一、</w:t>
      </w:r>
      <w:r>
        <w:rPr>
          <w:rStyle w:val="31"/>
          <w:rFonts w:hint="eastAsia" w:ascii="黑体" w:hAnsi="黑体" w:eastAsia="黑体"/>
          <w:b w:val="0"/>
          <w:bCs w:val="0"/>
        </w:rPr>
        <w:t>职能简介</w:t>
      </w:r>
      <w:bookmarkEnd w:id="18"/>
    </w:p>
    <w:p>
      <w:pPr>
        <w:pStyle w:val="4"/>
        <w:pageBreakBefore w:val="0"/>
        <w:widowControl w:val="0"/>
        <w:numPr>
          <w:ilvl w:val="0"/>
          <w:numId w:val="0"/>
        </w:numPr>
        <w:kinsoku/>
        <w:wordWrap/>
        <w:overflowPunct/>
        <w:topLinePunct w:val="0"/>
        <w:bidi w:val="0"/>
        <w:adjustRightInd/>
        <w:snapToGrid/>
        <w:ind w:firstLine="640" w:firstLineChars="200"/>
        <w:textAlignment w:val="auto"/>
        <w:rPr>
          <w:rFonts w:hint="default" w:eastAsia="黑体"/>
          <w:lang w:val="en-US" w:eastAsia="zh-CN"/>
        </w:rPr>
      </w:pPr>
      <w:r>
        <w:rPr>
          <w:rStyle w:val="31"/>
          <w:rFonts w:hint="eastAsia" w:ascii="黑体" w:hAnsi="黑体" w:eastAsia="黑体"/>
          <w:b w:val="0"/>
          <w:bCs w:val="0"/>
          <w:lang w:eastAsia="zh-CN"/>
        </w:rPr>
        <w:t>（</w:t>
      </w:r>
      <w:r>
        <w:rPr>
          <w:rStyle w:val="31"/>
          <w:rFonts w:hint="eastAsia" w:ascii="黑体" w:hAnsi="黑体" w:eastAsia="黑体"/>
          <w:b w:val="0"/>
          <w:bCs w:val="0"/>
          <w:lang w:val="en-US" w:eastAsia="zh-CN"/>
        </w:rPr>
        <w:t>一</w:t>
      </w:r>
      <w:r>
        <w:rPr>
          <w:rStyle w:val="31"/>
          <w:rFonts w:hint="eastAsia" w:ascii="黑体" w:hAnsi="黑体" w:eastAsia="黑体"/>
          <w:b w:val="0"/>
          <w:bCs w:val="0"/>
          <w:lang w:eastAsia="zh-CN"/>
        </w:rPr>
        <w:t>）</w:t>
      </w:r>
      <w:r>
        <w:rPr>
          <w:rStyle w:val="31"/>
          <w:rFonts w:hint="eastAsia" w:ascii="黑体" w:hAnsi="黑体" w:eastAsia="黑体"/>
          <w:b w:val="0"/>
          <w:bCs w:val="0"/>
          <w:lang w:val="en-US" w:eastAsia="zh-CN"/>
        </w:rPr>
        <w:t>职能情况</w:t>
      </w:r>
    </w:p>
    <w:p>
      <w:pPr>
        <w:pStyle w:val="6"/>
        <w:pageBreakBefore w:val="0"/>
        <w:widowControl w:val="0"/>
        <w:kinsoku/>
        <w:wordWrap/>
        <w:overflowPunct/>
        <w:topLinePunct w:val="0"/>
        <w:bidi w:val="0"/>
        <w:adjustRightInd/>
        <w:snapToGrid/>
        <w:spacing w:line="540" w:lineRule="exact"/>
        <w:ind w:firstLine="640" w:firstLineChars="200"/>
        <w:textAlignment w:val="auto"/>
        <w:rPr>
          <w:rFonts w:hint="eastAsia" w:ascii="方正仿宋_GB2312" w:hAnsi="方正仿宋_GB2312" w:eastAsia="方正仿宋_GB2312" w:cs="方正仿宋_GB2312"/>
          <w:kern w:val="2"/>
          <w:sz w:val="32"/>
          <w:szCs w:val="32"/>
          <w:lang w:val="en-US" w:eastAsia="zh-CN" w:bidi="ar-SA"/>
        </w:rPr>
      </w:pPr>
      <w:r>
        <w:rPr>
          <w:rFonts w:hint="eastAsia" w:ascii="方正仿宋_GB2312" w:hAnsi="方正仿宋_GB2312" w:eastAsia="方正仿宋_GB2312" w:cs="方正仿宋_GB2312"/>
          <w:sz w:val="32"/>
          <w:szCs w:val="32"/>
        </w:rPr>
        <w:t>我辖区常住居民</w:t>
      </w:r>
      <w:r>
        <w:rPr>
          <w:rFonts w:hint="eastAsia" w:ascii="方正仿宋_GB2312" w:hAnsi="方正仿宋_GB2312" w:eastAsia="方正仿宋_GB2312" w:cs="方正仿宋_GB2312"/>
          <w:sz w:val="32"/>
          <w:szCs w:val="32"/>
          <w:lang w:val="en-US" w:eastAsia="zh-CN"/>
        </w:rPr>
        <w:t>16951</w:t>
      </w:r>
      <w:r>
        <w:rPr>
          <w:rFonts w:hint="eastAsia" w:ascii="方正仿宋_GB2312" w:hAnsi="方正仿宋_GB2312" w:eastAsia="方正仿宋_GB2312" w:cs="方正仿宋_GB2312"/>
          <w:sz w:val="32"/>
          <w:szCs w:val="32"/>
        </w:rPr>
        <w:t>人</w:t>
      </w:r>
      <w:r>
        <w:rPr>
          <w:rFonts w:hint="eastAsia" w:ascii="方正仿宋_GB2312" w:hAnsi="方正仿宋_GB2312" w:eastAsia="方正仿宋_GB2312" w:cs="方正仿宋_GB2312"/>
          <w:sz w:val="32"/>
          <w:szCs w:val="32"/>
          <w:lang w:eastAsia="zh-CN"/>
        </w:rPr>
        <w:t>，</w:t>
      </w:r>
      <w:r>
        <w:rPr>
          <w:rStyle w:val="31"/>
          <w:rFonts w:hint="eastAsia" w:ascii="方正仿宋_GB2312" w:hAnsi="方正仿宋_GB2312" w:eastAsia="方正仿宋_GB2312" w:cs="方正仿宋_GB2312"/>
          <w:b w:val="0"/>
          <w:bCs w:val="0"/>
          <w:lang w:val="en-US" w:eastAsia="zh-CN"/>
        </w:rPr>
        <w:t>我院</w:t>
      </w:r>
      <w:r>
        <w:rPr>
          <w:rFonts w:hint="eastAsia" w:ascii="方正仿宋_GB2312" w:hAnsi="方正仿宋_GB2312" w:eastAsia="方正仿宋_GB2312" w:cs="方正仿宋_GB2312"/>
          <w:kern w:val="2"/>
          <w:sz w:val="32"/>
          <w:szCs w:val="32"/>
          <w:lang w:val="en-US" w:bidi="ar-SA"/>
        </w:rPr>
        <w:t>承担本辖区内围产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做生健康检查项目等任务;负责对村医生及计生服务人员提供业务培训指导。</w:t>
      </w:r>
      <w:bookmarkStart w:id="21" w:name="_Toc580"/>
      <w:r>
        <w:rPr>
          <w:rFonts w:hint="eastAsia" w:ascii="方正仿宋_GB2312" w:hAnsi="方正仿宋_GB2312" w:eastAsia="方正仿宋_GB2312" w:cs="方正仿宋_GB2312"/>
          <w:kern w:val="2"/>
          <w:sz w:val="32"/>
          <w:szCs w:val="32"/>
          <w:lang w:val="en-US" w:eastAsia="zh-CN" w:bidi="ar-SA"/>
        </w:rPr>
        <w:t xml:space="preserve"> </w:t>
      </w:r>
    </w:p>
    <w:p>
      <w:pPr>
        <w:pStyle w:val="6"/>
        <w:pageBreakBefore w:val="0"/>
        <w:widowControl w:val="0"/>
        <w:numPr>
          <w:ilvl w:val="0"/>
          <w:numId w:val="1"/>
        </w:numPr>
        <w:kinsoku/>
        <w:wordWrap/>
        <w:overflowPunct/>
        <w:topLinePunct w:val="0"/>
        <w:bidi w:val="0"/>
        <w:adjustRightInd/>
        <w:snapToGrid/>
        <w:spacing w:line="540" w:lineRule="exact"/>
        <w:ind w:leftChars="200"/>
        <w:textAlignment w:val="auto"/>
        <w:rPr>
          <w:rFonts w:hint="eastAsia" w:ascii="黑体" w:hAnsi="黑体" w:eastAsia="黑体"/>
          <w:b w:val="0"/>
          <w:color w:val="000000" w:themeColor="text1"/>
          <w:lang w:val="en-US" w:eastAsia="zh-CN"/>
          <w14:textFill>
            <w14:solidFill>
              <w14:schemeClr w14:val="tx1"/>
            </w14:solidFill>
          </w14:textFill>
        </w:rPr>
      </w:pPr>
      <w:r>
        <w:rPr>
          <w:rFonts w:hint="eastAsia" w:ascii="黑体" w:hAnsi="黑体" w:eastAsia="黑体"/>
          <w:b w:val="0"/>
          <w:color w:val="000000" w:themeColor="text1"/>
          <w:lang w:val="en-US" w:eastAsia="zh-CN"/>
          <w14:textFill>
            <w14:solidFill>
              <w14:schemeClr w14:val="tx1"/>
            </w14:solidFill>
          </w14:textFill>
        </w:rPr>
        <w:t>机构设置情况</w:t>
      </w:r>
    </w:p>
    <w:p>
      <w:pPr>
        <w:pStyle w:val="6"/>
        <w:keepNext w:val="0"/>
        <w:keepLines w:val="0"/>
        <w:pageBreakBefore w:val="0"/>
        <w:widowControl w:val="0"/>
        <w:kinsoku/>
        <w:wordWrap/>
        <w:overflowPunct/>
        <w:topLinePunct w:val="0"/>
        <w:autoSpaceDE w:val="0"/>
        <w:autoSpaceDN w:val="0"/>
        <w:bidi w:val="0"/>
        <w:adjustRightInd/>
        <w:snapToGrid/>
        <w:spacing w:line="540" w:lineRule="exact"/>
        <w:ind w:left="0" w:right="273" w:firstLine="580" w:firstLineChars="200"/>
        <w:jc w:val="both"/>
        <w:textAlignment w:val="auto"/>
        <w:rPr>
          <w:rFonts w:hint="eastAsia"/>
          <w:spacing w:val="-5"/>
          <w:lang w:eastAsia="zh-CN"/>
        </w:rPr>
      </w:pPr>
      <w:r>
        <w:rPr>
          <w:rFonts w:hint="eastAsia"/>
          <w:spacing w:val="-5"/>
          <w:lang w:eastAsia="zh-CN"/>
        </w:rPr>
        <w:t>（一）、单位构成情况</w:t>
      </w:r>
    </w:p>
    <w:p>
      <w:pPr>
        <w:pStyle w:val="6"/>
        <w:keepNext w:val="0"/>
        <w:keepLines w:val="0"/>
        <w:pageBreakBefore w:val="0"/>
        <w:widowControl w:val="0"/>
        <w:kinsoku/>
        <w:wordWrap/>
        <w:overflowPunct/>
        <w:topLinePunct w:val="0"/>
        <w:autoSpaceDE w:val="0"/>
        <w:autoSpaceDN w:val="0"/>
        <w:bidi w:val="0"/>
        <w:adjustRightInd/>
        <w:snapToGrid/>
        <w:spacing w:line="540" w:lineRule="exact"/>
        <w:ind w:left="0" w:right="273" w:firstLine="580" w:firstLineChars="200"/>
        <w:jc w:val="both"/>
        <w:textAlignment w:val="auto"/>
        <w:rPr>
          <w:rFonts w:hint="eastAsia" w:ascii="黑体" w:hAnsi="黑体" w:eastAsia="黑体"/>
          <w:b w:val="0"/>
          <w:color w:val="000000" w:themeColor="text1"/>
          <w:lang w:val="en-US" w:eastAsia="zh-CN"/>
          <w14:textFill>
            <w14:solidFill>
              <w14:schemeClr w14:val="tx1"/>
            </w14:solidFill>
          </w14:textFill>
        </w:rPr>
      </w:pPr>
      <w:r>
        <w:rPr>
          <w:spacing w:val="-5"/>
        </w:rPr>
        <w:t xml:space="preserve">盐边县国胜中心卫生院下属非独立核算单位 </w:t>
      </w:r>
      <w:r>
        <w:rPr>
          <w:rFonts w:ascii="Times New Roman" w:eastAsia="Times New Roman"/>
        </w:rPr>
        <w:t>0</w:t>
      </w:r>
      <w:r>
        <w:rPr>
          <w:rFonts w:ascii="Times New Roman" w:eastAsia="Times New Roman"/>
          <w:spacing w:val="-6"/>
        </w:rPr>
        <w:t xml:space="preserve"> </w:t>
      </w:r>
      <w:r>
        <w:rPr>
          <w:spacing w:val="-20"/>
        </w:rPr>
        <w:t>个，其中行政</w:t>
      </w:r>
      <w:r>
        <w:rPr>
          <w:spacing w:val="-28"/>
        </w:rPr>
        <w:t xml:space="preserve">单位 </w:t>
      </w:r>
      <w:r>
        <w:rPr>
          <w:rFonts w:ascii="Times New Roman" w:eastAsia="Times New Roman"/>
        </w:rPr>
        <w:t>0</w:t>
      </w:r>
      <w:r>
        <w:rPr>
          <w:rFonts w:ascii="Times New Roman" w:eastAsia="Times New Roman"/>
          <w:spacing w:val="-2"/>
        </w:rPr>
        <w:t xml:space="preserve"> </w:t>
      </w:r>
      <w:r>
        <w:rPr>
          <w:spacing w:val="-10"/>
        </w:rPr>
        <w:t xml:space="preserve">个，参照公务员法管理的事业单位 </w:t>
      </w:r>
      <w:r>
        <w:rPr>
          <w:rFonts w:ascii="Times New Roman" w:eastAsia="Times New Roman"/>
        </w:rPr>
        <w:t>0</w:t>
      </w:r>
      <w:r>
        <w:rPr>
          <w:rFonts w:ascii="Times New Roman" w:eastAsia="Times New Roman"/>
          <w:spacing w:val="-2"/>
        </w:rPr>
        <w:t xml:space="preserve"> </w:t>
      </w:r>
      <w:r>
        <w:rPr>
          <w:spacing w:val="-13"/>
        </w:rPr>
        <w:t>个，其他事业单位</w:t>
      </w:r>
      <w:r>
        <w:rPr>
          <w:rFonts w:ascii="Times New Roman" w:eastAsia="Times New Roman"/>
        </w:rPr>
        <w:t>0</w:t>
      </w:r>
      <w:r>
        <w:t>个。</w:t>
      </w:r>
    </w:p>
    <w:p>
      <w:pPr>
        <w:pStyle w:val="6"/>
        <w:keepNext w:val="0"/>
        <w:keepLines w:val="0"/>
        <w:pageBreakBefore w:val="0"/>
        <w:widowControl w:val="0"/>
        <w:numPr>
          <w:ilvl w:val="0"/>
          <w:numId w:val="0"/>
        </w:numPr>
        <w:kinsoku/>
        <w:wordWrap/>
        <w:overflowPunct/>
        <w:topLinePunct w:val="0"/>
        <w:autoSpaceDE w:val="0"/>
        <w:autoSpaceDN w:val="0"/>
        <w:bidi w:val="0"/>
        <w:adjustRightInd/>
        <w:snapToGrid/>
        <w:spacing w:line="540" w:lineRule="exact"/>
        <w:ind w:firstLine="640" w:firstLineChars="200"/>
        <w:textAlignment w:val="auto"/>
        <w:rPr>
          <w:rFonts w:hint="eastAsia" w:ascii="仿宋" w:hAnsi="仿宋" w:eastAsia="仿宋" w:cs="仿宋"/>
          <w:b w:val="0"/>
          <w:color w:val="000000" w:themeColor="text1"/>
          <w:sz w:val="32"/>
          <w:szCs w:val="32"/>
          <w:lang w:val="en-US" w:eastAsia="zh-CN"/>
          <w14:textFill>
            <w14:solidFill>
              <w14:schemeClr w14:val="tx1"/>
            </w14:solidFill>
          </w14:textFill>
        </w:rPr>
      </w:pPr>
      <w:r>
        <w:rPr>
          <w:rFonts w:hint="eastAsia" w:ascii="仿宋" w:hAnsi="仿宋" w:eastAsia="仿宋" w:cs="仿宋"/>
          <w:sz w:val="32"/>
          <w:szCs w:val="32"/>
          <w:lang w:eastAsia="zh-CN"/>
        </w:rPr>
        <w:t>（二）盐边县国胜中心卫生院设置科室</w:t>
      </w:r>
      <w:r>
        <w:rPr>
          <w:rFonts w:hint="eastAsia" w:ascii="仿宋" w:hAnsi="仿宋" w:eastAsia="仿宋" w:cs="仿宋"/>
          <w:sz w:val="32"/>
          <w:szCs w:val="32"/>
          <w:lang w:val="en-US" w:eastAsia="zh-CN"/>
        </w:rPr>
        <w:t>7个，全乡村卫生室27个，其中非营利性卫生室14个，营利性卫生室13个。</w:t>
      </w:r>
    </w:p>
    <w:p>
      <w:pPr>
        <w:pStyle w:val="6"/>
        <w:pageBreakBefore w:val="0"/>
        <w:widowControl w:val="0"/>
        <w:kinsoku/>
        <w:wordWrap/>
        <w:overflowPunct/>
        <w:topLinePunct w:val="0"/>
        <w:bidi w:val="0"/>
        <w:adjustRightInd/>
        <w:snapToGrid/>
        <w:spacing w:line="540" w:lineRule="exact"/>
        <w:ind w:firstLine="600" w:firstLineChars="200"/>
        <w:textAlignment w:val="auto"/>
        <w:rPr>
          <w:rFonts w:hint="eastAsia" w:ascii="黑体" w:hAnsi="黑体" w:eastAsia="黑体"/>
          <w:b w:val="0"/>
          <w:color w:val="000000" w:themeColor="text1"/>
          <w14:textFill>
            <w14:solidFill>
              <w14:schemeClr w14:val="tx1"/>
            </w14:solidFill>
          </w14:textFill>
        </w:rPr>
      </w:pPr>
      <w:r>
        <w:rPr>
          <w:rFonts w:hint="eastAsia" w:ascii="黑体" w:hAnsi="黑体" w:eastAsia="黑体"/>
          <w:b w:val="0"/>
          <w:color w:val="000000" w:themeColor="text1"/>
          <w14:textFill>
            <w14:solidFill>
              <w14:schemeClr w14:val="tx1"/>
            </w14:solidFill>
          </w14:textFill>
        </w:rPr>
        <w:t>二、2021年重点工作</w:t>
      </w:r>
      <w:bookmarkEnd w:id="19"/>
      <w:bookmarkEnd w:id="20"/>
      <w:r>
        <w:rPr>
          <w:rFonts w:hint="eastAsia" w:ascii="黑体" w:hAnsi="黑体" w:eastAsia="黑体"/>
          <w:b w:val="0"/>
          <w:color w:val="000000" w:themeColor="text1"/>
          <w14:textFill>
            <w14:solidFill>
              <w14:schemeClr w14:val="tx1"/>
            </w14:solidFill>
          </w14:textFill>
        </w:rPr>
        <w:t>完成情况</w:t>
      </w:r>
      <w:bookmarkEnd w:id="21"/>
    </w:p>
    <w:p>
      <w:pPr>
        <w:pageBreakBefore w:val="0"/>
        <w:widowControl w:val="0"/>
        <w:kinsoku/>
        <w:wordWrap/>
        <w:overflowPunct/>
        <w:topLinePunct w:val="0"/>
        <w:bidi w:val="0"/>
        <w:adjustRightInd/>
        <w:snapToGrid/>
        <w:ind w:firstLine="640" w:firstLineChars="200"/>
        <w:textAlignment w:val="auto"/>
        <w:rPr>
          <w:rFonts w:hint="eastAsia"/>
          <w:lang w:eastAsia="zh-CN"/>
        </w:rPr>
      </w:pPr>
      <w:r>
        <w:rPr>
          <w:rFonts w:hint="eastAsia" w:ascii="仿宋" w:hAnsi="仿宋" w:eastAsia="仿宋" w:cs="Times New Roman"/>
          <w:color w:val="000000" w:themeColor="text1"/>
          <w:sz w:val="32"/>
          <w:szCs w:val="32"/>
          <w:lang w:eastAsia="zh-CN"/>
          <w14:textFill>
            <w14:solidFill>
              <w14:schemeClr w14:val="tx1"/>
            </w14:solidFill>
          </w14:textFill>
        </w:rPr>
        <w:t>根据国家确定的基本公共卫生服务项目，通过基层医疗卫生机构，免费向全镇居民提供1</w:t>
      </w:r>
      <w:r>
        <w:rPr>
          <w:rFonts w:hint="eastAsia" w:ascii="仿宋" w:hAnsi="仿宋" w:eastAsia="仿宋" w:cs="Times New Roman"/>
          <w:color w:val="000000" w:themeColor="text1"/>
          <w:sz w:val="32"/>
          <w:szCs w:val="32"/>
          <w:lang w:val="en-US" w:eastAsia="zh-CN"/>
          <w14:textFill>
            <w14:solidFill>
              <w14:schemeClr w14:val="tx1"/>
            </w14:solidFill>
          </w14:textFill>
        </w:rPr>
        <w:t>4大</w:t>
      </w:r>
      <w:r>
        <w:rPr>
          <w:rFonts w:hint="eastAsia" w:ascii="仿宋" w:hAnsi="仿宋" w:eastAsia="仿宋" w:cs="Times New Roman"/>
          <w:color w:val="000000" w:themeColor="text1"/>
          <w:sz w:val="32"/>
          <w:szCs w:val="32"/>
          <w:lang w:eastAsia="zh-CN"/>
          <w14:textFill>
            <w14:solidFill>
              <w14:schemeClr w14:val="tx1"/>
            </w14:solidFill>
          </w14:textFill>
        </w:rPr>
        <w:t>类</w:t>
      </w:r>
      <w:r>
        <w:rPr>
          <w:rFonts w:hint="eastAsia" w:ascii="仿宋" w:hAnsi="仿宋" w:eastAsia="仿宋" w:cs="Times New Roman"/>
          <w:color w:val="000000" w:themeColor="text1"/>
          <w:sz w:val="32"/>
          <w:szCs w:val="32"/>
          <w:lang w:val="en-US" w:eastAsia="zh-CN"/>
          <w14:textFill>
            <w14:solidFill>
              <w14:schemeClr w14:val="tx1"/>
            </w14:solidFill>
          </w14:textFill>
        </w:rPr>
        <w:t>48小项</w:t>
      </w:r>
      <w:r>
        <w:rPr>
          <w:rFonts w:hint="eastAsia" w:ascii="仿宋" w:hAnsi="仿宋" w:eastAsia="仿宋" w:cs="Times New Roman"/>
          <w:color w:val="000000" w:themeColor="text1"/>
          <w:sz w:val="32"/>
          <w:szCs w:val="32"/>
          <w:lang w:eastAsia="zh-CN"/>
          <w14:textFill>
            <w14:solidFill>
              <w14:schemeClr w14:val="tx1"/>
            </w14:solidFill>
          </w14:textFill>
        </w:rPr>
        <w:t>基本公共卫生服务。</w:t>
      </w:r>
    </w:p>
    <w:p>
      <w:pPr>
        <w:pageBreakBefore w:val="0"/>
        <w:widowControl w:val="0"/>
        <w:numPr>
          <w:ilvl w:val="0"/>
          <w:numId w:val="0"/>
        </w:numPr>
        <w:kinsoku/>
        <w:wordWrap/>
        <w:overflowPunct/>
        <w:topLinePunct w:val="0"/>
        <w:bidi w:val="0"/>
        <w:adjustRightInd/>
        <w:snapToGrid/>
        <w:ind w:leftChars="0" w:firstLine="643" w:firstLineChars="200"/>
        <w:textAlignment w:val="auto"/>
        <w:rPr>
          <w:b/>
          <w:bCs/>
        </w:rPr>
      </w:pPr>
      <w:bookmarkStart w:id="22" w:name="_Toc15396602"/>
      <w:bookmarkStart w:id="23" w:name="_Toc15377204"/>
      <w:bookmarkStart w:id="24" w:name="_Toc9153"/>
      <w:r>
        <w:rPr>
          <w:rFonts w:hint="eastAsia" w:ascii="仿宋" w:hAnsi="仿宋" w:eastAsia="仿宋" w:cs="仿宋_GB2312"/>
          <w:b/>
          <w:bCs/>
          <w:sz w:val="32"/>
          <w:szCs w:val="32"/>
          <w:lang w:eastAsia="zh-CN"/>
        </w:rPr>
        <w:t>（一）</w:t>
      </w:r>
      <w:r>
        <w:rPr>
          <w:rFonts w:hint="eastAsia" w:ascii="仿宋" w:hAnsi="仿宋" w:eastAsia="仿宋" w:cs="仿宋_GB2312"/>
          <w:b/>
          <w:bCs/>
          <w:sz w:val="32"/>
          <w:szCs w:val="32"/>
        </w:rPr>
        <w:t>孕产妇、育龄妇女及儿童保健服务</w:t>
      </w:r>
    </w:p>
    <w:p>
      <w:pPr>
        <w:pageBreakBefore w:val="0"/>
        <w:widowControl w:val="0"/>
        <w:numPr>
          <w:ilvl w:val="0"/>
          <w:numId w:val="0"/>
        </w:numPr>
        <w:kinsoku/>
        <w:wordWrap/>
        <w:overflowPunct/>
        <w:topLinePunct w:val="0"/>
        <w:bidi w:val="0"/>
        <w:adjustRightInd/>
        <w:snapToGrid/>
        <w:ind w:firstLine="643" w:firstLineChars="200"/>
        <w:jc w:val="both"/>
        <w:textAlignment w:val="auto"/>
        <w:rPr>
          <w:rFonts w:hint="eastAsia" w:ascii="方正仿宋_GBK" w:hAnsi="方正仿宋_GBK" w:eastAsia="方正仿宋_GBK" w:cs="方正仿宋_GBK"/>
          <w:i w:val="0"/>
          <w:caps w:val="0"/>
          <w:color w:val="333333"/>
          <w:spacing w:val="8"/>
          <w:sz w:val="32"/>
          <w:szCs w:val="32"/>
          <w:shd w:val="clear" w:color="auto" w:fill="FFFFFF"/>
          <w:lang w:eastAsia="zh-CN"/>
        </w:rPr>
      </w:pPr>
      <w:r>
        <w:rPr>
          <w:rStyle w:val="16"/>
          <w:rFonts w:hint="eastAsia" w:ascii="仿宋" w:hAnsi="仿宋" w:eastAsia="仿宋" w:cs="仿宋"/>
          <w:bCs/>
          <w:color w:val="auto"/>
          <w:sz w:val="32"/>
          <w:szCs w:val="32"/>
        </w:rPr>
        <w:t>1.</w:t>
      </w:r>
      <w:r>
        <w:rPr>
          <w:rFonts w:hint="eastAsia" w:ascii="方正仿宋_GBK" w:hAnsi="方正仿宋_GBK" w:eastAsia="方正仿宋_GBK" w:cs="方正仿宋_GBK"/>
          <w:b/>
          <w:bCs/>
          <w:i w:val="0"/>
          <w:caps w:val="0"/>
          <w:color w:val="333333"/>
          <w:spacing w:val="8"/>
          <w:sz w:val="32"/>
          <w:szCs w:val="32"/>
          <w:shd w:val="clear" w:color="auto" w:fill="FFFFFF"/>
        </w:rPr>
        <w:t>孕产妇保健工作开展情况</w:t>
      </w:r>
      <w:r>
        <w:rPr>
          <w:rFonts w:hint="eastAsia" w:ascii="方正仿宋_GBK" w:hAnsi="方正仿宋_GBK" w:eastAsia="方正仿宋_GBK" w:cs="方正仿宋_GBK"/>
          <w:i w:val="0"/>
          <w:caps w:val="0"/>
          <w:color w:val="333333"/>
          <w:spacing w:val="8"/>
          <w:sz w:val="32"/>
          <w:szCs w:val="32"/>
          <w:shd w:val="clear" w:color="auto" w:fill="FFFFFF"/>
          <w:lang w:eastAsia="zh-CN"/>
        </w:rPr>
        <w:t>：</w:t>
      </w:r>
      <w:r>
        <w:rPr>
          <w:rFonts w:hint="eastAsia" w:ascii="方正仿宋_GBK" w:hAnsi="方正仿宋_GBK" w:eastAsia="方正仿宋_GBK" w:cs="方正仿宋_GBK"/>
          <w:i w:val="0"/>
          <w:caps w:val="0"/>
          <w:color w:val="333333"/>
          <w:spacing w:val="8"/>
          <w:sz w:val="32"/>
          <w:szCs w:val="32"/>
          <w:shd w:val="clear" w:color="auto" w:fill="FFFFFF"/>
        </w:rPr>
        <w:t>孕产妇死亡率是妇幼保健工作的基础，20</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21年</w:t>
      </w:r>
      <w:r>
        <w:rPr>
          <w:rFonts w:hint="eastAsia" w:ascii="方正仿宋_GBK" w:hAnsi="方正仿宋_GBK" w:eastAsia="方正仿宋_GBK" w:cs="方正仿宋_GBK"/>
          <w:i w:val="0"/>
          <w:caps w:val="0"/>
          <w:color w:val="333333"/>
          <w:spacing w:val="8"/>
          <w:sz w:val="32"/>
          <w:szCs w:val="32"/>
          <w:shd w:val="clear" w:color="auto" w:fill="FFFFFF"/>
        </w:rPr>
        <w:t>全</w:t>
      </w:r>
      <w:r>
        <w:rPr>
          <w:rFonts w:hint="eastAsia" w:ascii="方正仿宋_GBK" w:hAnsi="方正仿宋_GBK" w:eastAsia="方正仿宋_GBK" w:cs="方正仿宋_GBK"/>
          <w:i w:val="0"/>
          <w:caps w:val="0"/>
          <w:color w:val="333333"/>
          <w:spacing w:val="8"/>
          <w:sz w:val="32"/>
          <w:szCs w:val="32"/>
          <w:shd w:val="clear" w:color="auto" w:fill="FFFFFF"/>
          <w:lang w:eastAsia="zh-CN"/>
        </w:rPr>
        <w:t>乡</w:t>
      </w:r>
      <w:r>
        <w:rPr>
          <w:rFonts w:hint="eastAsia" w:ascii="方正仿宋_GBK" w:hAnsi="方正仿宋_GBK" w:eastAsia="方正仿宋_GBK" w:cs="方正仿宋_GBK"/>
          <w:i w:val="0"/>
          <w:caps w:val="0"/>
          <w:color w:val="333333"/>
          <w:spacing w:val="8"/>
          <w:sz w:val="32"/>
          <w:szCs w:val="32"/>
          <w:shd w:val="clear" w:color="auto" w:fill="FFFFFF"/>
        </w:rPr>
        <w:t>孕产妇总数为</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52</w:t>
      </w:r>
      <w:r>
        <w:rPr>
          <w:rFonts w:hint="eastAsia" w:ascii="方正仿宋_GBK" w:hAnsi="方正仿宋_GBK" w:eastAsia="方正仿宋_GBK" w:cs="方正仿宋_GBK"/>
          <w:i w:val="0"/>
          <w:caps w:val="0"/>
          <w:color w:val="333333"/>
          <w:spacing w:val="8"/>
          <w:sz w:val="32"/>
          <w:szCs w:val="32"/>
          <w:shd w:val="clear" w:color="auto" w:fill="FFFFFF"/>
        </w:rPr>
        <w:t>人，其中早孕建册</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50</w:t>
      </w:r>
      <w:r>
        <w:rPr>
          <w:rFonts w:hint="eastAsia" w:ascii="方正仿宋_GBK" w:hAnsi="方正仿宋_GBK" w:eastAsia="方正仿宋_GBK" w:cs="方正仿宋_GBK"/>
          <w:i w:val="0"/>
          <w:caps w:val="0"/>
          <w:color w:val="333333"/>
          <w:spacing w:val="8"/>
          <w:sz w:val="32"/>
          <w:szCs w:val="32"/>
          <w:shd w:val="clear" w:color="auto" w:fill="FFFFFF"/>
        </w:rPr>
        <w:t>人，建册率为</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96.15</w:t>
      </w:r>
      <w:r>
        <w:rPr>
          <w:rFonts w:hint="eastAsia" w:ascii="方正仿宋_GBK" w:hAnsi="方正仿宋_GBK" w:eastAsia="方正仿宋_GBK" w:cs="方正仿宋_GBK"/>
          <w:i w:val="0"/>
          <w:caps w:val="0"/>
          <w:color w:val="333333"/>
          <w:spacing w:val="8"/>
          <w:sz w:val="32"/>
          <w:szCs w:val="32"/>
          <w:shd w:val="clear" w:color="auto" w:fill="FFFFFF"/>
        </w:rPr>
        <w:t>%，孕产妇系统管理</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50</w:t>
      </w:r>
      <w:r>
        <w:rPr>
          <w:rFonts w:hint="eastAsia" w:ascii="方正仿宋_GBK" w:hAnsi="方正仿宋_GBK" w:eastAsia="方正仿宋_GBK" w:cs="方正仿宋_GBK"/>
          <w:i w:val="0"/>
          <w:caps w:val="0"/>
          <w:color w:val="333333"/>
          <w:spacing w:val="8"/>
          <w:sz w:val="32"/>
          <w:szCs w:val="32"/>
          <w:shd w:val="clear" w:color="auto" w:fill="FFFFFF"/>
        </w:rPr>
        <w:t>人，孕产妇系统管理率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92</w:t>
      </w:r>
      <w:r>
        <w:rPr>
          <w:rFonts w:hint="eastAsia" w:ascii="方正仿宋_GBK" w:hAnsi="方正仿宋_GBK" w:eastAsia="方正仿宋_GBK" w:cs="方正仿宋_GBK"/>
          <w:i w:val="0"/>
          <w:caps w:val="0"/>
          <w:color w:val="333333"/>
          <w:spacing w:val="8"/>
          <w:sz w:val="32"/>
          <w:szCs w:val="32"/>
          <w:shd w:val="clear" w:color="auto" w:fill="FFFFFF"/>
        </w:rPr>
        <w:t>﹪，其中住院分娩</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52</w:t>
      </w:r>
      <w:r>
        <w:rPr>
          <w:rFonts w:hint="eastAsia" w:ascii="方正仿宋_GBK" w:hAnsi="方正仿宋_GBK" w:eastAsia="方正仿宋_GBK" w:cs="方正仿宋_GBK"/>
          <w:i w:val="0"/>
          <w:caps w:val="0"/>
          <w:color w:val="333333"/>
          <w:spacing w:val="8"/>
          <w:sz w:val="32"/>
          <w:szCs w:val="32"/>
          <w:shd w:val="clear" w:color="auto" w:fill="FFFFFF"/>
        </w:rPr>
        <w:t>人，住院分娩率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100</w:t>
      </w:r>
      <w:r>
        <w:rPr>
          <w:rFonts w:hint="eastAsia" w:ascii="方正仿宋_GBK" w:hAnsi="方正仿宋_GBK" w:eastAsia="方正仿宋_GBK" w:cs="方正仿宋_GBK"/>
          <w:i w:val="0"/>
          <w:caps w:val="0"/>
          <w:color w:val="333333"/>
          <w:spacing w:val="8"/>
          <w:sz w:val="32"/>
          <w:szCs w:val="32"/>
          <w:shd w:val="clear" w:color="auto" w:fill="FFFFFF"/>
        </w:rPr>
        <w:t>%，新法接率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100</w:t>
      </w:r>
      <w:r>
        <w:rPr>
          <w:rFonts w:hint="eastAsia" w:ascii="方正仿宋_GBK" w:hAnsi="方正仿宋_GBK" w:eastAsia="方正仿宋_GBK" w:cs="方正仿宋_GBK"/>
          <w:i w:val="0"/>
          <w:caps w:val="0"/>
          <w:color w:val="333333"/>
          <w:spacing w:val="8"/>
          <w:sz w:val="32"/>
          <w:szCs w:val="32"/>
          <w:shd w:val="clear" w:color="auto" w:fill="FFFFFF"/>
        </w:rPr>
        <w:t>%，产后访视</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52</w:t>
      </w:r>
      <w:r>
        <w:rPr>
          <w:rFonts w:hint="eastAsia" w:ascii="方正仿宋_GBK" w:hAnsi="方正仿宋_GBK" w:eastAsia="方正仿宋_GBK" w:cs="方正仿宋_GBK"/>
          <w:i w:val="0"/>
          <w:caps w:val="0"/>
          <w:color w:val="333333"/>
          <w:spacing w:val="8"/>
          <w:sz w:val="32"/>
          <w:szCs w:val="32"/>
          <w:shd w:val="clear" w:color="auto" w:fill="FFFFFF"/>
        </w:rPr>
        <w:t>人次，访视率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100</w:t>
      </w:r>
      <w:r>
        <w:rPr>
          <w:rFonts w:hint="eastAsia" w:ascii="方正仿宋_GBK" w:hAnsi="方正仿宋_GBK" w:eastAsia="方正仿宋_GBK" w:cs="方正仿宋_GBK"/>
          <w:i w:val="0"/>
          <w:caps w:val="0"/>
          <w:color w:val="333333"/>
          <w:spacing w:val="8"/>
          <w:sz w:val="32"/>
          <w:szCs w:val="32"/>
          <w:shd w:val="clear" w:color="auto" w:fill="FFFFFF"/>
        </w:rPr>
        <w:t>%，6个月内母乳喂养率为</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100</w:t>
      </w:r>
      <w:r>
        <w:rPr>
          <w:rFonts w:hint="eastAsia" w:ascii="方正仿宋_GBK" w:hAnsi="方正仿宋_GBK" w:eastAsia="方正仿宋_GBK" w:cs="方正仿宋_GBK"/>
          <w:i w:val="0"/>
          <w:caps w:val="0"/>
          <w:color w:val="333333"/>
          <w:spacing w:val="8"/>
          <w:sz w:val="32"/>
          <w:szCs w:val="32"/>
          <w:shd w:val="clear" w:color="auto" w:fill="FFFFFF"/>
        </w:rPr>
        <w:t>%。筛查出高危产妇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27</w:t>
      </w:r>
      <w:r>
        <w:rPr>
          <w:rFonts w:hint="eastAsia" w:ascii="方正仿宋_GBK" w:hAnsi="方正仿宋_GBK" w:eastAsia="方正仿宋_GBK" w:cs="方正仿宋_GBK"/>
          <w:i w:val="0"/>
          <w:caps w:val="0"/>
          <w:color w:val="333333"/>
          <w:spacing w:val="8"/>
          <w:sz w:val="32"/>
          <w:szCs w:val="32"/>
          <w:shd w:val="clear" w:color="auto" w:fill="FFFFFF"/>
        </w:rPr>
        <w:t>例，进行全程跟踪管理，高危孕妇管理率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100</w:t>
      </w:r>
      <w:r>
        <w:rPr>
          <w:rFonts w:hint="eastAsia" w:ascii="方正仿宋_GBK" w:hAnsi="方正仿宋_GBK" w:eastAsia="方正仿宋_GBK" w:cs="方正仿宋_GBK"/>
          <w:i w:val="0"/>
          <w:caps w:val="0"/>
          <w:color w:val="333333"/>
          <w:spacing w:val="8"/>
          <w:sz w:val="32"/>
          <w:szCs w:val="32"/>
          <w:shd w:val="clear" w:color="auto" w:fill="FFFFFF"/>
        </w:rPr>
        <w:t>%。孕产妇死亡</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0</w:t>
      </w:r>
      <w:r>
        <w:rPr>
          <w:rFonts w:hint="eastAsia" w:ascii="方正仿宋_GBK" w:hAnsi="方正仿宋_GBK" w:eastAsia="方正仿宋_GBK" w:cs="方正仿宋_GBK"/>
          <w:i w:val="0"/>
          <w:caps w:val="0"/>
          <w:color w:val="333333"/>
          <w:spacing w:val="8"/>
          <w:sz w:val="32"/>
          <w:szCs w:val="32"/>
          <w:shd w:val="clear" w:color="auto" w:fill="FFFFFF"/>
        </w:rPr>
        <w:t>人。孕产妇保健覆盖率</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100</w:t>
      </w:r>
      <w:r>
        <w:rPr>
          <w:rFonts w:hint="eastAsia" w:ascii="方正仿宋_GBK" w:hAnsi="方正仿宋_GBK" w:eastAsia="方正仿宋_GBK" w:cs="方正仿宋_GBK"/>
          <w:i w:val="0"/>
          <w:caps w:val="0"/>
          <w:color w:val="333333"/>
          <w:spacing w:val="8"/>
          <w:sz w:val="32"/>
          <w:szCs w:val="32"/>
          <w:shd w:val="clear" w:color="auto" w:fill="FFFFFF"/>
        </w:rPr>
        <w:t>﹪</w:t>
      </w:r>
      <w:r>
        <w:rPr>
          <w:rFonts w:hint="eastAsia" w:ascii="方正仿宋_GBK" w:hAnsi="方正仿宋_GBK" w:eastAsia="方正仿宋_GBK" w:cs="方正仿宋_GBK"/>
          <w:i w:val="0"/>
          <w:caps w:val="0"/>
          <w:color w:val="333333"/>
          <w:spacing w:val="8"/>
          <w:sz w:val="32"/>
          <w:szCs w:val="32"/>
          <w:shd w:val="clear" w:color="auto" w:fill="FFFFFF"/>
          <w:lang w:eastAsia="zh-CN"/>
        </w:rPr>
        <w:t>。</w:t>
      </w:r>
    </w:p>
    <w:p>
      <w:pPr>
        <w:pageBreakBefore w:val="0"/>
        <w:widowControl w:val="0"/>
        <w:kinsoku/>
        <w:wordWrap/>
        <w:overflowPunct/>
        <w:topLinePunct w:val="0"/>
        <w:bidi w:val="0"/>
        <w:adjustRightInd/>
        <w:snapToGrid/>
        <w:ind w:firstLine="643" w:firstLineChars="200"/>
        <w:textAlignment w:val="auto"/>
        <w:rPr>
          <w:rFonts w:hint="default" w:ascii="仿宋" w:hAnsi="仿宋" w:eastAsia="方正仿宋_GBK" w:cs="仿宋_GB2312"/>
          <w:b/>
          <w:sz w:val="32"/>
          <w:szCs w:val="32"/>
          <w:lang w:val="en-US" w:eastAsia="zh-CN"/>
        </w:rPr>
      </w:pPr>
    </w:p>
    <w:p>
      <w:pPr>
        <w:pageBreakBefore w:val="0"/>
        <w:widowControl w:val="0"/>
        <w:kinsoku/>
        <w:wordWrap/>
        <w:overflowPunct/>
        <w:topLinePunct w:val="0"/>
        <w:bidi w:val="0"/>
        <w:adjustRightInd/>
        <w:snapToGrid/>
        <w:ind w:firstLine="672" w:firstLineChars="200"/>
        <w:textAlignment w:val="auto"/>
        <w:rPr>
          <w:rFonts w:hint="eastAsia" w:ascii="方正仿宋_GBK" w:hAnsi="方正仿宋_GBK" w:eastAsia="方正仿宋_GBK" w:cs="方正仿宋_GBK"/>
          <w:i w:val="0"/>
          <w:caps w:val="0"/>
          <w:color w:val="333333"/>
          <w:spacing w:val="8"/>
          <w:sz w:val="32"/>
          <w:szCs w:val="32"/>
          <w:shd w:val="clear" w:color="auto" w:fill="FFFFFF"/>
        </w:rPr>
      </w:pPr>
    </w:p>
    <w:p>
      <w:pPr>
        <w:pageBreakBefore w:val="0"/>
        <w:widowControl w:val="0"/>
        <w:kinsoku/>
        <w:wordWrap/>
        <w:overflowPunct/>
        <w:topLinePunct w:val="0"/>
        <w:bidi w:val="0"/>
        <w:adjustRightInd/>
        <w:snapToGrid/>
        <w:ind w:firstLine="675" w:firstLineChars="200"/>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b/>
          <w:bCs/>
          <w:i w:val="0"/>
          <w:caps w:val="0"/>
          <w:color w:val="333333"/>
          <w:spacing w:val="8"/>
          <w:sz w:val="32"/>
          <w:szCs w:val="32"/>
          <w:shd w:val="clear" w:color="auto" w:fill="FFFFFF"/>
          <w:lang w:val="en-US" w:eastAsia="zh-CN"/>
        </w:rPr>
        <w:t>2、</w:t>
      </w:r>
      <w:r>
        <w:rPr>
          <w:rFonts w:hint="eastAsia" w:ascii="方正仿宋_GBK" w:hAnsi="方正仿宋_GBK" w:eastAsia="方正仿宋_GBK" w:cs="方正仿宋_GBK"/>
          <w:b/>
          <w:bCs/>
          <w:i w:val="0"/>
          <w:caps w:val="0"/>
          <w:color w:val="333333"/>
          <w:spacing w:val="8"/>
          <w:sz w:val="32"/>
          <w:szCs w:val="32"/>
          <w:shd w:val="clear" w:color="auto" w:fill="FFFFFF"/>
        </w:rPr>
        <w:t>7岁以下儿童保健开展情况</w:t>
      </w:r>
      <w:r>
        <w:rPr>
          <w:rFonts w:hint="eastAsia" w:ascii="方正仿宋_GBK" w:hAnsi="方正仿宋_GBK" w:eastAsia="方正仿宋_GBK" w:cs="方正仿宋_GBK"/>
          <w:i w:val="0"/>
          <w:caps w:val="0"/>
          <w:color w:val="333333"/>
          <w:spacing w:val="8"/>
          <w:sz w:val="32"/>
          <w:szCs w:val="32"/>
          <w:shd w:val="clear" w:color="auto" w:fill="FFFFFF"/>
          <w:lang w:eastAsia="zh-CN"/>
        </w:rPr>
        <w:t>：</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7岁以下儿</w:t>
      </w:r>
      <w:r>
        <w:rPr>
          <w:rFonts w:hint="eastAsia" w:ascii="方正仿宋_GBK" w:hAnsi="方正仿宋_GBK" w:eastAsia="方正仿宋_GBK" w:cs="方正仿宋_GBK"/>
          <w:sz w:val="32"/>
          <w:szCs w:val="32"/>
          <w:lang w:val="en-US" w:eastAsia="zh-CN"/>
        </w:rPr>
        <w:t>童539人，已管理500人，应管理3岁以下儿童462人，已管理371人，孕产妇应管理52人，系统管理50人。</w:t>
      </w:r>
    </w:p>
    <w:p>
      <w:pPr>
        <w:pageBreakBefore w:val="0"/>
        <w:widowControl w:val="0"/>
        <w:kinsoku/>
        <w:wordWrap/>
        <w:overflowPunct/>
        <w:topLinePunct w:val="0"/>
        <w:bidi w:val="0"/>
        <w:adjustRightInd/>
        <w:snapToGrid/>
        <w:ind w:firstLine="643" w:firstLineChars="200"/>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eastAsia="zh-CN"/>
        </w:rPr>
        <w:t>二</w:t>
      </w:r>
      <w:r>
        <w:rPr>
          <w:rFonts w:hint="eastAsia" w:ascii="方正仿宋_GBK" w:hAnsi="方正仿宋_GBK" w:eastAsia="方正仿宋_GBK" w:cs="方正仿宋_GBK"/>
          <w:b/>
          <w:bCs/>
          <w:sz w:val="32"/>
          <w:szCs w:val="32"/>
        </w:rPr>
        <w:t>）老年人，高血压、糖尿病及严重精神障碍患者管理</w:t>
      </w:r>
      <w:r>
        <w:rPr>
          <w:rFonts w:hint="eastAsia" w:ascii="方正仿宋_GBK" w:hAnsi="方正仿宋_GBK" w:eastAsia="方正仿宋_GBK" w:cs="方正仿宋_GBK"/>
          <w:b/>
          <w:bCs/>
          <w:sz w:val="32"/>
          <w:szCs w:val="32"/>
          <w:lang w:eastAsia="zh-CN"/>
        </w:rPr>
        <w:t>：</w:t>
      </w:r>
    </w:p>
    <w:p>
      <w:pPr>
        <w:pageBreakBefore w:val="0"/>
        <w:widowControl w:val="0"/>
        <w:kinsoku/>
        <w:wordWrap/>
        <w:overflowPunct/>
        <w:topLinePunct w:val="0"/>
        <w:bidi w:val="0"/>
        <w:adjustRightInd/>
        <w:snapToGrid/>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21</w:t>
      </w:r>
      <w:r>
        <w:rPr>
          <w:rFonts w:hint="eastAsia" w:ascii="方正仿宋_GBK" w:hAnsi="方正仿宋_GBK" w:eastAsia="方正仿宋_GBK" w:cs="方正仿宋_GBK"/>
          <w:sz w:val="32"/>
          <w:szCs w:val="32"/>
        </w:rPr>
        <w:t>年全乡应管理65岁以上老年人2</w:t>
      </w:r>
      <w:r>
        <w:rPr>
          <w:rFonts w:hint="eastAsia" w:ascii="方正仿宋_GBK" w:hAnsi="方正仿宋_GBK" w:eastAsia="方正仿宋_GBK" w:cs="方正仿宋_GBK"/>
          <w:sz w:val="32"/>
          <w:szCs w:val="32"/>
          <w:lang w:val="en-US" w:eastAsia="zh-CN"/>
        </w:rPr>
        <w:t>521</w:t>
      </w:r>
      <w:r>
        <w:rPr>
          <w:rFonts w:hint="eastAsia" w:ascii="方正仿宋_GBK" w:hAnsi="方正仿宋_GBK" w:eastAsia="方正仿宋_GBK" w:cs="方正仿宋_GBK"/>
          <w:sz w:val="32"/>
          <w:szCs w:val="32"/>
        </w:rPr>
        <w:t>，体检人数</w:t>
      </w:r>
      <w:r>
        <w:rPr>
          <w:rFonts w:hint="eastAsia" w:ascii="方正仿宋_GBK" w:hAnsi="方正仿宋_GBK" w:eastAsia="方正仿宋_GBK" w:cs="方正仿宋_GBK"/>
          <w:sz w:val="32"/>
          <w:szCs w:val="32"/>
          <w:lang w:val="en-US" w:eastAsia="zh-CN"/>
        </w:rPr>
        <w:t>1149</w:t>
      </w:r>
      <w:r>
        <w:rPr>
          <w:rFonts w:hint="eastAsia" w:ascii="方正仿宋_GBK" w:hAnsi="方正仿宋_GBK" w:eastAsia="方正仿宋_GBK" w:cs="方正仿宋_GBK"/>
          <w:sz w:val="32"/>
          <w:szCs w:val="32"/>
        </w:rPr>
        <w:t>人，体检率</w:t>
      </w:r>
      <w:r>
        <w:rPr>
          <w:rFonts w:hint="eastAsia" w:ascii="方正仿宋_GBK" w:hAnsi="方正仿宋_GBK" w:eastAsia="方正仿宋_GBK" w:cs="方正仿宋_GBK"/>
          <w:sz w:val="32"/>
          <w:szCs w:val="32"/>
          <w:lang w:val="en-US" w:eastAsia="zh-CN"/>
        </w:rPr>
        <w:t>45.7</w:t>
      </w:r>
      <w:r>
        <w:rPr>
          <w:rFonts w:hint="eastAsia" w:ascii="方正仿宋_GBK" w:hAnsi="方正仿宋_GBK" w:eastAsia="方正仿宋_GBK" w:cs="方正仿宋_GBK"/>
          <w:sz w:val="32"/>
          <w:szCs w:val="32"/>
        </w:rPr>
        <w:t>%；全乡应管理高血压病人</w:t>
      </w:r>
      <w:r>
        <w:rPr>
          <w:rFonts w:hint="eastAsia" w:ascii="方正仿宋_GBK" w:hAnsi="方正仿宋_GBK" w:eastAsia="方正仿宋_GBK" w:cs="方正仿宋_GBK"/>
          <w:sz w:val="32"/>
          <w:szCs w:val="32"/>
          <w:lang w:val="en-US" w:eastAsia="zh-CN"/>
        </w:rPr>
        <w:t>1117</w:t>
      </w:r>
      <w:r>
        <w:rPr>
          <w:rFonts w:hint="eastAsia" w:ascii="方正仿宋_GBK" w:hAnsi="方正仿宋_GBK" w:eastAsia="方正仿宋_GBK" w:cs="方正仿宋_GBK"/>
          <w:sz w:val="32"/>
          <w:szCs w:val="32"/>
        </w:rPr>
        <w:t>人，管理</w:t>
      </w:r>
      <w:r>
        <w:rPr>
          <w:rFonts w:hint="eastAsia" w:ascii="方正仿宋_GBK" w:hAnsi="方正仿宋_GBK" w:eastAsia="方正仿宋_GBK" w:cs="方正仿宋_GBK"/>
          <w:sz w:val="32"/>
          <w:szCs w:val="32"/>
          <w:lang w:val="en-US" w:eastAsia="zh-CN"/>
        </w:rPr>
        <w:t>683</w:t>
      </w:r>
      <w:r>
        <w:rPr>
          <w:rFonts w:hint="eastAsia" w:ascii="方正仿宋_GBK" w:hAnsi="方正仿宋_GBK" w:eastAsia="方正仿宋_GBK" w:cs="方正仿宋_GBK"/>
          <w:sz w:val="32"/>
          <w:szCs w:val="32"/>
        </w:rPr>
        <w:t>人，管理率</w:t>
      </w:r>
      <w:r>
        <w:rPr>
          <w:rFonts w:hint="eastAsia" w:ascii="方正仿宋_GBK" w:hAnsi="方正仿宋_GBK" w:eastAsia="方正仿宋_GBK" w:cs="方正仿宋_GBK"/>
          <w:sz w:val="32"/>
          <w:szCs w:val="32"/>
          <w:lang w:val="en-US" w:eastAsia="zh-CN"/>
        </w:rPr>
        <w:t>61</w:t>
      </w:r>
      <w:r>
        <w:rPr>
          <w:rFonts w:hint="eastAsia" w:ascii="方正仿宋_GBK" w:hAnsi="方正仿宋_GBK" w:eastAsia="方正仿宋_GBK" w:cs="方正仿宋_GBK"/>
          <w:sz w:val="32"/>
          <w:szCs w:val="32"/>
        </w:rPr>
        <w:t>%，应管理糖尿病</w:t>
      </w:r>
      <w:r>
        <w:rPr>
          <w:rFonts w:hint="eastAsia" w:ascii="方正仿宋_GBK" w:hAnsi="方正仿宋_GBK" w:eastAsia="方正仿宋_GBK" w:cs="方正仿宋_GBK"/>
          <w:sz w:val="32"/>
          <w:szCs w:val="32"/>
          <w:lang w:val="en-US" w:eastAsia="zh-CN"/>
        </w:rPr>
        <w:t>391</w:t>
      </w:r>
      <w:r>
        <w:rPr>
          <w:rFonts w:hint="eastAsia" w:ascii="方正仿宋_GBK" w:hAnsi="方正仿宋_GBK" w:eastAsia="方正仿宋_GBK" w:cs="方正仿宋_GBK"/>
          <w:sz w:val="32"/>
          <w:szCs w:val="32"/>
        </w:rPr>
        <w:t>人，管理</w:t>
      </w:r>
      <w:r>
        <w:rPr>
          <w:rFonts w:hint="eastAsia" w:ascii="方正仿宋_GBK" w:hAnsi="方正仿宋_GBK" w:eastAsia="方正仿宋_GBK" w:cs="方正仿宋_GBK"/>
          <w:sz w:val="32"/>
          <w:szCs w:val="32"/>
          <w:lang w:val="en-US" w:eastAsia="zh-CN"/>
        </w:rPr>
        <w:t>160</w:t>
      </w:r>
      <w:r>
        <w:rPr>
          <w:rFonts w:hint="eastAsia" w:ascii="方正仿宋_GBK" w:hAnsi="方正仿宋_GBK" w:eastAsia="方正仿宋_GBK" w:cs="方正仿宋_GBK"/>
          <w:sz w:val="32"/>
          <w:szCs w:val="32"/>
        </w:rPr>
        <w:t>人，管理率</w:t>
      </w:r>
      <w:r>
        <w:rPr>
          <w:rFonts w:hint="eastAsia" w:ascii="方正仿宋_GBK" w:hAnsi="方正仿宋_GBK" w:eastAsia="方正仿宋_GBK" w:cs="方正仿宋_GBK"/>
          <w:sz w:val="32"/>
          <w:szCs w:val="32"/>
          <w:lang w:val="en-US" w:eastAsia="zh-CN"/>
        </w:rPr>
        <w:t>40</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21</w:t>
      </w:r>
      <w:r>
        <w:rPr>
          <w:rFonts w:hint="eastAsia" w:ascii="方正仿宋_GBK" w:hAnsi="方正仿宋_GBK" w:eastAsia="方正仿宋_GBK" w:cs="方正仿宋_GBK"/>
          <w:sz w:val="32"/>
          <w:szCs w:val="32"/>
        </w:rPr>
        <w:t>年严重精神障碍患者应管</w:t>
      </w:r>
      <w:r>
        <w:rPr>
          <w:rFonts w:hint="eastAsia" w:ascii="方正仿宋_GBK" w:hAnsi="方正仿宋_GBK" w:eastAsia="方正仿宋_GBK" w:cs="方正仿宋_GBK"/>
          <w:sz w:val="32"/>
          <w:szCs w:val="32"/>
          <w:lang w:val="en-US" w:eastAsia="zh-CN"/>
        </w:rPr>
        <w:t>127</w:t>
      </w:r>
      <w:r>
        <w:rPr>
          <w:rFonts w:hint="eastAsia" w:ascii="方正仿宋_GBK" w:hAnsi="方正仿宋_GBK" w:eastAsia="方正仿宋_GBK" w:cs="方正仿宋_GBK"/>
          <w:sz w:val="32"/>
          <w:szCs w:val="32"/>
        </w:rPr>
        <w:t>人，实际管理</w:t>
      </w:r>
      <w:r>
        <w:rPr>
          <w:rFonts w:hint="eastAsia" w:ascii="方正仿宋_GBK" w:hAnsi="方正仿宋_GBK" w:eastAsia="方正仿宋_GBK" w:cs="方正仿宋_GBK"/>
          <w:sz w:val="32"/>
          <w:szCs w:val="32"/>
          <w:lang w:val="en-US" w:eastAsia="zh-CN"/>
        </w:rPr>
        <w:t>122</w:t>
      </w:r>
      <w:r>
        <w:rPr>
          <w:rFonts w:hint="eastAsia" w:ascii="方正仿宋_GBK" w:hAnsi="方正仿宋_GBK" w:eastAsia="方正仿宋_GBK" w:cs="方正仿宋_GBK"/>
          <w:sz w:val="32"/>
          <w:szCs w:val="32"/>
        </w:rPr>
        <w:t>人，管理率</w:t>
      </w:r>
      <w:r>
        <w:rPr>
          <w:rFonts w:hint="eastAsia" w:ascii="方正仿宋_GBK" w:hAnsi="方正仿宋_GBK" w:eastAsia="方正仿宋_GBK" w:cs="方正仿宋_GBK"/>
          <w:sz w:val="32"/>
          <w:szCs w:val="32"/>
          <w:lang w:val="en-US" w:eastAsia="zh-CN"/>
        </w:rPr>
        <w:t>96</w:t>
      </w:r>
      <w:r>
        <w:rPr>
          <w:rFonts w:hint="eastAsia" w:ascii="方正仿宋_GBK" w:hAnsi="方正仿宋_GBK" w:eastAsia="方正仿宋_GBK" w:cs="方正仿宋_GBK"/>
          <w:sz w:val="32"/>
          <w:szCs w:val="32"/>
        </w:rPr>
        <w:t>%，及时按规定完成慢性病及重症精神病人的随访。</w:t>
      </w:r>
    </w:p>
    <w:p>
      <w:pPr>
        <w:pageBreakBefore w:val="0"/>
        <w:widowControl w:val="0"/>
        <w:numPr>
          <w:ilvl w:val="0"/>
          <w:numId w:val="0"/>
        </w:numPr>
        <w:kinsoku/>
        <w:wordWrap/>
        <w:overflowPunct/>
        <w:topLinePunct w:val="0"/>
        <w:bidi w:val="0"/>
        <w:adjustRightInd/>
        <w:snapToGrid/>
        <w:ind w:firstLine="643" w:firstLineChars="200"/>
        <w:textAlignment w:val="auto"/>
        <w:rPr>
          <w:rFonts w:hint="eastAsia" w:ascii="方正仿宋_GBK" w:hAnsi="方正仿宋_GBK" w:eastAsia="方正仿宋_GBK" w:cs="方正仿宋_GBK"/>
          <w:b/>
          <w:bCs/>
          <w:sz w:val="32"/>
          <w:szCs w:val="32"/>
          <w:lang w:eastAsia="zh-CN"/>
        </w:rPr>
      </w:pPr>
      <w:r>
        <w:rPr>
          <w:rFonts w:hint="eastAsia" w:ascii="方正仿宋_GBK" w:hAnsi="方正仿宋_GBK" w:eastAsia="方正仿宋_GBK" w:cs="方正仿宋_GBK"/>
          <w:b/>
          <w:bCs/>
          <w:sz w:val="32"/>
          <w:szCs w:val="32"/>
          <w:lang w:eastAsia="zh-CN"/>
        </w:rPr>
        <w:t>（三）</w:t>
      </w:r>
      <w:r>
        <w:rPr>
          <w:rFonts w:hint="eastAsia" w:ascii="方正仿宋_GBK" w:hAnsi="方正仿宋_GBK" w:eastAsia="方正仿宋_GBK" w:cs="方正仿宋_GBK"/>
          <w:b/>
          <w:bCs/>
          <w:sz w:val="32"/>
          <w:szCs w:val="32"/>
        </w:rPr>
        <w:t>居民健康档案及健康教育管理</w:t>
      </w:r>
      <w:r>
        <w:rPr>
          <w:rFonts w:hint="eastAsia" w:ascii="方正仿宋_GBK" w:hAnsi="方正仿宋_GBK" w:eastAsia="方正仿宋_GBK" w:cs="方正仿宋_GBK"/>
          <w:b/>
          <w:bCs/>
          <w:sz w:val="32"/>
          <w:szCs w:val="32"/>
          <w:lang w:eastAsia="zh-CN"/>
        </w:rPr>
        <w:t>：</w:t>
      </w:r>
    </w:p>
    <w:p>
      <w:pPr>
        <w:pageBreakBefore w:val="0"/>
        <w:widowControl w:val="0"/>
        <w:numPr>
          <w:ilvl w:val="0"/>
          <w:numId w:val="0"/>
        </w:numPr>
        <w:kinsoku/>
        <w:wordWrap/>
        <w:overflowPunct/>
        <w:topLinePunct w:val="0"/>
        <w:bidi w:val="0"/>
        <w:adjustRightInd/>
        <w:snapToGrid/>
        <w:ind w:leftChars="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全乡居民169</w:t>
      </w:r>
      <w:r>
        <w:rPr>
          <w:rFonts w:hint="eastAsia" w:ascii="方正仿宋_GBK" w:hAnsi="方正仿宋_GBK" w:eastAsia="方正仿宋_GBK" w:cs="方正仿宋_GBK"/>
          <w:sz w:val="32"/>
          <w:szCs w:val="32"/>
          <w:lang w:val="en-US" w:eastAsia="zh-CN"/>
        </w:rPr>
        <w:t>51</w:t>
      </w:r>
      <w:r>
        <w:rPr>
          <w:rFonts w:hint="eastAsia" w:ascii="方正仿宋_GBK" w:hAnsi="方正仿宋_GBK" w:eastAsia="方正仿宋_GBK" w:cs="方正仿宋_GBK"/>
          <w:sz w:val="32"/>
          <w:szCs w:val="32"/>
        </w:rPr>
        <w:t>人，实际建档16556人，建档率</w:t>
      </w:r>
      <w:r>
        <w:rPr>
          <w:rFonts w:hint="eastAsia" w:ascii="方正仿宋_GBK" w:hAnsi="方正仿宋_GBK" w:eastAsia="方正仿宋_GBK" w:cs="方正仿宋_GBK"/>
          <w:sz w:val="32"/>
          <w:szCs w:val="32"/>
          <w:lang w:val="en-US" w:eastAsia="zh-CN"/>
        </w:rPr>
        <w:t>97.6</w:t>
      </w:r>
      <w:r>
        <w:rPr>
          <w:rFonts w:hint="eastAsia" w:ascii="方正仿宋_GBK" w:hAnsi="方正仿宋_GBK" w:eastAsia="方正仿宋_GBK" w:cs="方正仿宋_GBK"/>
          <w:sz w:val="32"/>
          <w:szCs w:val="32"/>
        </w:rPr>
        <w:t>%。全年我院发放宣传资料1</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种共计</w:t>
      </w:r>
      <w:r>
        <w:rPr>
          <w:rFonts w:hint="eastAsia" w:ascii="方正仿宋_GBK" w:hAnsi="方正仿宋_GBK" w:eastAsia="方正仿宋_GBK" w:cs="方正仿宋_GBK"/>
          <w:sz w:val="32"/>
          <w:szCs w:val="32"/>
          <w:lang w:val="en-US" w:eastAsia="zh-CN"/>
        </w:rPr>
        <w:t>25380</w:t>
      </w:r>
      <w:r>
        <w:rPr>
          <w:rFonts w:hint="eastAsia" w:ascii="方正仿宋_GBK" w:hAnsi="方正仿宋_GBK" w:eastAsia="方正仿宋_GBK" w:cs="方正仿宋_GBK"/>
          <w:sz w:val="32"/>
          <w:szCs w:val="32"/>
        </w:rPr>
        <w:t>余份；音像资料</w:t>
      </w: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种，播放时长约</w:t>
      </w:r>
      <w:r>
        <w:rPr>
          <w:rFonts w:hint="eastAsia" w:ascii="方正仿宋_GBK" w:hAnsi="方正仿宋_GBK" w:eastAsia="方正仿宋_GBK" w:cs="方正仿宋_GBK"/>
          <w:sz w:val="32"/>
          <w:szCs w:val="32"/>
          <w:lang w:val="en-US" w:eastAsia="zh-CN"/>
        </w:rPr>
        <w:t>44</w:t>
      </w:r>
      <w:r>
        <w:rPr>
          <w:rFonts w:hint="eastAsia" w:ascii="方正仿宋_GBK" w:hAnsi="方正仿宋_GBK" w:eastAsia="方正仿宋_GBK" w:cs="方正仿宋_GBK"/>
          <w:sz w:val="32"/>
          <w:szCs w:val="32"/>
        </w:rPr>
        <w:t>小时；宣传栏共</w:t>
      </w:r>
      <w:r>
        <w:rPr>
          <w:rFonts w:hint="eastAsia" w:ascii="方正仿宋_GBK" w:hAnsi="方正仿宋_GBK" w:eastAsia="方正仿宋_GBK" w:cs="方正仿宋_GBK"/>
          <w:sz w:val="32"/>
          <w:szCs w:val="32"/>
          <w:lang w:val="en-US" w:eastAsia="zh-CN"/>
        </w:rPr>
        <w:t>4</w:t>
      </w:r>
      <w:r>
        <w:rPr>
          <w:rFonts w:hint="eastAsia" w:ascii="方正仿宋_GBK" w:hAnsi="方正仿宋_GBK" w:eastAsia="方正仿宋_GBK" w:cs="方正仿宋_GBK"/>
          <w:sz w:val="32"/>
          <w:szCs w:val="32"/>
        </w:rPr>
        <w:t>个，举办</w:t>
      </w:r>
      <w:r>
        <w:rPr>
          <w:rFonts w:hint="eastAsia" w:ascii="方正仿宋_GBK" w:hAnsi="方正仿宋_GBK" w:eastAsia="方正仿宋_GBK" w:cs="方正仿宋_GBK"/>
          <w:sz w:val="32"/>
          <w:szCs w:val="32"/>
          <w:lang w:val="en-US" w:eastAsia="zh-CN"/>
        </w:rPr>
        <w:t>12</w:t>
      </w:r>
      <w:r>
        <w:rPr>
          <w:rFonts w:hint="eastAsia" w:ascii="方正仿宋_GBK" w:hAnsi="方正仿宋_GBK" w:eastAsia="方正仿宋_GBK" w:cs="方正仿宋_GBK"/>
          <w:sz w:val="32"/>
          <w:szCs w:val="32"/>
        </w:rPr>
        <w:t>期；健康咨询共</w:t>
      </w:r>
      <w:r>
        <w:rPr>
          <w:rFonts w:hint="eastAsia" w:ascii="方正仿宋_GBK" w:hAnsi="方正仿宋_GBK" w:eastAsia="方正仿宋_GBK" w:cs="方正仿宋_GBK"/>
          <w:sz w:val="32"/>
          <w:szCs w:val="32"/>
          <w:lang w:val="en-US" w:eastAsia="zh-CN"/>
        </w:rPr>
        <w:t>11</w:t>
      </w:r>
      <w:r>
        <w:rPr>
          <w:rFonts w:hint="eastAsia" w:ascii="方正仿宋_GBK" w:hAnsi="方正仿宋_GBK" w:eastAsia="方正仿宋_GBK" w:cs="方正仿宋_GBK"/>
          <w:sz w:val="32"/>
          <w:szCs w:val="32"/>
        </w:rPr>
        <w:t>次；健康讲座共</w:t>
      </w:r>
      <w:r>
        <w:rPr>
          <w:rFonts w:hint="eastAsia" w:ascii="方正仿宋_GBK" w:hAnsi="方正仿宋_GBK" w:eastAsia="方正仿宋_GBK" w:cs="方正仿宋_GBK"/>
          <w:sz w:val="32"/>
          <w:szCs w:val="32"/>
          <w:lang w:val="en-US" w:eastAsia="zh-CN"/>
        </w:rPr>
        <w:t>10</w:t>
      </w:r>
      <w:r>
        <w:rPr>
          <w:rFonts w:hint="eastAsia" w:ascii="方正仿宋_GBK" w:hAnsi="方正仿宋_GBK" w:eastAsia="方正仿宋_GBK" w:cs="方正仿宋_GBK"/>
          <w:sz w:val="32"/>
          <w:szCs w:val="32"/>
        </w:rPr>
        <w:t>次。</w:t>
      </w:r>
    </w:p>
    <w:p>
      <w:pPr>
        <w:pageBreakBefore w:val="0"/>
        <w:widowControl w:val="0"/>
        <w:numPr>
          <w:ilvl w:val="0"/>
          <w:numId w:val="0"/>
        </w:numPr>
        <w:kinsoku/>
        <w:wordWrap/>
        <w:overflowPunct/>
        <w:topLinePunct w:val="0"/>
        <w:bidi w:val="0"/>
        <w:adjustRightInd/>
        <w:snapToGrid/>
        <w:ind w:firstLine="643" w:firstLineChars="200"/>
        <w:textAlignment w:val="auto"/>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lang w:eastAsia="zh-CN"/>
        </w:rPr>
        <w:t>（四）</w:t>
      </w:r>
      <w:r>
        <w:rPr>
          <w:rFonts w:hint="eastAsia" w:ascii="方正仿宋_GBK" w:hAnsi="方正仿宋_GBK" w:eastAsia="方正仿宋_GBK" w:cs="方正仿宋_GBK"/>
          <w:b/>
          <w:bCs/>
          <w:sz w:val="32"/>
          <w:szCs w:val="32"/>
        </w:rPr>
        <w:t>中医药健康管理服务：</w:t>
      </w:r>
    </w:p>
    <w:p>
      <w:pPr>
        <w:pageBreakBefore w:val="0"/>
        <w:widowControl w:val="0"/>
        <w:numPr>
          <w:ilvl w:val="0"/>
          <w:numId w:val="0"/>
        </w:numPr>
        <w:kinsoku/>
        <w:wordWrap/>
        <w:overflowPunct/>
        <w:topLinePunct w:val="0"/>
        <w:bidi w:val="0"/>
        <w:adjustRightInd/>
        <w:snapToGrid/>
        <w:ind w:leftChars="0" w:firstLine="640" w:firstLineChars="200"/>
        <w:textAlignment w:val="auto"/>
        <w:rPr>
          <w:rFonts w:hint="eastAsia" w:ascii="方正仿宋_GBK" w:hAnsi="方正仿宋_GBK" w:eastAsia="方正仿宋_GBK" w:cs="方正仿宋_GBK"/>
          <w:i w:val="0"/>
          <w:caps w:val="0"/>
          <w:color w:val="333333"/>
          <w:spacing w:val="8"/>
          <w:sz w:val="32"/>
          <w:szCs w:val="32"/>
          <w:shd w:val="clear" w:color="auto" w:fill="FFFFFF"/>
          <w:lang w:val="en-US" w:eastAsia="zh-CN"/>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对辖区内65岁及以上老年人每年进行1次中医药健康管理服务中医体质辨识和中医药保健指导,进行中医药健康管理1</w:t>
      </w:r>
      <w:r>
        <w:rPr>
          <w:rFonts w:hint="eastAsia" w:ascii="方正仿宋_GBK" w:hAnsi="方正仿宋_GBK" w:eastAsia="方正仿宋_GBK" w:cs="方正仿宋_GBK"/>
          <w:sz w:val="32"/>
          <w:szCs w:val="32"/>
          <w:lang w:val="en-US" w:eastAsia="zh-CN"/>
        </w:rPr>
        <w:t>149</w:t>
      </w:r>
      <w:r>
        <w:rPr>
          <w:rFonts w:hint="eastAsia" w:ascii="方正仿宋_GBK" w:hAnsi="方正仿宋_GBK" w:eastAsia="方正仿宋_GBK" w:cs="方正仿宋_GBK"/>
          <w:sz w:val="32"/>
          <w:szCs w:val="32"/>
        </w:rPr>
        <w:t>人，全乡老年人</w:t>
      </w:r>
      <w:r>
        <w:rPr>
          <w:rFonts w:hint="eastAsia" w:ascii="方正仿宋_GBK" w:hAnsi="方正仿宋_GBK" w:eastAsia="方正仿宋_GBK" w:cs="方正仿宋_GBK"/>
          <w:sz w:val="32"/>
          <w:szCs w:val="32"/>
          <w:lang w:val="en-US" w:eastAsia="zh-CN"/>
        </w:rPr>
        <w:t>2521</w:t>
      </w:r>
      <w:r>
        <w:rPr>
          <w:rFonts w:hint="eastAsia" w:ascii="方正仿宋_GBK" w:hAnsi="方正仿宋_GBK" w:eastAsia="方正仿宋_GBK" w:cs="方正仿宋_GBK"/>
          <w:sz w:val="32"/>
          <w:szCs w:val="32"/>
        </w:rPr>
        <w:t>，管理率达</w:t>
      </w:r>
      <w:r>
        <w:rPr>
          <w:rFonts w:hint="eastAsia" w:ascii="方正仿宋_GBK" w:hAnsi="方正仿宋_GBK" w:eastAsia="方正仿宋_GBK" w:cs="方正仿宋_GBK"/>
          <w:sz w:val="32"/>
          <w:szCs w:val="32"/>
          <w:lang w:val="en-US" w:eastAsia="zh-CN"/>
        </w:rPr>
        <w:t>45.5</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i w:val="0"/>
          <w:caps w:val="0"/>
          <w:color w:val="333333"/>
          <w:spacing w:val="8"/>
          <w:sz w:val="32"/>
          <w:szCs w:val="32"/>
          <w:shd w:val="clear" w:color="auto" w:fill="FFFFFF"/>
          <w:lang w:val="en-US" w:eastAsia="zh-CN"/>
        </w:rPr>
        <w:t>0-36月儿童中医药健康管理情况：0-36月儿童应管391人，实际管理339人，管理服务率为86.70%。</w:t>
      </w:r>
    </w:p>
    <w:p>
      <w:pPr>
        <w:pStyle w:val="13"/>
        <w:pageBreakBefore w:val="0"/>
        <w:widowControl w:val="0"/>
        <w:tabs>
          <w:tab w:val="left" w:pos="312"/>
        </w:tabs>
        <w:kinsoku/>
        <w:wordWrap/>
        <w:overflowPunct/>
        <w:topLinePunct w:val="0"/>
        <w:bidi w:val="0"/>
        <w:adjustRightInd/>
        <w:snapToGrid/>
        <w:spacing w:before="226" w:after="406" w:line="450" w:lineRule="atLeas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rPr>
        <w:t>（</w:t>
      </w:r>
      <w:r>
        <w:rPr>
          <w:rFonts w:hint="eastAsia" w:ascii="方正仿宋_GBK" w:hAnsi="方正仿宋_GBK" w:eastAsia="方正仿宋_GBK" w:cs="方正仿宋_GBK"/>
          <w:b/>
          <w:bCs/>
          <w:sz w:val="32"/>
          <w:szCs w:val="32"/>
          <w:lang w:eastAsia="zh-CN"/>
        </w:rPr>
        <w:t>五</w:t>
      </w:r>
      <w:r>
        <w:rPr>
          <w:rFonts w:hint="eastAsia" w:ascii="方正仿宋_GBK" w:hAnsi="方正仿宋_GBK" w:eastAsia="方正仿宋_GBK" w:cs="方正仿宋_GBK"/>
          <w:b/>
          <w:bCs/>
          <w:sz w:val="32"/>
          <w:szCs w:val="32"/>
        </w:rPr>
        <w:t>）肺结核患者管理：</w:t>
      </w:r>
      <w:r>
        <w:rPr>
          <w:rFonts w:hint="eastAsia" w:ascii="方正仿宋_GBK" w:hAnsi="方正仿宋_GBK" w:eastAsia="方正仿宋_GBK" w:cs="方正仿宋_GBK"/>
          <w:b/>
          <w:bCs/>
          <w:sz w:val="32"/>
          <w:szCs w:val="32"/>
          <w:lang w:val="en-US" w:eastAsia="zh-CN"/>
        </w:rPr>
        <w:t xml:space="preserve"> </w:t>
      </w:r>
      <w:r>
        <w:rPr>
          <w:rFonts w:hint="eastAsia" w:ascii="方正仿宋_GBK" w:hAnsi="方正仿宋_GBK" w:eastAsia="方正仿宋_GBK" w:cs="方正仿宋_GBK"/>
          <w:sz w:val="32"/>
          <w:szCs w:val="32"/>
        </w:rPr>
        <w:t>对上级专业机构通知管理的肺结核患者共</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人，已管理</w:t>
      </w:r>
      <w:r>
        <w:rPr>
          <w:rFonts w:hint="eastAsia" w:ascii="方正仿宋_GBK" w:hAnsi="方正仿宋_GBK" w:eastAsia="方正仿宋_GBK" w:cs="方正仿宋_GBK"/>
          <w:sz w:val="32"/>
          <w:szCs w:val="32"/>
          <w:lang w:val="en-US" w:eastAsia="zh-CN"/>
        </w:rPr>
        <w:t>9</w:t>
      </w:r>
      <w:r>
        <w:rPr>
          <w:rFonts w:hint="eastAsia" w:ascii="方正仿宋_GBK" w:hAnsi="方正仿宋_GBK" w:eastAsia="方正仿宋_GBK" w:cs="方正仿宋_GBK"/>
          <w:sz w:val="32"/>
          <w:szCs w:val="32"/>
        </w:rPr>
        <w:t>人，管理率达100%。</w:t>
      </w:r>
    </w:p>
    <w:p>
      <w:pPr>
        <w:pStyle w:val="13"/>
        <w:pageBreakBefore w:val="0"/>
        <w:widowControl w:val="0"/>
        <w:tabs>
          <w:tab w:val="left" w:pos="312"/>
        </w:tabs>
        <w:kinsoku/>
        <w:wordWrap/>
        <w:overflowPunct/>
        <w:topLinePunct w:val="0"/>
        <w:bidi w:val="0"/>
        <w:adjustRightInd/>
        <w:snapToGrid/>
        <w:spacing w:before="226" w:after="406" w:line="450" w:lineRule="atLeast"/>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bCs/>
          <w:sz w:val="32"/>
          <w:szCs w:val="32"/>
          <w:lang w:eastAsia="zh-CN"/>
        </w:rPr>
        <w:t>（六）</w:t>
      </w:r>
      <w:r>
        <w:rPr>
          <w:rFonts w:hint="eastAsia" w:ascii="方正仿宋_GBK" w:hAnsi="方正仿宋_GBK" w:eastAsia="方正仿宋_GBK" w:cs="方正仿宋_GBK"/>
          <w:b/>
          <w:bCs/>
          <w:sz w:val="32"/>
          <w:szCs w:val="32"/>
        </w:rPr>
        <w:t>家庭医生签约：</w:t>
      </w:r>
      <w:r>
        <w:rPr>
          <w:rFonts w:hint="eastAsia" w:ascii="方正仿宋_GBK" w:hAnsi="方正仿宋_GBK" w:eastAsia="方正仿宋_GBK" w:cs="方正仿宋_GBK"/>
          <w:sz w:val="32"/>
          <w:szCs w:val="32"/>
        </w:rPr>
        <w:t>20</w:t>
      </w:r>
      <w:r>
        <w:rPr>
          <w:rFonts w:hint="eastAsia" w:ascii="方正仿宋_GBK" w:hAnsi="方正仿宋_GBK" w:eastAsia="方正仿宋_GBK" w:cs="方正仿宋_GBK"/>
          <w:sz w:val="32"/>
          <w:szCs w:val="32"/>
          <w:lang w:val="en-US" w:eastAsia="zh-CN"/>
        </w:rPr>
        <w:t>21</w:t>
      </w:r>
      <w:r>
        <w:rPr>
          <w:rFonts w:hint="eastAsia" w:ascii="方正仿宋_GBK" w:hAnsi="方正仿宋_GBK" w:eastAsia="方正仿宋_GBK" w:cs="方正仿宋_GBK"/>
          <w:sz w:val="32"/>
          <w:szCs w:val="32"/>
        </w:rPr>
        <w:t>年共组建家庭医生团队共8个，辖区常住人口169</w:t>
      </w:r>
      <w:r>
        <w:rPr>
          <w:rFonts w:hint="eastAsia" w:ascii="方正仿宋_GBK" w:hAnsi="方正仿宋_GBK" w:eastAsia="方正仿宋_GBK" w:cs="方正仿宋_GBK"/>
          <w:sz w:val="32"/>
          <w:szCs w:val="32"/>
          <w:lang w:val="en-US" w:eastAsia="zh-CN"/>
        </w:rPr>
        <w:t>51</w:t>
      </w:r>
      <w:r>
        <w:rPr>
          <w:rFonts w:hint="eastAsia" w:ascii="方正仿宋_GBK" w:hAnsi="方正仿宋_GBK" w:eastAsia="方正仿宋_GBK" w:cs="方正仿宋_GBK"/>
          <w:sz w:val="32"/>
          <w:szCs w:val="32"/>
        </w:rPr>
        <w:t>常住人口签约</w:t>
      </w:r>
      <w:r>
        <w:rPr>
          <w:rFonts w:hint="eastAsia" w:ascii="方正仿宋_GBK" w:hAnsi="方正仿宋_GBK" w:eastAsia="方正仿宋_GBK" w:cs="方正仿宋_GBK"/>
          <w:sz w:val="32"/>
          <w:szCs w:val="32"/>
          <w:lang w:val="en-US" w:eastAsia="zh-CN"/>
        </w:rPr>
        <w:t>11322</w:t>
      </w:r>
      <w:r>
        <w:rPr>
          <w:rFonts w:hint="eastAsia" w:ascii="方正仿宋_GBK" w:hAnsi="方正仿宋_GBK" w:eastAsia="方正仿宋_GBK" w:cs="方正仿宋_GBK"/>
          <w:sz w:val="32"/>
          <w:szCs w:val="32"/>
        </w:rPr>
        <w:t>人，重点人群签约</w:t>
      </w:r>
      <w:r>
        <w:rPr>
          <w:rFonts w:hint="eastAsia" w:ascii="方正仿宋_GBK" w:hAnsi="方正仿宋_GBK" w:eastAsia="方正仿宋_GBK" w:cs="方正仿宋_GBK"/>
          <w:sz w:val="32"/>
          <w:szCs w:val="32"/>
          <w:lang w:val="en-US" w:eastAsia="zh-CN"/>
        </w:rPr>
        <w:t>2479</w:t>
      </w:r>
      <w:r>
        <w:rPr>
          <w:rFonts w:hint="eastAsia" w:ascii="方正仿宋_GBK" w:hAnsi="方正仿宋_GBK" w:eastAsia="方正仿宋_GBK" w:cs="方正仿宋_GBK"/>
          <w:sz w:val="32"/>
          <w:szCs w:val="32"/>
        </w:rPr>
        <w:t>人，精准扶贫签约</w:t>
      </w:r>
      <w:r>
        <w:rPr>
          <w:rFonts w:hint="eastAsia" w:ascii="方正仿宋_GBK" w:hAnsi="方正仿宋_GBK" w:eastAsia="方正仿宋_GBK" w:cs="方正仿宋_GBK"/>
          <w:sz w:val="32"/>
          <w:szCs w:val="32"/>
          <w:lang w:val="en-US" w:eastAsia="zh-CN"/>
        </w:rPr>
        <w:t>547</w:t>
      </w:r>
      <w:r>
        <w:rPr>
          <w:rFonts w:hint="eastAsia" w:ascii="方正仿宋_GBK" w:hAnsi="方正仿宋_GBK" w:eastAsia="方正仿宋_GBK" w:cs="方正仿宋_GBK"/>
          <w:sz w:val="32"/>
          <w:szCs w:val="32"/>
        </w:rPr>
        <w:t xml:space="preserve">人。       </w:t>
      </w:r>
    </w:p>
    <w:p>
      <w:pPr>
        <w:pStyle w:val="13"/>
        <w:pageBreakBefore w:val="0"/>
        <w:widowControl w:val="0"/>
        <w:tabs>
          <w:tab w:val="left" w:pos="312"/>
        </w:tabs>
        <w:kinsoku/>
        <w:wordWrap/>
        <w:overflowPunct/>
        <w:topLinePunct w:val="0"/>
        <w:bidi w:val="0"/>
        <w:adjustRightInd/>
        <w:snapToGrid/>
        <w:spacing w:before="226" w:after="406" w:line="450" w:lineRule="atLeast"/>
        <w:ind w:firstLine="320" w:firstLineChars="100"/>
        <w:textAlignment w:val="auto"/>
        <w:rPr>
          <w:rFonts w:hint="eastAsia" w:ascii="方正仿宋_GBK" w:hAnsi="方正仿宋_GBK" w:eastAsia="方正仿宋_GBK" w:cs="方正仿宋_GBK"/>
          <w:sz w:val="32"/>
          <w:szCs w:val="32"/>
        </w:rPr>
      </w:pPr>
    </w:p>
    <w:p>
      <w:pPr>
        <w:pStyle w:val="13"/>
        <w:pageBreakBefore w:val="0"/>
        <w:widowControl w:val="0"/>
        <w:tabs>
          <w:tab w:val="left" w:pos="312"/>
        </w:tabs>
        <w:kinsoku/>
        <w:wordWrap/>
        <w:overflowPunct/>
        <w:topLinePunct w:val="0"/>
        <w:bidi w:val="0"/>
        <w:adjustRightInd/>
        <w:snapToGrid/>
        <w:spacing w:before="226" w:after="406" w:line="450" w:lineRule="atLeast"/>
        <w:ind w:firstLine="320" w:firstLineChars="100"/>
        <w:textAlignment w:val="auto"/>
        <w:rPr>
          <w:rFonts w:hint="eastAsia" w:ascii="方正仿宋_GBK" w:hAnsi="方正仿宋_GBK" w:eastAsia="方正仿宋_GBK" w:cs="方正仿宋_GBK"/>
          <w:sz w:val="32"/>
          <w:szCs w:val="32"/>
        </w:rPr>
      </w:pPr>
    </w:p>
    <w:p>
      <w:pPr>
        <w:pStyle w:val="13"/>
        <w:pageBreakBefore w:val="0"/>
        <w:widowControl w:val="0"/>
        <w:tabs>
          <w:tab w:val="left" w:pos="312"/>
        </w:tabs>
        <w:kinsoku/>
        <w:wordWrap/>
        <w:overflowPunct/>
        <w:topLinePunct w:val="0"/>
        <w:bidi w:val="0"/>
        <w:adjustRightInd/>
        <w:snapToGrid/>
        <w:spacing w:before="226" w:after="406" w:line="450" w:lineRule="atLeast"/>
        <w:ind w:firstLine="320" w:firstLineChars="100"/>
        <w:textAlignment w:val="auto"/>
        <w:rPr>
          <w:rFonts w:hint="eastAsia" w:ascii="方正仿宋_GBK" w:hAnsi="方正仿宋_GBK" w:eastAsia="方正仿宋_GBK" w:cs="方正仿宋_GBK"/>
          <w:sz w:val="32"/>
          <w:szCs w:val="32"/>
        </w:rPr>
      </w:pPr>
    </w:p>
    <w:p>
      <w:pPr>
        <w:pStyle w:val="13"/>
        <w:pageBreakBefore w:val="0"/>
        <w:widowControl w:val="0"/>
        <w:tabs>
          <w:tab w:val="left" w:pos="312"/>
        </w:tabs>
        <w:kinsoku/>
        <w:wordWrap/>
        <w:overflowPunct/>
        <w:topLinePunct w:val="0"/>
        <w:bidi w:val="0"/>
        <w:adjustRightInd/>
        <w:snapToGrid/>
        <w:spacing w:before="226" w:after="406" w:line="450" w:lineRule="atLeast"/>
        <w:ind w:firstLine="320" w:firstLineChars="100"/>
        <w:textAlignment w:val="auto"/>
        <w:rPr>
          <w:rFonts w:hint="eastAsia" w:ascii="方正仿宋_GBK" w:hAnsi="方正仿宋_GBK" w:eastAsia="方正仿宋_GBK" w:cs="方正仿宋_GBK"/>
          <w:sz w:val="32"/>
          <w:szCs w:val="32"/>
        </w:rPr>
      </w:pPr>
    </w:p>
    <w:p>
      <w:pPr>
        <w:pStyle w:val="13"/>
        <w:tabs>
          <w:tab w:val="left" w:pos="312"/>
        </w:tabs>
        <w:spacing w:before="226" w:after="406" w:line="450" w:lineRule="atLeast"/>
        <w:rPr>
          <w:rFonts w:hint="eastAsia" w:ascii="方正仿宋_GBK" w:hAnsi="方正仿宋_GBK" w:eastAsia="方正仿宋_GBK" w:cs="方正仿宋_GBK"/>
          <w:sz w:val="32"/>
          <w:szCs w:val="32"/>
        </w:rPr>
      </w:pPr>
    </w:p>
    <w:p>
      <w:pPr>
        <w:pStyle w:val="13"/>
        <w:tabs>
          <w:tab w:val="left" w:pos="312"/>
        </w:tabs>
        <w:spacing w:before="226" w:after="406" w:line="450" w:lineRule="atLeast"/>
        <w:rPr>
          <w:rFonts w:hint="eastAsia" w:ascii="仿宋" w:hAnsi="仿宋" w:eastAsia="仿宋" w:cs="仿宋_GB2312"/>
          <w:sz w:val="32"/>
          <w:szCs w:val="32"/>
        </w:rPr>
      </w:pPr>
      <w:r>
        <w:rPr>
          <w:rFonts w:hint="eastAsia" w:ascii="方正仿宋_GBK" w:hAnsi="方正仿宋_GBK" w:eastAsia="方正仿宋_GBK" w:cs="方正仿宋_GBK"/>
          <w:sz w:val="32"/>
          <w:szCs w:val="32"/>
        </w:rPr>
        <w:t xml:space="preserve">                             </w:t>
      </w:r>
      <w:r>
        <w:rPr>
          <w:rFonts w:hint="eastAsia" w:ascii="仿宋" w:hAnsi="仿宋" w:eastAsia="仿宋" w:cs="仿宋_GB2312"/>
          <w:sz w:val="32"/>
          <w:szCs w:val="32"/>
        </w:rPr>
        <w:t xml:space="preserve"> </w:t>
      </w:r>
    </w:p>
    <w:bookmarkEnd w:id="22"/>
    <w:bookmarkEnd w:id="23"/>
    <w:bookmarkEnd w:id="24"/>
    <w:p>
      <w:pPr>
        <w:pStyle w:val="3"/>
        <w:ind w:right="440"/>
        <w:jc w:val="both"/>
        <w:rPr>
          <w:rFonts w:hint="eastAsia" w:ascii="黑体" w:hAnsi="黑体" w:eastAsia="黑体"/>
          <w:b w:val="0"/>
        </w:rPr>
      </w:pPr>
    </w:p>
    <w:p>
      <w:pPr>
        <w:pStyle w:val="3"/>
        <w:ind w:right="440"/>
        <w:jc w:val="center"/>
        <w:rPr>
          <w:rStyle w:val="30"/>
          <w:rFonts w:ascii="黑体" w:hAnsi="黑体" w:eastAsia="黑体"/>
          <w:b w:val="0"/>
          <w:bCs/>
        </w:rPr>
      </w:pPr>
      <w:r>
        <w:rPr>
          <w:rFonts w:hint="eastAsia" w:ascii="黑体" w:hAnsi="黑体" w:eastAsia="黑体"/>
          <w:b w:val="0"/>
        </w:rPr>
        <w:t>第二部分 2021年度</w:t>
      </w:r>
      <w:r>
        <w:rPr>
          <w:rStyle w:val="30"/>
          <w:rFonts w:hint="eastAsia" w:ascii="黑体" w:hAnsi="黑体" w:eastAsia="黑体"/>
          <w:b w:val="0"/>
          <w:bCs/>
        </w:rPr>
        <w:t>单位决算情况说明</w:t>
      </w:r>
    </w:p>
    <w:p>
      <w:pPr>
        <w:pStyle w:val="6"/>
      </w:pPr>
    </w:p>
    <w:p>
      <w:pPr>
        <w:pStyle w:val="19"/>
        <w:numPr>
          <w:ilvl w:val="0"/>
          <w:numId w:val="2"/>
        </w:numPr>
        <w:spacing w:line="600" w:lineRule="exact"/>
        <w:ind w:firstLineChars="0"/>
        <w:outlineLvl w:val="1"/>
        <w:rPr>
          <w:rStyle w:val="31"/>
          <w:rFonts w:ascii="黑体" w:hAnsi="黑体" w:eastAsia="黑体"/>
          <w:b w:val="0"/>
        </w:rPr>
      </w:pPr>
      <w:bookmarkStart w:id="25" w:name="_Toc4183"/>
      <w:bookmarkStart w:id="26" w:name="_Toc15377205"/>
      <w:bookmarkStart w:id="27" w:name="_Toc15396603"/>
      <w:r>
        <w:rPr>
          <w:rFonts w:hint="eastAsia" w:ascii="黑体" w:hAnsi="黑体" w:eastAsia="黑体"/>
          <w:sz w:val="32"/>
          <w:szCs w:val="32"/>
        </w:rPr>
        <w:t>收</w:t>
      </w:r>
      <w:r>
        <w:rPr>
          <w:rStyle w:val="31"/>
          <w:rFonts w:hint="eastAsia" w:ascii="黑体" w:hAnsi="黑体" w:eastAsia="黑体"/>
          <w:b w:val="0"/>
        </w:rPr>
        <w:t>入支出决算总体情况说明</w:t>
      </w:r>
      <w:bookmarkEnd w:id="25"/>
      <w:bookmarkEnd w:id="26"/>
      <w:bookmarkEnd w:id="27"/>
    </w:p>
    <w:p>
      <w:pPr>
        <w:spacing w:line="600" w:lineRule="exact"/>
        <w:ind w:firstLine="640" w:firstLineChars="200"/>
        <w:rPr>
          <w:rFonts w:hint="eastAsia" w:ascii="仿宋_GB2312" w:hAnsi="仿宋" w:eastAsia="仿宋_GB2312"/>
          <w:sz w:val="32"/>
          <w:szCs w:val="32"/>
          <w:lang w:val="en-US" w:eastAsia="zh-CN"/>
        </w:rPr>
      </w:pPr>
      <w:r>
        <w:rPr>
          <w:rFonts w:hint="eastAsia" w:ascii="仿宋" w:hAnsi="仿宋" w:eastAsia="仿宋"/>
          <w:sz w:val="32"/>
          <w:szCs w:val="32"/>
        </w:rPr>
        <w:t>2021年度</w:t>
      </w:r>
      <w:r>
        <w:rPr>
          <w:rFonts w:hint="eastAsia" w:ascii="仿宋" w:hAnsi="仿宋" w:eastAsia="仿宋"/>
          <w:sz w:val="32"/>
          <w:szCs w:val="32"/>
          <w:lang w:val="en-US" w:eastAsia="zh-CN"/>
        </w:rPr>
        <w:t>总收入479.94万元，与2020年411.75万元相比增加68.19万元，同比增长16.56%。2021年度总支出555.09万元，与2020年373.85万元相比增加181.24万元，同比增长48.48%。</w:t>
      </w:r>
    </w:p>
    <w:p>
      <w:pPr>
        <w:spacing w:line="600" w:lineRule="exact"/>
        <w:ind w:firstLine="640" w:firstLineChars="200"/>
        <w:jc w:val="left"/>
        <w:rPr>
          <w:rFonts w:hint="eastAsia" w:ascii="仿宋_GB2312" w:eastAsia="仿宋_GB2312"/>
          <w:sz w:val="32"/>
          <w:szCs w:val="32"/>
          <w:lang w:eastAsia="zh-CN"/>
        </w:rPr>
      </w:pPr>
    </w:p>
    <w:p>
      <w:pPr>
        <w:pStyle w:val="6"/>
        <w:rPr>
          <w:rFonts w:ascii="仿宋_GB2312" w:eastAsia="仿宋_GB2312"/>
          <w:sz w:val="32"/>
          <w:szCs w:val="32"/>
        </w:rPr>
      </w:pPr>
      <w:r>
        <w:rPr>
          <w:rFonts w:hint="eastAsia" w:ascii="仿宋" w:hAnsi="仿宋" w:eastAsia="仿宋" w:cs="Times New Roman"/>
          <w:kern w:val="0"/>
          <w:sz w:val="32"/>
          <w:szCs w:val="32"/>
          <w:lang w:val="en-US" w:eastAsia="zh-CN" w:bidi="ar-SA"/>
        </w:rPr>
        <w:object>
          <v:shape id="_x0000_i1025" o:spt="75" type="#_x0000_t75" style="height:208.5pt;width:466.45pt;" o:ole="t" filled="f" o:preferrelative="t" stroked="f" coordsize="21600,21600">
            <v:path/>
            <v:fill on="f" focussize="0,0"/>
            <v:stroke on="f"/>
            <v:imagedata r:id="rId7" blacklevel="0f" o:title=""/>
            <o:lock v:ext="edit" aspectratio="t"/>
            <w10:wrap type="none"/>
            <w10:anchorlock/>
          </v:shape>
          <o:OLEObject Type="Embed" ProgID="Excel.Chart.8" ShapeID="_x0000_i1025" DrawAspect="Content" ObjectID="_1468075725" r:id="rId6">
            <o:LockedField>false</o:LockedField>
          </o:OLEObject>
        </w:object>
      </w:r>
    </w:p>
    <w:p>
      <w:pPr>
        <w:pStyle w:val="19"/>
        <w:numPr>
          <w:ilvl w:val="0"/>
          <w:numId w:val="2"/>
        </w:numPr>
        <w:spacing w:line="600" w:lineRule="exact"/>
        <w:ind w:firstLineChars="0"/>
        <w:outlineLvl w:val="1"/>
        <w:rPr>
          <w:rStyle w:val="31"/>
          <w:rFonts w:ascii="黑体" w:hAnsi="黑体" w:eastAsia="黑体"/>
          <w:b w:val="0"/>
        </w:rPr>
      </w:pPr>
      <w:bookmarkStart w:id="28" w:name="_Toc15377206"/>
      <w:bookmarkStart w:id="29" w:name="_Toc20640"/>
      <w:bookmarkStart w:id="30" w:name="_Toc15396604"/>
      <w:r>
        <w:rPr>
          <w:rFonts w:hint="eastAsia" w:ascii="黑体" w:hAnsi="黑体" w:eastAsia="黑体"/>
          <w:sz w:val="32"/>
          <w:szCs w:val="32"/>
        </w:rPr>
        <w:t>收</w:t>
      </w:r>
      <w:r>
        <w:rPr>
          <w:rStyle w:val="31"/>
          <w:rFonts w:hint="eastAsia" w:ascii="黑体" w:hAnsi="黑体" w:eastAsia="黑体"/>
          <w:b w:val="0"/>
        </w:rPr>
        <w:t>入决算情况说明</w:t>
      </w:r>
      <w:bookmarkEnd w:id="28"/>
      <w:bookmarkEnd w:id="29"/>
      <w:bookmarkEnd w:id="30"/>
    </w:p>
    <w:p>
      <w:pPr>
        <w:spacing w:line="600" w:lineRule="exact"/>
        <w:ind w:firstLine="640" w:firstLineChars="200"/>
        <w:outlineLvl w:val="1"/>
        <w:rPr>
          <w:rFonts w:ascii="仿宋" w:hAnsi="仿宋" w:eastAsia="仿宋"/>
          <w:sz w:val="32"/>
          <w:szCs w:val="32"/>
        </w:rPr>
      </w:pPr>
      <w:bookmarkStart w:id="31" w:name="_Toc21015"/>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479.94</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454.29</w:t>
      </w:r>
      <w:r>
        <w:rPr>
          <w:rFonts w:hint="eastAsia" w:ascii="仿宋" w:hAnsi="仿宋" w:eastAsia="仿宋"/>
          <w:sz w:val="32"/>
          <w:szCs w:val="32"/>
        </w:rPr>
        <w:t>万元，占</w:t>
      </w:r>
      <w:r>
        <w:rPr>
          <w:rFonts w:hint="eastAsia" w:ascii="仿宋" w:hAnsi="仿宋" w:eastAsia="仿宋"/>
          <w:sz w:val="32"/>
          <w:szCs w:val="32"/>
          <w:lang w:val="en-US" w:eastAsia="zh-CN"/>
        </w:rPr>
        <w:t>94.66</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25.65</w:t>
      </w:r>
      <w:r>
        <w:rPr>
          <w:rFonts w:hint="eastAsia" w:ascii="仿宋" w:hAnsi="仿宋" w:eastAsia="仿宋"/>
          <w:sz w:val="32"/>
          <w:szCs w:val="32"/>
        </w:rPr>
        <w:t>万元，占</w:t>
      </w:r>
      <w:r>
        <w:rPr>
          <w:rFonts w:hint="eastAsia" w:ascii="仿宋" w:hAnsi="仿宋" w:eastAsia="仿宋"/>
          <w:sz w:val="32"/>
          <w:szCs w:val="32"/>
          <w:lang w:val="en-US" w:eastAsia="zh-CN"/>
        </w:rPr>
        <w:t>5.34</w:t>
      </w:r>
      <w:r>
        <w:rPr>
          <w:rFonts w:ascii="仿宋" w:hAnsi="仿宋" w:eastAsia="仿宋"/>
          <w:sz w:val="32"/>
          <w:szCs w:val="32"/>
        </w:rPr>
        <w:t>%</w:t>
      </w:r>
      <w:r>
        <w:rPr>
          <w:rFonts w:hint="eastAsia" w:ascii="仿宋" w:hAnsi="仿宋" w:eastAsia="仿宋"/>
          <w:sz w:val="32"/>
          <w:szCs w:val="32"/>
        </w:rPr>
        <w:t>。</w:t>
      </w:r>
      <w:bookmarkEnd w:id="31"/>
    </w:p>
    <w:p>
      <w:pPr>
        <w:pStyle w:val="6"/>
        <w:rPr>
          <w:rFonts w:ascii="仿宋_GB2312" w:eastAsia="仿宋_GB2312"/>
          <w:sz w:val="32"/>
          <w:szCs w:val="32"/>
        </w:rPr>
      </w:pPr>
      <w:r>
        <w:rPr>
          <w:rFonts w:hint="eastAsia" w:ascii="仿宋" w:hAnsi="仿宋" w:eastAsia="仿宋" w:cs="Times New Roman"/>
          <w:kern w:val="0"/>
          <w:sz w:val="32"/>
          <w:szCs w:val="32"/>
          <w:lang w:val="en-US" w:eastAsia="zh-CN" w:bidi="ar-SA"/>
        </w:rPr>
        <w:object>
          <v:shape id="_x0000_i1026" o:spt="75" type="#_x0000_t75" style="height:212.95pt;width:391.2pt;" o:ole="t" filled="f" o:preferrelative="t" stroked="f" coordsize="21600,21600">
            <v:path/>
            <v:fill on="f" focussize="0,0"/>
            <v:stroke on="f"/>
            <v:imagedata r:id="rId9" blacklevel="0f" o:title=""/>
            <o:lock v:ext="edit" aspectratio="t"/>
            <w10:wrap type="none"/>
            <w10:anchorlock/>
          </v:shape>
          <o:OLEObject Type="Embed" ProgID="Excel.Chart.8" ShapeID="_x0000_i1026" DrawAspect="Content" ObjectID="_1468075726" r:id="rId8">
            <o:LockedField>false</o:LockedField>
          </o:OLEObject>
        </w:object>
      </w:r>
    </w:p>
    <w:p>
      <w:pPr>
        <w:pStyle w:val="19"/>
        <w:numPr>
          <w:ilvl w:val="0"/>
          <w:numId w:val="2"/>
        </w:numPr>
        <w:spacing w:line="600" w:lineRule="exact"/>
        <w:ind w:firstLineChars="0"/>
        <w:outlineLvl w:val="1"/>
        <w:rPr>
          <w:rStyle w:val="31"/>
          <w:rFonts w:ascii="黑体" w:hAnsi="黑体" w:eastAsia="黑体"/>
          <w:b w:val="0"/>
        </w:rPr>
      </w:pPr>
      <w:bookmarkStart w:id="32" w:name="_Toc15396605"/>
      <w:bookmarkStart w:id="33" w:name="_Toc15377207"/>
      <w:bookmarkStart w:id="34" w:name="_Toc26654"/>
      <w:r>
        <w:rPr>
          <w:rFonts w:hint="eastAsia" w:ascii="黑体" w:hAnsi="黑体" w:eastAsia="黑体"/>
          <w:sz w:val="32"/>
          <w:szCs w:val="32"/>
        </w:rPr>
        <w:t>支</w:t>
      </w:r>
      <w:r>
        <w:rPr>
          <w:rStyle w:val="31"/>
          <w:rFonts w:hint="eastAsia" w:ascii="黑体" w:hAnsi="黑体" w:eastAsia="黑体"/>
          <w:b w:val="0"/>
        </w:rPr>
        <w:t>出决算情况说明</w:t>
      </w:r>
      <w:bookmarkEnd w:id="32"/>
      <w:bookmarkEnd w:id="33"/>
      <w:bookmarkEnd w:id="34"/>
    </w:p>
    <w:p>
      <w:pPr>
        <w:spacing w:line="600" w:lineRule="exact"/>
        <w:ind w:firstLine="640" w:firstLineChars="200"/>
        <w:outlineLvl w:val="1"/>
        <w:rPr>
          <w:rFonts w:ascii="仿宋" w:hAnsi="仿宋" w:eastAsia="仿宋"/>
          <w:sz w:val="32"/>
          <w:szCs w:val="32"/>
          <w:shd w:val="pct10" w:color="auto" w:fill="FFFFFF"/>
        </w:rPr>
      </w:pPr>
      <w:bookmarkStart w:id="35" w:name="_Toc22040"/>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555.09</w:t>
      </w:r>
      <w:r>
        <w:rPr>
          <w:rFonts w:hint="eastAsia" w:ascii="仿宋" w:hAnsi="仿宋" w:eastAsia="仿宋"/>
          <w:sz w:val="32"/>
          <w:szCs w:val="32"/>
        </w:rPr>
        <w:t>万元，其中：基本支出</w:t>
      </w:r>
      <w:r>
        <w:rPr>
          <w:rFonts w:hint="eastAsia" w:ascii="仿宋" w:hAnsi="仿宋" w:eastAsia="仿宋"/>
          <w:sz w:val="32"/>
          <w:szCs w:val="32"/>
          <w:lang w:val="en-US" w:eastAsia="zh-CN"/>
        </w:rPr>
        <w:t>196.77</w:t>
      </w:r>
      <w:r>
        <w:rPr>
          <w:rFonts w:hint="eastAsia" w:ascii="仿宋" w:hAnsi="仿宋" w:eastAsia="仿宋"/>
          <w:sz w:val="32"/>
          <w:szCs w:val="32"/>
        </w:rPr>
        <w:t>万元，占</w:t>
      </w:r>
      <w:r>
        <w:rPr>
          <w:rFonts w:hint="eastAsia" w:ascii="仿宋" w:hAnsi="仿宋" w:eastAsia="仿宋"/>
          <w:sz w:val="32"/>
          <w:szCs w:val="32"/>
          <w:lang w:val="en-US" w:eastAsia="zh-CN"/>
        </w:rPr>
        <w:t>35.45</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358.32</w:t>
      </w:r>
      <w:r>
        <w:rPr>
          <w:rFonts w:hint="eastAsia" w:ascii="仿宋" w:hAnsi="仿宋" w:eastAsia="仿宋"/>
          <w:sz w:val="32"/>
          <w:szCs w:val="32"/>
        </w:rPr>
        <w:t>万元，占</w:t>
      </w:r>
      <w:r>
        <w:rPr>
          <w:rFonts w:hint="eastAsia" w:ascii="仿宋" w:hAnsi="仿宋" w:eastAsia="仿宋"/>
          <w:sz w:val="32"/>
          <w:szCs w:val="32"/>
          <w:lang w:val="en-US" w:eastAsia="zh-CN"/>
        </w:rPr>
        <w:t>64.55</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bookmarkEnd w:id="35"/>
    </w:p>
    <w:p>
      <w:pPr>
        <w:pStyle w:val="6"/>
        <w:rPr>
          <w:rFonts w:hint="eastAsia" w:ascii="仿宋" w:hAnsi="仿宋" w:eastAsia="仿宋"/>
          <w:sz w:val="32"/>
          <w:szCs w:val="32"/>
          <w:shd w:val="pct10" w:color="auto" w:fill="FFFFFF"/>
          <w:lang w:eastAsia="zh-CN"/>
        </w:rPr>
      </w:pPr>
      <w:r>
        <w:rPr>
          <w:rFonts w:hint="eastAsia" w:ascii="仿宋" w:hAnsi="仿宋" w:eastAsia="仿宋" w:cs="Times New Roman"/>
          <w:kern w:val="0"/>
          <w:sz w:val="32"/>
          <w:szCs w:val="32"/>
          <w:shd w:val="pct10" w:color="auto" w:fill="FFFFFF"/>
          <w:lang w:val="en-US" w:eastAsia="zh-CN" w:bidi="ar-SA"/>
        </w:rPr>
        <w:object>
          <v:shape id="_x0000_i1027" o:spt="75" type="#_x0000_t75" style="height:192.65pt;width:362.4pt;" o:ole="t" filled="f" o:preferrelative="t" stroked="f" coordsize="21600,21600">
            <v:path/>
            <v:fill on="f" focussize="0,0"/>
            <v:stroke on="f"/>
            <v:imagedata r:id="rId11" blacklevel="0f" o:title=""/>
            <o:lock v:ext="edit" aspectratio="t"/>
            <w10:wrap type="none"/>
            <w10:anchorlock/>
          </v:shape>
          <o:OLEObject Type="Embed" ProgID="Excel.Chart.8" ShapeID="_x0000_i1027" DrawAspect="Content" ObjectID="_1468075727" r:id="rId10">
            <o:LockedField>false</o:LockedField>
          </o:OLEObject>
        </w:object>
      </w:r>
    </w:p>
    <w:p>
      <w:pPr>
        <w:spacing w:line="600" w:lineRule="exact"/>
        <w:ind w:firstLine="640" w:firstLineChars="200"/>
        <w:rPr>
          <w:rFonts w:ascii="仿宋_GB2312" w:eastAsia="仿宋_GB2312"/>
          <w:sz w:val="32"/>
          <w:szCs w:val="32"/>
        </w:rPr>
      </w:pPr>
    </w:p>
    <w:p>
      <w:pPr>
        <w:pStyle w:val="2"/>
      </w:pPr>
    </w:p>
    <w:p>
      <w:pPr>
        <w:spacing w:line="600" w:lineRule="exact"/>
        <w:ind w:firstLine="640" w:firstLineChars="200"/>
        <w:outlineLvl w:val="1"/>
        <w:rPr>
          <w:rStyle w:val="31"/>
          <w:rFonts w:ascii="黑体" w:hAnsi="黑体" w:eastAsia="黑体"/>
          <w:b w:val="0"/>
        </w:rPr>
      </w:pPr>
      <w:bookmarkStart w:id="36" w:name="_Toc17627"/>
      <w:bookmarkStart w:id="37" w:name="_Toc15377208"/>
      <w:bookmarkStart w:id="38" w:name="_Toc15396606"/>
      <w:r>
        <w:rPr>
          <w:rFonts w:hint="eastAsia" w:ascii="黑体" w:hAnsi="黑体" w:eastAsia="黑体"/>
          <w:sz w:val="32"/>
          <w:szCs w:val="32"/>
        </w:rPr>
        <w:t>四、财</w:t>
      </w:r>
      <w:r>
        <w:rPr>
          <w:rStyle w:val="31"/>
          <w:rFonts w:hint="eastAsia" w:ascii="黑体" w:hAnsi="黑体" w:eastAsia="黑体"/>
          <w:b w:val="0"/>
        </w:rPr>
        <w:t>政拨款收入支出决算总体情况说明</w:t>
      </w:r>
      <w:bookmarkEnd w:id="36"/>
      <w:bookmarkEnd w:id="37"/>
      <w:bookmarkEnd w:id="38"/>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21年财政拨款收</w:t>
      </w:r>
      <w:r>
        <w:rPr>
          <w:rFonts w:hint="eastAsia" w:ascii="仿宋" w:hAnsi="仿宋" w:eastAsia="仿宋"/>
          <w:sz w:val="32"/>
          <w:szCs w:val="32"/>
          <w:lang w:val="en-US" w:eastAsia="zh-CN"/>
        </w:rPr>
        <w:t>入总计454.29万元，与2020年397.66万元增加56.63万元，增长14.24%。2021年财政拨款支出总计548.62万元，与2020年421.94万元增加126.68万元，增长30.02%。</w:t>
      </w:r>
    </w:p>
    <w:p>
      <w:pPr>
        <w:pStyle w:val="6"/>
        <w:rPr>
          <w:rFonts w:ascii="仿宋" w:hAnsi="仿宋" w:eastAsia="仿宋"/>
          <w:b/>
          <w:sz w:val="32"/>
          <w:szCs w:val="32"/>
        </w:rPr>
      </w:pPr>
      <w:r>
        <w:rPr>
          <w:rFonts w:hint="eastAsia" w:ascii="仿宋" w:hAnsi="仿宋" w:eastAsia="仿宋" w:cs="Times New Roman"/>
          <w:kern w:val="0"/>
          <w:sz w:val="32"/>
          <w:szCs w:val="32"/>
          <w:lang w:val="en-US" w:eastAsia="zh-CN" w:bidi="ar-SA"/>
        </w:rPr>
        <w:object>
          <v:shape id="_x0000_i1028" o:spt="75" type="#_x0000_t75" style="height:218.9pt;width:443.1pt;" o:ole="t" filled="f" o:preferrelative="t" stroked="f" coordsize="21600,21600">
            <v:path/>
            <v:fill on="f" focussize="0,0"/>
            <v:stroke on="f"/>
            <v:imagedata r:id="rId13" blacklevel="0f" o:title=""/>
            <o:lock v:ext="edit" aspectratio="t"/>
            <w10:wrap type="none"/>
            <w10:anchorlock/>
          </v:shape>
          <o:OLEObject Type="Embed" ProgID="Excel.Chart.8" ShapeID="_x0000_i1028" DrawAspect="Content" ObjectID="_1468075728" r:id="rId12">
            <o:LockedField>false</o:LockedField>
          </o:OLEObject>
        </w:object>
      </w:r>
    </w:p>
    <w:p>
      <w:pPr>
        <w:spacing w:line="600" w:lineRule="exact"/>
        <w:ind w:firstLine="640" w:firstLineChars="200"/>
        <w:outlineLvl w:val="1"/>
        <w:rPr>
          <w:rStyle w:val="31"/>
          <w:rFonts w:ascii="黑体" w:hAnsi="黑体" w:eastAsia="黑体"/>
          <w:b w:val="0"/>
        </w:rPr>
      </w:pPr>
      <w:bookmarkStart w:id="39" w:name="_Toc28910"/>
      <w:bookmarkStart w:id="40" w:name="_Toc15377209"/>
      <w:bookmarkStart w:id="41" w:name="_Toc15396607"/>
      <w:r>
        <w:rPr>
          <w:rFonts w:hint="eastAsia" w:ascii="黑体" w:hAnsi="黑体" w:eastAsia="黑体"/>
          <w:sz w:val="32"/>
          <w:szCs w:val="32"/>
        </w:rPr>
        <w:t>五、</w:t>
      </w:r>
      <w:r>
        <w:rPr>
          <w:rFonts w:hint="eastAsia" w:ascii="黑体" w:hAnsi="黑体" w:eastAsia="黑体"/>
          <w:b/>
          <w:sz w:val="32"/>
          <w:szCs w:val="32"/>
        </w:rPr>
        <w:t>一</w:t>
      </w:r>
      <w:r>
        <w:rPr>
          <w:rStyle w:val="31"/>
          <w:rFonts w:hint="eastAsia" w:ascii="黑体" w:hAnsi="黑体" w:eastAsia="黑体"/>
          <w:b w:val="0"/>
        </w:rPr>
        <w:t>般公共预算财政拨款支出决算情况说明</w:t>
      </w:r>
      <w:bookmarkEnd w:id="39"/>
      <w:bookmarkEnd w:id="40"/>
      <w:bookmarkEnd w:id="41"/>
    </w:p>
    <w:p>
      <w:pPr>
        <w:spacing w:line="600" w:lineRule="exact"/>
        <w:ind w:firstLine="643" w:firstLineChars="200"/>
        <w:outlineLvl w:val="2"/>
        <w:rPr>
          <w:rFonts w:ascii="仿宋" w:hAnsi="仿宋" w:eastAsia="仿宋"/>
          <w:b/>
          <w:sz w:val="32"/>
          <w:szCs w:val="32"/>
        </w:rPr>
      </w:pPr>
      <w:bookmarkStart w:id="42" w:name="_Toc15377210"/>
      <w:r>
        <w:rPr>
          <w:rFonts w:hint="eastAsia" w:ascii="仿宋" w:hAnsi="仿宋" w:eastAsia="仿宋"/>
          <w:b/>
          <w:sz w:val="32"/>
          <w:szCs w:val="32"/>
        </w:rPr>
        <w:t>（一）一般公共预算财政拨款支出决算总体情况</w:t>
      </w:r>
      <w:bookmarkEnd w:id="42"/>
    </w:p>
    <w:p>
      <w:pPr>
        <w:spacing w:line="600" w:lineRule="exact"/>
        <w:ind w:firstLine="640" w:firstLineChars="200"/>
        <w:rPr>
          <w:rFonts w:hint="default"/>
          <w:lang w:val="en-US"/>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548.62</w:t>
      </w:r>
      <w:r>
        <w:rPr>
          <w:rFonts w:hint="eastAsia" w:ascii="仿宋" w:hAnsi="仿宋" w:eastAsia="仿宋"/>
          <w:sz w:val="32"/>
          <w:szCs w:val="32"/>
        </w:rPr>
        <w:t>万元，占本年支出合计的</w:t>
      </w:r>
      <w:r>
        <w:rPr>
          <w:rFonts w:hint="eastAsia" w:ascii="仿宋" w:hAnsi="仿宋" w:eastAsia="仿宋"/>
          <w:sz w:val="32"/>
          <w:szCs w:val="32"/>
          <w:lang w:val="en-US" w:eastAsia="zh-CN"/>
        </w:rPr>
        <w:t>98.83</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w:t>
      </w:r>
      <w:r>
        <w:rPr>
          <w:rFonts w:hint="eastAsia" w:ascii="仿宋" w:hAnsi="仿宋" w:eastAsia="仿宋"/>
          <w:sz w:val="32"/>
          <w:szCs w:val="32"/>
          <w:lang w:val="en-US" w:eastAsia="zh-CN"/>
        </w:rPr>
        <w:t>421.94万元</w:t>
      </w:r>
      <w:r>
        <w:rPr>
          <w:rFonts w:hint="eastAsia" w:ascii="仿宋" w:hAnsi="仿宋" w:eastAsia="仿宋"/>
          <w:sz w:val="32"/>
          <w:szCs w:val="32"/>
        </w:rPr>
        <w:t>相比，一般公共预算财政拨款支出增加</w:t>
      </w:r>
      <w:r>
        <w:rPr>
          <w:rFonts w:hint="eastAsia" w:ascii="仿宋" w:hAnsi="仿宋" w:eastAsia="仿宋"/>
          <w:sz w:val="32"/>
          <w:szCs w:val="32"/>
          <w:lang w:val="en-US" w:eastAsia="zh-CN"/>
        </w:rPr>
        <w:t>126.68</w:t>
      </w:r>
      <w:r>
        <w:rPr>
          <w:rFonts w:hint="eastAsia" w:ascii="仿宋" w:hAnsi="仿宋" w:eastAsia="仿宋"/>
          <w:sz w:val="32"/>
          <w:szCs w:val="32"/>
        </w:rPr>
        <w:t>万元，增长</w:t>
      </w:r>
      <w:r>
        <w:rPr>
          <w:rFonts w:hint="eastAsia" w:ascii="仿宋" w:hAnsi="仿宋" w:eastAsia="仿宋"/>
          <w:sz w:val="32"/>
          <w:szCs w:val="32"/>
          <w:lang w:val="en-US" w:eastAsia="zh-CN"/>
        </w:rPr>
        <w:t>30.02</w:t>
      </w:r>
      <w:r>
        <w:rPr>
          <w:rFonts w:ascii="仿宋" w:hAnsi="仿宋" w:eastAsia="仿宋"/>
          <w:sz w:val="32"/>
          <w:szCs w:val="32"/>
        </w:rPr>
        <w:t>%</w:t>
      </w:r>
      <w:r>
        <w:rPr>
          <w:rFonts w:hint="eastAsia" w:ascii="仿宋" w:hAnsi="仿宋" w:eastAsia="仿宋"/>
          <w:sz w:val="32"/>
          <w:szCs w:val="32"/>
        </w:rPr>
        <w:t>。</w:t>
      </w:r>
    </w:p>
    <w:p>
      <w:pPr>
        <w:pStyle w:val="6"/>
        <w:jc w:val="center"/>
        <w:rPr>
          <w:rFonts w:ascii="仿宋" w:hAnsi="仿宋" w:eastAsia="仿宋"/>
          <w:sz w:val="32"/>
          <w:szCs w:val="32"/>
        </w:rPr>
      </w:pPr>
      <w:r>
        <w:rPr>
          <w:rFonts w:hint="eastAsia" w:ascii="仿宋_GB2312" w:hAnsi="Times New Roman" w:eastAsia="仿宋_GB2312" w:cs="Times New Roman"/>
          <w:kern w:val="0"/>
          <w:sz w:val="30"/>
          <w:szCs w:val="24"/>
          <w:lang w:val="en-US" w:eastAsia="zh-CN" w:bidi="ar-SA"/>
        </w:rPr>
        <w:object>
          <v:shape id="_x0000_i1029" o:spt="75" type="#_x0000_t75" style="height:238.1pt;width:488.1pt;" o:ole="t" filled="f" o:preferrelative="t" stroked="f" coordsize="21600,21600">
            <v:path/>
            <v:fill on="f" focussize="0,0"/>
            <v:stroke on="f"/>
            <v:imagedata r:id="rId15" blacklevel="0f" o:title=""/>
            <o:lock v:ext="edit" aspectratio="t"/>
            <w10:wrap type="none"/>
            <w10:anchorlock/>
          </v:shape>
          <o:OLEObject Type="Embed" ProgID="Excel.Chart.8" ShapeID="_x0000_i1029" DrawAspect="Content" ObjectID="_1468075729" r:id="rId14">
            <o:LockedField>false</o:LockedField>
          </o:OLEObject>
        </w:object>
      </w:r>
    </w:p>
    <w:p>
      <w:pPr>
        <w:spacing w:line="600" w:lineRule="exact"/>
        <w:outlineLvl w:val="2"/>
        <w:rPr>
          <w:rFonts w:ascii="仿宋" w:hAnsi="仿宋" w:eastAsia="仿宋"/>
          <w:b/>
          <w:sz w:val="32"/>
          <w:szCs w:val="32"/>
        </w:rPr>
      </w:pPr>
      <w:bookmarkStart w:id="43" w:name="_Toc15377211"/>
      <w:r>
        <w:rPr>
          <w:rFonts w:hint="eastAsia" w:ascii="仿宋" w:hAnsi="仿宋" w:eastAsia="仿宋"/>
          <w:b/>
          <w:sz w:val="32"/>
          <w:szCs w:val="32"/>
        </w:rPr>
        <w:t>（二）一般公共预算财政拨款支出决算结构情况</w:t>
      </w:r>
      <w:bookmarkEnd w:id="43"/>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548.62</w:t>
      </w:r>
      <w:r>
        <w:rPr>
          <w:rFonts w:hint="eastAsia" w:ascii="仿宋" w:hAnsi="仿宋" w:eastAsia="仿宋"/>
          <w:sz w:val="32"/>
          <w:szCs w:val="32"/>
        </w:rPr>
        <w:t>万元，主要用于以下方</w:t>
      </w:r>
      <w:r>
        <w:rPr>
          <w:rFonts w:hint="eastAsia" w:ascii="仿宋" w:hAnsi="仿宋" w:eastAsia="仿宋" w:cs="Times New Roman"/>
          <w:sz w:val="32"/>
          <w:szCs w:val="32"/>
        </w:rPr>
        <w:t>面:一般公共服务（类）支出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%；教育支出（类）</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%；科学技术（类）支出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%；文化旅游体育与传媒（类）支出</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0</w:t>
      </w:r>
      <w:r>
        <w:rPr>
          <w:rFonts w:hint="eastAsia" w:ascii="仿宋" w:hAnsi="仿宋" w:eastAsia="仿宋" w:cs="Times New Roman"/>
          <w:sz w:val="32"/>
          <w:szCs w:val="32"/>
        </w:rPr>
        <w:t>%；社会保障和就业（类）支出</w:t>
      </w:r>
      <w:r>
        <w:rPr>
          <w:rFonts w:hint="eastAsia" w:ascii="仿宋" w:hAnsi="仿宋" w:eastAsia="仿宋" w:cs="Times New Roman"/>
          <w:sz w:val="32"/>
          <w:szCs w:val="32"/>
          <w:lang w:val="en-US" w:eastAsia="zh-CN"/>
        </w:rPr>
        <w:t>17.07</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3.11</w:t>
      </w:r>
      <w:r>
        <w:rPr>
          <w:rFonts w:hint="eastAsia" w:ascii="仿宋" w:hAnsi="仿宋" w:eastAsia="仿宋" w:cs="Times New Roman"/>
          <w:sz w:val="32"/>
          <w:szCs w:val="32"/>
        </w:rPr>
        <w:t>%；卫生健康支出</w:t>
      </w:r>
      <w:r>
        <w:rPr>
          <w:rFonts w:hint="eastAsia" w:ascii="仿宋" w:hAnsi="仿宋" w:eastAsia="仿宋" w:cs="Times New Roman"/>
          <w:sz w:val="32"/>
          <w:szCs w:val="32"/>
          <w:lang w:val="en-US" w:eastAsia="zh-CN"/>
        </w:rPr>
        <w:t>513.33</w:t>
      </w:r>
      <w:r>
        <w:rPr>
          <w:rFonts w:hint="eastAsia" w:ascii="仿宋" w:hAnsi="仿宋" w:eastAsia="仿宋" w:cs="Times New Roman"/>
          <w:sz w:val="32"/>
          <w:szCs w:val="32"/>
        </w:rPr>
        <w:t>万元，占</w:t>
      </w:r>
      <w:r>
        <w:rPr>
          <w:rFonts w:hint="eastAsia" w:ascii="仿宋" w:hAnsi="仿宋" w:eastAsia="仿宋" w:cs="Times New Roman"/>
          <w:sz w:val="32"/>
          <w:szCs w:val="32"/>
          <w:lang w:val="en-US" w:eastAsia="zh-CN"/>
        </w:rPr>
        <w:t xml:space="preserve"> 93.57</w:t>
      </w:r>
      <w:r>
        <w:rPr>
          <w:rFonts w:hint="eastAsia" w:ascii="仿宋" w:hAnsi="仿宋" w:eastAsia="仿宋" w:cs="Times New Roman"/>
          <w:sz w:val="32"/>
          <w:szCs w:val="32"/>
        </w:rPr>
        <w:t>%；住房保障支出</w:t>
      </w:r>
      <w:r>
        <w:rPr>
          <w:rFonts w:hint="eastAsia" w:ascii="仿宋" w:hAnsi="仿宋" w:eastAsia="仿宋" w:cs="Times New Roman"/>
          <w:sz w:val="32"/>
          <w:szCs w:val="32"/>
          <w:lang w:val="en-US" w:eastAsia="zh-CN"/>
        </w:rPr>
        <w:t>18.22</w:t>
      </w:r>
      <w:r>
        <w:rPr>
          <w:rFonts w:hint="eastAsia" w:ascii="仿宋" w:hAnsi="仿宋" w:eastAsia="仿宋" w:cs="Times New Roman"/>
          <w:sz w:val="32"/>
          <w:szCs w:val="32"/>
        </w:rPr>
        <w:t>万元，</w:t>
      </w:r>
      <w:r>
        <w:rPr>
          <w:rFonts w:hint="eastAsia" w:ascii="仿宋" w:hAnsi="仿宋" w:eastAsia="仿宋"/>
          <w:sz w:val="32"/>
          <w:szCs w:val="32"/>
        </w:rPr>
        <w:t>占</w:t>
      </w:r>
      <w:r>
        <w:rPr>
          <w:rFonts w:hint="eastAsia" w:ascii="仿宋" w:hAnsi="仿宋" w:eastAsia="仿宋"/>
          <w:sz w:val="32"/>
          <w:szCs w:val="32"/>
          <w:lang w:val="en-US" w:eastAsia="zh-CN"/>
        </w:rPr>
        <w:t>3.32</w:t>
      </w:r>
      <w:r>
        <w:rPr>
          <w:rFonts w:ascii="仿宋" w:hAnsi="仿宋" w:eastAsia="仿宋"/>
          <w:sz w:val="32"/>
          <w:szCs w:val="32"/>
        </w:rPr>
        <w:t>%</w:t>
      </w:r>
      <w:r>
        <w:rPr>
          <w:rFonts w:hint="eastAsia" w:ascii="仿宋" w:hAnsi="仿宋" w:eastAsia="仿宋"/>
          <w:sz w:val="32"/>
          <w:szCs w:val="32"/>
        </w:rPr>
        <w:t>。</w:t>
      </w:r>
    </w:p>
    <w:p>
      <w:pPr>
        <w:pStyle w:val="6"/>
        <w:jc w:val="center"/>
        <w:rPr>
          <w:rFonts w:ascii="仿宋" w:hAnsi="仿宋" w:eastAsia="仿宋"/>
          <w:sz w:val="32"/>
          <w:szCs w:val="32"/>
        </w:rPr>
      </w:pPr>
      <w:r>
        <w:rPr>
          <w:rFonts w:hint="eastAsia" w:ascii="仿宋" w:hAnsi="仿宋" w:eastAsia="仿宋" w:cs="Times New Roman"/>
          <w:kern w:val="0"/>
          <w:sz w:val="32"/>
          <w:szCs w:val="32"/>
          <w:lang w:val="en-US" w:eastAsia="zh-CN" w:bidi="ar-SA"/>
        </w:rPr>
        <w:object>
          <v:shape id="_x0000_i1030" o:spt="75" type="#_x0000_t75" style="height:243.7pt;width:429.75pt;" o:ole="t" filled="f" o:preferrelative="t" stroked="f" coordsize="21600,21600">
            <v:path/>
            <v:fill on="f" focussize="0,0"/>
            <v:stroke on="f"/>
            <v:imagedata r:id="rId17" blacklevel="0f" o:title=""/>
            <o:lock v:ext="edit" aspectratio="t"/>
            <w10:wrap type="none"/>
            <w10:anchorlock/>
          </v:shape>
          <o:OLEObject Type="Embed" ProgID="Excel.Chart.8" ShapeID="_x0000_i1030" DrawAspect="Content" ObjectID="_1468075730" r:id="rId16">
            <o:LockedField>false</o:LockedField>
          </o:OLEObject>
        </w:object>
      </w:r>
    </w:p>
    <w:p>
      <w:pPr>
        <w:spacing w:line="600" w:lineRule="exact"/>
        <w:ind w:firstLine="640" w:firstLineChars="200"/>
        <w:rPr>
          <w:rFonts w:ascii="仿宋" w:hAnsi="仿宋" w:eastAsia="仿宋"/>
          <w:sz w:val="32"/>
          <w:szCs w:val="32"/>
        </w:rPr>
      </w:pPr>
    </w:p>
    <w:p>
      <w:pPr>
        <w:spacing w:line="600" w:lineRule="exact"/>
        <w:ind w:firstLine="643" w:firstLineChars="200"/>
        <w:outlineLvl w:val="2"/>
        <w:rPr>
          <w:rFonts w:ascii="仿宋" w:hAnsi="仿宋" w:eastAsia="仿宋"/>
          <w:b/>
          <w:sz w:val="32"/>
          <w:szCs w:val="32"/>
        </w:rPr>
      </w:pPr>
      <w:bookmarkStart w:id="44" w:name="_Toc15377212"/>
      <w:r>
        <w:rPr>
          <w:rFonts w:hint="eastAsia" w:ascii="仿宋" w:hAnsi="仿宋" w:eastAsia="仿宋"/>
          <w:b/>
          <w:sz w:val="32"/>
          <w:szCs w:val="32"/>
        </w:rPr>
        <w:t>（三）一般公共预算财政拨款支出决算具体情况</w:t>
      </w:r>
      <w:bookmarkEnd w:id="44"/>
    </w:p>
    <w:p>
      <w:pPr>
        <w:spacing w:line="600" w:lineRule="exact"/>
        <w:ind w:firstLine="643" w:firstLineChars="200"/>
        <w:outlineLvl w:val="2"/>
        <w:rPr>
          <w:rFonts w:ascii="仿宋" w:hAnsi="仿宋" w:eastAsia="仿宋"/>
          <w:sz w:val="32"/>
          <w:szCs w:val="32"/>
        </w:rPr>
      </w:pPr>
      <w:bookmarkStart w:id="45" w:name="_Toc15377213"/>
      <w:bookmarkStart w:id="46" w:name="_Toc15377444"/>
      <w:bookmarkStart w:id="47" w:name="_Toc15378460"/>
      <w:r>
        <w:rPr>
          <w:rFonts w:hint="eastAsia" w:ascii="仿宋" w:hAnsi="仿宋" w:eastAsia="仿宋"/>
          <w:b/>
          <w:sz w:val="32"/>
          <w:szCs w:val="32"/>
        </w:rPr>
        <w:t>2021年一般公共预算支出决算数为</w:t>
      </w:r>
      <w:r>
        <w:rPr>
          <w:rStyle w:val="34"/>
          <w:rFonts w:hint="eastAsia"/>
          <w:lang w:val="en-US" w:eastAsia="zh-CN"/>
        </w:rPr>
        <w:t>548.62</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45"/>
      <w:bookmarkEnd w:id="46"/>
      <w:bookmarkEnd w:id="47"/>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1.社会保障和就业支出（类）行政事业单位养老支出（款）机关事业单位基本养老保险缴费支出（项）: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17.07</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2.卫生健康支出（类）基层医疗卫生机构（款）乡镇卫生院（项）: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310.28</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3.卫生健康支出（类）基层医疗卫生机构（款）其他基层医疗卫生机构支出（项）: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22.84</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4.卫生健康支出（类）公共卫生（款）基本公共卫生服务（项）: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151.83</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5.卫生健康支出（类）公共卫生（款）重大公共卫生服务（项）: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14.59</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rPr>
        <w:t>6.卫生健康支出（类）公共卫生（款）其他公共卫生支出（项）: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0</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lang w:val="en-US" w:eastAsia="zh-CN"/>
        </w:rPr>
        <w:t>7</w:t>
      </w:r>
      <w:r>
        <w:rPr>
          <w:rStyle w:val="16"/>
          <w:rFonts w:hint="eastAsia" w:ascii="仿宋" w:hAnsi="仿宋" w:eastAsia="仿宋" w:cs="黑体"/>
          <w:b/>
          <w:bCs w:val="0"/>
          <w:sz w:val="32"/>
          <w:szCs w:val="32"/>
        </w:rPr>
        <w:t>.卫生健康支出（类）行政事业单位医疗（款）事业单位医疗（项）: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9.50</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lang w:val="en-US" w:eastAsia="zh-CN"/>
        </w:rPr>
        <w:t>8</w:t>
      </w:r>
      <w:r>
        <w:rPr>
          <w:rStyle w:val="16"/>
          <w:rFonts w:hint="eastAsia" w:ascii="仿宋" w:hAnsi="仿宋" w:eastAsia="仿宋" w:cs="黑体"/>
          <w:b/>
          <w:bCs w:val="0"/>
          <w:sz w:val="32"/>
          <w:szCs w:val="32"/>
        </w:rPr>
        <w:t>.卫生健康支出（类）行政事业单位医疗（款）公务员医疗补助（项）: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1.81</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lang w:val="en-US" w:eastAsia="zh-CN"/>
        </w:rPr>
        <w:t>9</w:t>
      </w:r>
      <w:r>
        <w:rPr>
          <w:rStyle w:val="16"/>
          <w:rFonts w:hint="eastAsia" w:ascii="仿宋" w:hAnsi="仿宋" w:eastAsia="仿宋" w:cs="黑体"/>
          <w:b/>
          <w:bCs w:val="0"/>
          <w:sz w:val="32"/>
          <w:szCs w:val="32"/>
        </w:rPr>
        <w:t>.卫生健康支出（类）其他卫生健康支出（款）其他卫生健康支出（项）: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2.48</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ind w:firstLine="643" w:firstLineChars="200"/>
        <w:rPr>
          <w:rStyle w:val="16"/>
          <w:rFonts w:hint="eastAsia" w:ascii="仿宋" w:hAnsi="仿宋" w:eastAsia="仿宋" w:cs="黑体"/>
          <w:b w:val="0"/>
          <w:bCs/>
          <w:sz w:val="32"/>
          <w:szCs w:val="32"/>
        </w:rPr>
      </w:pPr>
      <w:r>
        <w:rPr>
          <w:rStyle w:val="16"/>
          <w:rFonts w:hint="eastAsia" w:ascii="仿宋" w:hAnsi="仿宋" w:eastAsia="仿宋" w:cs="黑体"/>
          <w:b/>
          <w:bCs w:val="0"/>
          <w:sz w:val="32"/>
          <w:szCs w:val="32"/>
          <w:lang w:val="en-US" w:eastAsia="zh-CN"/>
        </w:rPr>
        <w:t>10</w:t>
      </w:r>
      <w:r>
        <w:rPr>
          <w:rStyle w:val="16"/>
          <w:rFonts w:hint="eastAsia" w:ascii="仿宋" w:hAnsi="仿宋" w:eastAsia="仿宋" w:cs="黑体"/>
          <w:b/>
          <w:bCs w:val="0"/>
          <w:sz w:val="32"/>
          <w:szCs w:val="32"/>
        </w:rPr>
        <w:t>.住房保障支出（类）住房改革支出（款）住房公积金（项）:</w:t>
      </w:r>
      <w:r>
        <w:rPr>
          <w:rStyle w:val="16"/>
          <w:rFonts w:hint="eastAsia" w:ascii="仿宋" w:hAnsi="仿宋" w:eastAsia="仿宋" w:cs="黑体"/>
          <w:b w:val="0"/>
          <w:bCs/>
          <w:sz w:val="32"/>
          <w:szCs w:val="32"/>
        </w:rPr>
        <w:t>支出决算为</w:t>
      </w:r>
      <w:r>
        <w:rPr>
          <w:rStyle w:val="16"/>
          <w:rFonts w:hint="eastAsia" w:ascii="仿宋" w:hAnsi="仿宋" w:eastAsia="仿宋" w:cs="黑体"/>
          <w:b w:val="0"/>
          <w:bCs/>
          <w:sz w:val="32"/>
          <w:szCs w:val="32"/>
          <w:lang w:val="en-US" w:eastAsia="zh-CN"/>
        </w:rPr>
        <w:t>18.22</w:t>
      </w:r>
      <w:r>
        <w:rPr>
          <w:rStyle w:val="16"/>
          <w:rFonts w:hint="eastAsia" w:ascii="仿宋" w:hAnsi="仿宋" w:eastAsia="仿宋" w:cs="黑体"/>
          <w:b w:val="0"/>
          <w:bCs/>
          <w:sz w:val="32"/>
          <w:szCs w:val="32"/>
        </w:rPr>
        <w:t>万元，完成预算</w:t>
      </w:r>
      <w:r>
        <w:rPr>
          <w:rStyle w:val="16"/>
          <w:rFonts w:hint="eastAsia" w:ascii="仿宋" w:hAnsi="仿宋" w:eastAsia="仿宋" w:cs="黑体"/>
          <w:b w:val="0"/>
          <w:bCs/>
          <w:sz w:val="32"/>
          <w:szCs w:val="32"/>
          <w:lang w:val="en-US" w:eastAsia="zh-CN"/>
        </w:rPr>
        <w:t>100</w:t>
      </w:r>
      <w:r>
        <w:rPr>
          <w:rStyle w:val="16"/>
          <w:rFonts w:hint="eastAsia" w:ascii="仿宋" w:hAnsi="仿宋" w:eastAsia="仿宋" w:cs="黑体"/>
          <w:b w:val="0"/>
          <w:bCs/>
          <w:sz w:val="32"/>
          <w:szCs w:val="32"/>
        </w:rPr>
        <w:t>%，决算数等于预算数。</w:t>
      </w:r>
    </w:p>
    <w:p>
      <w:pPr>
        <w:spacing w:line="600" w:lineRule="exact"/>
        <w:rPr>
          <w:rFonts w:ascii="仿宋" w:hAnsi="仿宋" w:eastAsia="仿宋"/>
          <w:b/>
          <w:sz w:val="32"/>
          <w:szCs w:val="32"/>
        </w:rPr>
      </w:pPr>
    </w:p>
    <w:p>
      <w:pPr>
        <w:tabs>
          <w:tab w:val="right" w:pos="8306"/>
        </w:tabs>
        <w:spacing w:line="600" w:lineRule="exact"/>
        <w:ind w:firstLine="640"/>
        <w:outlineLvl w:val="1"/>
        <w:rPr>
          <w:rFonts w:hint="eastAsia" w:ascii="黑体" w:eastAsia="黑体"/>
          <w:sz w:val="32"/>
          <w:szCs w:val="32"/>
        </w:rPr>
      </w:pPr>
      <w:bookmarkStart w:id="48" w:name="_Toc15377214"/>
      <w:bookmarkStart w:id="49" w:name="_Toc15396608"/>
      <w:bookmarkStart w:id="50" w:name="_Toc30132"/>
    </w:p>
    <w:p>
      <w:pPr>
        <w:tabs>
          <w:tab w:val="right" w:pos="8306"/>
        </w:tabs>
        <w:spacing w:line="600" w:lineRule="exact"/>
        <w:ind w:firstLine="640"/>
        <w:outlineLvl w:val="1"/>
        <w:rPr>
          <w:rStyle w:val="31"/>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1"/>
          <w:rFonts w:hint="eastAsia" w:ascii="黑体" w:hAnsi="黑体" w:eastAsia="黑体"/>
          <w:b w:val="0"/>
        </w:rPr>
        <w:t>般公共预算财政拨款基本支出决算情况说明</w:t>
      </w:r>
      <w:bookmarkEnd w:id="48"/>
      <w:bookmarkEnd w:id="49"/>
      <w:bookmarkEnd w:id="50"/>
      <w:r>
        <w:rPr>
          <w:rStyle w:val="31"/>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196.77</w:t>
      </w:r>
      <w:r>
        <w:rPr>
          <w:rFonts w:hint="eastAsia" w:ascii="仿宋" w:hAnsi="仿宋" w:eastAsia="仿宋"/>
          <w:sz w:val="32"/>
          <w:szCs w:val="32"/>
        </w:rPr>
        <w:t>万元，其中：</w:t>
      </w:r>
    </w:p>
    <w:p>
      <w:pPr>
        <w:spacing w:line="600" w:lineRule="exact"/>
        <w:ind w:firstLine="645"/>
        <w:rPr>
          <w:rFonts w:hint="eastAsia" w:ascii="仿宋" w:hAnsi="仿宋" w:eastAsia="仿宋"/>
          <w:sz w:val="32"/>
          <w:szCs w:val="32"/>
          <w:lang w:eastAsia="zh-CN"/>
        </w:rPr>
      </w:pPr>
      <w:r>
        <w:rPr>
          <w:rFonts w:hint="eastAsia" w:ascii="仿宋" w:hAnsi="仿宋" w:eastAsia="仿宋"/>
          <w:sz w:val="32"/>
          <w:szCs w:val="32"/>
        </w:rPr>
        <w:t>人员经费</w:t>
      </w:r>
      <w:r>
        <w:rPr>
          <w:rFonts w:hint="eastAsia" w:ascii="仿宋" w:hAnsi="仿宋" w:eastAsia="仿宋"/>
          <w:sz w:val="32"/>
          <w:szCs w:val="32"/>
          <w:lang w:val="en-US" w:eastAsia="zh-CN"/>
        </w:rPr>
        <w:t>196.77</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p>
    <w:p>
      <w:pPr>
        <w:spacing w:line="600" w:lineRule="exact"/>
        <w:ind w:firstLine="645"/>
        <w:rPr>
          <w:rFonts w:ascii="仿宋" w:hAnsi="仿宋" w:eastAsia="仿宋"/>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rPr>
          <w:rFonts w:ascii="仿宋" w:hAnsi="仿宋" w:eastAsia="仿宋"/>
          <w:b/>
          <w:sz w:val="32"/>
          <w:szCs w:val="32"/>
        </w:rPr>
      </w:pPr>
    </w:p>
    <w:p>
      <w:pPr>
        <w:spacing w:line="600" w:lineRule="exact"/>
        <w:ind w:firstLine="640"/>
        <w:outlineLvl w:val="1"/>
        <w:rPr>
          <w:rStyle w:val="31"/>
          <w:rFonts w:ascii="黑体" w:hAnsi="黑体" w:eastAsia="黑体"/>
          <w:b w:val="0"/>
        </w:rPr>
      </w:pPr>
      <w:bookmarkStart w:id="51" w:name="_Toc15377215"/>
      <w:bookmarkStart w:id="52" w:name="_Toc15396609"/>
      <w:bookmarkStart w:id="53" w:name="_Toc22225"/>
      <w:r>
        <w:rPr>
          <w:rFonts w:hint="eastAsia" w:ascii="黑体" w:eastAsia="黑体"/>
          <w:sz w:val="32"/>
          <w:szCs w:val="32"/>
        </w:rPr>
        <w:t>七、</w:t>
      </w:r>
      <w:r>
        <w:rPr>
          <w:rStyle w:val="31"/>
          <w:rFonts w:hint="eastAsia" w:ascii="黑体" w:hAnsi="黑体" w:eastAsia="黑体"/>
        </w:rPr>
        <w:t>“</w:t>
      </w:r>
      <w:r>
        <w:rPr>
          <w:rStyle w:val="31"/>
          <w:rFonts w:hint="eastAsia" w:ascii="黑体" w:hAnsi="黑体" w:eastAsia="黑体"/>
          <w:b w:val="0"/>
        </w:rPr>
        <w:t>三公”经费财政拨款支出决算情况说明</w:t>
      </w:r>
      <w:bookmarkEnd w:id="51"/>
      <w:bookmarkEnd w:id="52"/>
      <w:bookmarkEnd w:id="53"/>
    </w:p>
    <w:p>
      <w:pPr>
        <w:spacing w:line="600" w:lineRule="exact"/>
        <w:ind w:firstLine="640"/>
        <w:outlineLvl w:val="2"/>
        <w:rPr>
          <w:rFonts w:ascii="仿宋" w:hAnsi="仿宋" w:eastAsia="仿宋"/>
          <w:b/>
          <w:sz w:val="32"/>
          <w:szCs w:val="32"/>
        </w:rPr>
      </w:pPr>
      <w:bookmarkStart w:id="54" w:name="_Toc15377216"/>
      <w:r>
        <w:rPr>
          <w:rFonts w:hint="eastAsia" w:ascii="仿宋" w:hAnsi="仿宋" w:eastAsia="仿宋"/>
          <w:b/>
          <w:sz w:val="32"/>
          <w:szCs w:val="32"/>
        </w:rPr>
        <w:t>（一）“三公”经费财政拨款支出决算总体情况说明</w:t>
      </w:r>
      <w:bookmarkEnd w:id="54"/>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0.37</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，决算数与预算数持平。</w:t>
      </w:r>
    </w:p>
    <w:p>
      <w:pPr>
        <w:spacing w:line="600" w:lineRule="exact"/>
        <w:ind w:firstLine="640"/>
        <w:outlineLvl w:val="2"/>
        <w:rPr>
          <w:rFonts w:ascii="仿宋" w:hAnsi="仿宋" w:eastAsia="仿宋"/>
          <w:b/>
          <w:sz w:val="32"/>
          <w:szCs w:val="32"/>
        </w:rPr>
      </w:pPr>
      <w:bookmarkStart w:id="55" w:name="_Toc15377217"/>
      <w:r>
        <w:rPr>
          <w:rFonts w:hint="eastAsia" w:ascii="仿宋" w:hAnsi="仿宋" w:eastAsia="仿宋"/>
          <w:b/>
          <w:sz w:val="32"/>
          <w:szCs w:val="32"/>
        </w:rPr>
        <w:t>（二）“三公”经费财政拨款支出决算具体情况说明</w:t>
      </w:r>
      <w:bookmarkEnd w:id="55"/>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0.10</w:t>
      </w:r>
      <w:r>
        <w:rPr>
          <w:rFonts w:hint="eastAsia" w:ascii="仿宋" w:hAnsi="仿宋" w:eastAsia="仿宋"/>
          <w:sz w:val="32"/>
          <w:szCs w:val="32"/>
        </w:rPr>
        <w:t>万元，占</w:t>
      </w:r>
      <w:r>
        <w:rPr>
          <w:rFonts w:hint="eastAsia" w:ascii="仿宋" w:hAnsi="仿宋" w:eastAsia="仿宋"/>
          <w:sz w:val="32"/>
          <w:szCs w:val="32"/>
          <w:lang w:val="en-US" w:eastAsia="zh-CN"/>
        </w:rPr>
        <w:t>27.03</w:t>
      </w:r>
      <w:r>
        <w:rPr>
          <w:rFonts w:ascii="仿宋" w:hAnsi="仿宋" w:eastAsia="仿宋"/>
          <w:sz w:val="32"/>
          <w:szCs w:val="32"/>
        </w:rPr>
        <w:t>%</w:t>
      </w:r>
      <w:r>
        <w:rPr>
          <w:rFonts w:hint="eastAsia" w:ascii="仿宋" w:hAnsi="仿宋" w:eastAsia="仿宋"/>
          <w:sz w:val="32"/>
          <w:szCs w:val="32"/>
        </w:rPr>
        <w:t>；</w:t>
      </w:r>
    </w:p>
    <w:p>
      <w:pPr>
        <w:spacing w:line="600" w:lineRule="exact"/>
        <w:ind w:firstLine="640"/>
        <w:rPr>
          <w:rFonts w:hint="eastAsia" w:ascii="仿宋" w:hAnsi="仿宋" w:eastAsia="仿宋"/>
          <w:sz w:val="32"/>
          <w:szCs w:val="32"/>
        </w:rPr>
      </w:pPr>
      <w:r>
        <w:rPr>
          <w:rFonts w:hint="eastAsia" w:ascii="仿宋" w:hAnsi="仿宋" w:eastAsia="仿宋"/>
          <w:sz w:val="32"/>
          <w:szCs w:val="32"/>
          <w:lang w:eastAsia="zh-CN"/>
        </w:rPr>
        <w:t>因</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主要用于接待上级部门工作检查及餐费。</w:t>
      </w:r>
      <w:r>
        <w:rPr>
          <w:rFonts w:hint="eastAsia" w:ascii="仿宋" w:hAnsi="仿宋" w:eastAsia="仿宋" w:cs="仿宋"/>
          <w:sz w:val="32"/>
          <w:szCs w:val="32"/>
          <w:lang w:eastAsia="zh-CN"/>
        </w:rPr>
        <w:t>接待批次</w:t>
      </w:r>
      <w:r>
        <w:rPr>
          <w:rFonts w:hint="eastAsia" w:ascii="仿宋" w:hAnsi="仿宋" w:eastAsia="仿宋" w:cs="仿宋"/>
          <w:sz w:val="32"/>
          <w:szCs w:val="32"/>
          <w:lang w:val="en-US" w:eastAsia="zh-CN"/>
        </w:rPr>
        <w:t>0次，合计0人次（不包括陪同人员），共计支出0万元。</w:t>
      </w:r>
    </w:p>
    <w:p>
      <w:pPr>
        <w:spacing w:line="600" w:lineRule="exact"/>
        <w:ind w:firstLine="640"/>
      </w:pPr>
      <w:r>
        <w:rPr>
          <w:rFonts w:hint="eastAsia" w:ascii="仿宋" w:hAnsi="仿宋" w:eastAsia="仿宋"/>
          <w:sz w:val="32"/>
          <w:szCs w:val="32"/>
        </w:rPr>
        <w:t>具体情况如下：</w:t>
      </w:r>
    </w:p>
    <w:p>
      <w:pPr>
        <w:pStyle w:val="6"/>
        <w:rPr>
          <w:rFonts w:hint="eastAsia" w:eastAsia="仿宋_GB2312"/>
          <w:lang w:eastAsia="zh-CN"/>
        </w:rPr>
      </w:pPr>
      <w:r>
        <w:rPr>
          <w:rFonts w:hint="eastAsia" w:ascii="仿宋_GB2312" w:hAnsi="Times New Roman" w:eastAsia="仿宋_GB2312" w:cs="Times New Roman"/>
          <w:kern w:val="0"/>
          <w:sz w:val="30"/>
          <w:szCs w:val="24"/>
          <w:lang w:val="en-US" w:eastAsia="zh-CN" w:bidi="ar-SA"/>
        </w:rPr>
        <w:object>
          <v:shape id="_x0000_i1031" o:spt="75" type="#_x0000_t75" style="height:247.3pt;width:422.85pt;" o:ole="t" filled="f" o:preferrelative="t" stroked="f" coordsize="21600,21600">
            <v:path/>
            <v:fill on="f" focussize="0,0"/>
            <v:stroke on="f"/>
            <v:imagedata r:id="rId19" blacklevel="0f" o:title=""/>
            <o:lock v:ext="edit" aspectratio="t"/>
            <w10:wrap type="none"/>
            <w10:anchorlock/>
          </v:shape>
          <o:OLEObject Type="Embed" ProgID="Excel.Chart.8" ShapeID="_x0000_i1031" DrawAspect="Content" ObjectID="_1468075731" r:id="rId18">
            <o:LockedField>false</o:LockedField>
          </o:OLEObject>
        </w:object>
      </w:r>
    </w:p>
    <w:p>
      <w:pPr>
        <w:spacing w:line="600" w:lineRule="exact"/>
        <w:jc w:val="center"/>
        <w:rPr>
          <w:rFonts w:ascii="仿宋" w:hAnsi="仿宋" w:eastAsia="仿宋"/>
          <w:sz w:val="32"/>
          <w:szCs w:val="32"/>
        </w:rPr>
      </w:pP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w:t>
      </w:r>
      <w:r>
        <w:rPr>
          <w:rFonts w:hint="eastAsia" w:ascii="仿宋_GB2312" w:eastAsia="仿宋_GB2312"/>
          <w:sz w:val="32"/>
          <w:szCs w:val="32"/>
          <w:lang w:val="en-US" w:eastAsia="zh-CN"/>
        </w:rPr>
        <w:t>与</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相比无变化</w:t>
      </w:r>
      <w:r>
        <w:rPr>
          <w:rFonts w:hint="eastAsia" w:ascii="仿宋_GB2312" w:eastAsia="仿宋_GB2312"/>
          <w:sz w:val="32"/>
          <w:szCs w:val="32"/>
        </w:rPr>
        <w:t>。</w:t>
      </w:r>
    </w:p>
    <w:p>
      <w:pPr>
        <w:spacing w:line="600" w:lineRule="exact"/>
        <w:ind w:firstLine="640"/>
        <w:rPr>
          <w:rFonts w:hint="eastAsia" w:ascii="仿宋_GB2312" w:eastAsia="仿宋_GB2312"/>
          <w:b/>
          <w:sz w:val="32"/>
          <w:szCs w:val="32"/>
          <w:lang w:eastAsia="zh-CN"/>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0.1</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27</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0.45万元</w:t>
      </w:r>
      <w:r>
        <w:rPr>
          <w:rFonts w:hint="eastAsia" w:ascii="仿宋_GB2312" w:eastAsia="仿宋_GB2312"/>
          <w:sz w:val="32"/>
          <w:szCs w:val="32"/>
        </w:rPr>
        <w:t>减少</w:t>
      </w:r>
      <w:r>
        <w:rPr>
          <w:rFonts w:hint="eastAsia" w:ascii="仿宋_GB2312" w:eastAsia="仿宋_GB2312"/>
          <w:sz w:val="32"/>
          <w:szCs w:val="32"/>
          <w:lang w:val="en-US" w:eastAsia="zh-CN"/>
        </w:rPr>
        <w:t>0.35</w:t>
      </w:r>
      <w:r>
        <w:rPr>
          <w:rFonts w:hint="eastAsia" w:ascii="仿宋_GB2312" w:eastAsia="仿宋_GB2312"/>
          <w:sz w:val="32"/>
          <w:szCs w:val="32"/>
        </w:rPr>
        <w:t>万元，下降</w:t>
      </w:r>
      <w:r>
        <w:rPr>
          <w:rFonts w:hint="eastAsia" w:ascii="仿宋_GB2312" w:eastAsia="仿宋_GB2312"/>
          <w:sz w:val="32"/>
          <w:szCs w:val="32"/>
          <w:lang w:val="en-US" w:eastAsia="zh-CN"/>
        </w:rPr>
        <w:t>78</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救护车已达到报废年限，无公务用车。</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val="en-US" w:eastAsia="zh-CN"/>
        </w:rPr>
        <w:t>0</w:t>
      </w: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lang w:val="en-US" w:eastAsia="zh-CN"/>
        </w:rPr>
        <w:t>特种专业技术用车（救护车）1辆</w:t>
      </w:r>
      <w:r>
        <w:rPr>
          <w:rFonts w:hint="eastAsia" w:ascii="仿宋_GB2312" w:eastAsia="仿宋_GB2312"/>
          <w:sz w:val="32"/>
          <w:szCs w:val="32"/>
        </w:rPr>
        <w:t>。</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sz w:val="32"/>
          <w:szCs w:val="32"/>
          <w:lang w:val="en-US" w:eastAsia="zh-CN"/>
        </w:rPr>
        <w:t>0.10</w:t>
      </w:r>
      <w:r>
        <w:rPr>
          <w:rFonts w:hint="eastAsia" w:ascii="仿宋_GB2312" w:eastAsia="仿宋_GB2312"/>
          <w:sz w:val="32"/>
          <w:szCs w:val="32"/>
        </w:rPr>
        <w:t>万元。主要用于</w:t>
      </w:r>
      <w:r>
        <w:rPr>
          <w:rFonts w:hint="eastAsia" w:ascii="仿宋_GB2312" w:eastAsia="仿宋_GB2312"/>
          <w:sz w:val="32"/>
          <w:szCs w:val="32"/>
          <w:lang w:val="en-US" w:eastAsia="zh-CN"/>
        </w:rPr>
        <w:t>救护车下乡</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w:t>
      </w:r>
      <w:r>
        <w:rPr>
          <w:rFonts w:hint="eastAsia" w:ascii="仿宋_GB2312" w:eastAsia="仿宋_GB2312"/>
          <w:sz w:val="32"/>
          <w:szCs w:val="32"/>
          <w:lang w:val="en-US" w:eastAsia="zh-CN"/>
        </w:rPr>
        <w:t>0万元</w:t>
      </w:r>
      <w:r>
        <w:rPr>
          <w:rFonts w:hint="eastAsia" w:ascii="仿宋_GB2312" w:eastAsia="仿宋_GB2312"/>
          <w:sz w:val="32"/>
          <w:szCs w:val="32"/>
          <w:lang w:eastAsia="zh-CN"/>
        </w:rPr>
        <w:t>增加</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val="en-US" w:eastAsia="zh-CN"/>
        </w:rPr>
        <w:t>2021年和2020年都无检查接待</w:t>
      </w:r>
      <w:bookmarkStart w:id="104" w:name="_GoBack"/>
      <w:bookmarkEnd w:id="104"/>
      <w:r>
        <w:rPr>
          <w:rFonts w:hint="eastAsia" w:ascii="仿宋_GB2312" w:eastAsia="仿宋_GB2312"/>
          <w:sz w:val="32"/>
          <w:szCs w:val="32"/>
        </w:rPr>
        <w:t>。其中：</w:t>
      </w:r>
    </w:p>
    <w:p>
      <w:pPr>
        <w:spacing w:line="600" w:lineRule="exact"/>
        <w:ind w:firstLine="640"/>
        <w:rPr>
          <w:rFonts w:hint="eastAsia" w:ascii="仿宋_GB2312" w:hAnsi="Times New Roman" w:eastAsia="仿宋_GB2312" w:cs="Times New Roman"/>
          <w:sz w:val="32"/>
          <w:szCs w:val="32"/>
        </w:rPr>
      </w:pPr>
      <w:r>
        <w:rPr>
          <w:rFonts w:hint="eastAsia" w:ascii="仿宋" w:hAnsi="仿宋" w:eastAsia="仿宋"/>
          <w:b/>
          <w:sz w:val="32"/>
          <w:szCs w:val="32"/>
        </w:rPr>
        <w:t>国内公务接待支出</w:t>
      </w:r>
      <w:r>
        <w:rPr>
          <w:rFonts w:hint="eastAsia" w:ascii="仿宋" w:hAnsi="仿宋" w:eastAsia="仿宋"/>
          <w:sz w:val="32"/>
          <w:szCs w:val="32"/>
          <w:lang w:val="en-US" w:eastAsia="zh-CN"/>
        </w:rPr>
        <w:t>0</w:t>
      </w:r>
      <w:r>
        <w:rPr>
          <w:rFonts w:hint="eastAsia" w:ascii="仿宋_GB2312" w:eastAsia="仿宋_GB2312"/>
          <w:sz w:val="32"/>
          <w:szCs w:val="32"/>
        </w:rPr>
        <w:t>万元，主要用于</w:t>
      </w:r>
      <w:r>
        <w:rPr>
          <w:rFonts w:hint="eastAsia" w:ascii="仿宋_GB2312" w:hAnsi="Times New Roman" w:eastAsia="仿宋_GB2312" w:cs="Times New Roman"/>
          <w:sz w:val="32"/>
          <w:szCs w:val="32"/>
        </w:rPr>
        <w:t>接待上级部门工作检查餐费</w:t>
      </w:r>
      <w:r>
        <w:rPr>
          <w:rFonts w:hint="eastAsia" w:ascii="仿宋" w:hAnsi="仿宋" w:eastAsia="仿宋" w:cs="仿宋"/>
          <w:sz w:val="32"/>
          <w:szCs w:val="32"/>
        </w:rPr>
        <w:t>。</w:t>
      </w:r>
      <w:r>
        <w:rPr>
          <w:rFonts w:hint="eastAsia" w:ascii="仿宋" w:hAnsi="仿宋" w:eastAsia="仿宋" w:cs="仿宋"/>
          <w:sz w:val="32"/>
          <w:szCs w:val="32"/>
          <w:lang w:eastAsia="zh-CN"/>
        </w:rPr>
        <w:t>接待批次</w:t>
      </w:r>
      <w:r>
        <w:rPr>
          <w:rFonts w:hint="eastAsia" w:ascii="仿宋" w:hAnsi="仿宋" w:eastAsia="仿宋" w:cs="仿宋"/>
          <w:sz w:val="32"/>
          <w:szCs w:val="32"/>
          <w:lang w:val="en-US" w:eastAsia="zh-CN"/>
        </w:rPr>
        <w:t>0次，合计0人次。</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hint="eastAsia" w:ascii="仿宋" w:hAnsi="仿宋" w:eastAsia="仿宋"/>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outlineLvl w:val="9"/>
        <w:rPr>
          <w:rFonts w:ascii="黑体" w:eastAsia="黑体"/>
          <w:sz w:val="32"/>
          <w:szCs w:val="32"/>
        </w:rPr>
      </w:pPr>
      <w:bookmarkStart w:id="56" w:name="_Toc15377218"/>
      <w:bookmarkStart w:id="57" w:name="_Toc15396610"/>
    </w:p>
    <w:p>
      <w:pPr>
        <w:spacing w:line="600" w:lineRule="exact"/>
        <w:ind w:firstLine="640"/>
        <w:outlineLvl w:val="1"/>
        <w:rPr>
          <w:rStyle w:val="31"/>
          <w:rFonts w:ascii="黑体" w:hAnsi="黑体" w:eastAsia="黑体"/>
        </w:rPr>
      </w:pPr>
      <w:bookmarkStart w:id="58" w:name="_Toc1497"/>
      <w:r>
        <w:rPr>
          <w:rFonts w:hint="eastAsia" w:ascii="黑体" w:eastAsia="黑体"/>
          <w:sz w:val="32"/>
          <w:szCs w:val="32"/>
        </w:rPr>
        <w:t>八、</w:t>
      </w:r>
      <w:r>
        <w:rPr>
          <w:rStyle w:val="31"/>
          <w:rFonts w:hint="eastAsia" w:ascii="黑体" w:hAnsi="黑体" w:eastAsia="黑体"/>
          <w:b w:val="0"/>
        </w:rPr>
        <w:t>政府性基金预算支出决算情况说明</w:t>
      </w:r>
      <w:bookmarkEnd w:id="56"/>
      <w:bookmarkEnd w:id="57"/>
      <w:bookmarkEnd w:id="5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rPr>
          <w:rFonts w:ascii="仿宋_GB2312" w:eastAsia="仿宋_GB2312"/>
          <w:sz w:val="32"/>
          <w:szCs w:val="32"/>
        </w:rPr>
      </w:pPr>
    </w:p>
    <w:p>
      <w:pPr>
        <w:numPr>
          <w:ilvl w:val="0"/>
          <w:numId w:val="3"/>
        </w:numPr>
        <w:spacing w:line="600" w:lineRule="exact"/>
        <w:ind w:firstLine="640"/>
        <w:outlineLvl w:val="1"/>
        <w:rPr>
          <w:rStyle w:val="31"/>
          <w:rFonts w:ascii="黑体" w:hAnsi="黑体" w:eastAsia="黑体"/>
          <w:b w:val="0"/>
        </w:rPr>
      </w:pPr>
      <w:bookmarkStart w:id="59" w:name="_Toc15377219"/>
      <w:bookmarkStart w:id="60" w:name="_Toc24471"/>
      <w:bookmarkStart w:id="61" w:name="_Toc15396611"/>
      <w:r>
        <w:rPr>
          <w:rStyle w:val="31"/>
          <w:rFonts w:hint="eastAsia" w:ascii="黑体" w:hAnsi="黑体" w:eastAsia="黑体"/>
          <w:b w:val="0"/>
        </w:rPr>
        <w:t>国有资本经营预算支出决算情况说明</w:t>
      </w:r>
      <w:bookmarkEnd w:id="59"/>
      <w:bookmarkEnd w:id="60"/>
      <w:bookmarkEnd w:id="6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580" w:lineRule="exact"/>
        <w:jc w:val="center"/>
        <w:rPr>
          <w:rFonts w:ascii="方正小标宋简体" w:hAnsi="方正小标宋简体" w:eastAsia="方正小标宋简体" w:cs="方正小标宋简体"/>
          <w:sz w:val="44"/>
          <w:szCs w:val="44"/>
        </w:rPr>
      </w:pPr>
    </w:p>
    <w:p>
      <w:pPr>
        <w:numPr>
          <w:ilvl w:val="0"/>
          <w:numId w:val="3"/>
        </w:numPr>
        <w:spacing w:line="600" w:lineRule="exact"/>
        <w:ind w:firstLine="640"/>
        <w:outlineLvl w:val="1"/>
        <w:rPr>
          <w:rStyle w:val="31"/>
          <w:rFonts w:ascii="黑体" w:hAnsi="黑体" w:eastAsia="黑体"/>
          <w:b w:val="0"/>
        </w:rPr>
      </w:pPr>
      <w:bookmarkStart w:id="62" w:name="_Toc15377221"/>
      <w:bookmarkStart w:id="63" w:name="_Toc15396612"/>
      <w:bookmarkStart w:id="64" w:name="_Toc17425"/>
      <w:r>
        <w:rPr>
          <w:rStyle w:val="31"/>
          <w:rFonts w:hint="eastAsia" w:ascii="黑体" w:hAnsi="黑体" w:eastAsia="黑体"/>
          <w:b w:val="0"/>
        </w:rPr>
        <w:t>其他重要事项的情况说明</w:t>
      </w:r>
      <w:bookmarkEnd w:id="62"/>
      <w:bookmarkEnd w:id="63"/>
      <w:bookmarkEnd w:id="64"/>
    </w:p>
    <w:p>
      <w:pPr>
        <w:spacing w:line="600" w:lineRule="exact"/>
        <w:ind w:firstLine="643" w:firstLineChars="200"/>
        <w:outlineLvl w:val="2"/>
        <w:rPr>
          <w:rFonts w:ascii="仿宋" w:hAnsi="仿宋" w:eastAsia="仿宋"/>
          <w:sz w:val="32"/>
          <w:szCs w:val="32"/>
        </w:rPr>
      </w:pPr>
      <w:bookmarkStart w:id="65" w:name="_Toc15377222"/>
      <w:r>
        <w:rPr>
          <w:rFonts w:hint="eastAsia" w:ascii="仿宋" w:hAnsi="仿宋" w:eastAsia="仿宋"/>
          <w:b/>
          <w:sz w:val="32"/>
          <w:szCs w:val="32"/>
        </w:rPr>
        <w:t>（一）机关运行经费支出情况</w:t>
      </w:r>
      <w:bookmarkEnd w:id="65"/>
    </w:p>
    <w:p>
      <w:pPr>
        <w:spacing w:line="600" w:lineRule="exact"/>
        <w:ind w:firstLine="640" w:firstLineChars="200"/>
      </w:pPr>
      <w:r>
        <w:rPr>
          <w:rFonts w:ascii="仿宋_GB2312" w:eastAsia="仿宋_GB2312"/>
          <w:sz w:val="32"/>
          <w:szCs w:val="32"/>
        </w:rPr>
        <w:t>20</w:t>
      </w:r>
      <w:r>
        <w:rPr>
          <w:rFonts w:hint="eastAsia" w:ascii="仿宋_GB2312" w:eastAsia="仿宋_GB2312"/>
          <w:sz w:val="32"/>
          <w:szCs w:val="32"/>
        </w:rPr>
        <w:t>21年，</w:t>
      </w:r>
      <w:r>
        <w:rPr>
          <w:rFonts w:hint="eastAsia" w:eastAsia="仿宋_GB2312"/>
          <w:sz w:val="32"/>
          <w:szCs w:val="32"/>
          <w:lang w:eastAsia="zh-CN"/>
        </w:rPr>
        <w:t>盐边县国胜中心卫生院</w:t>
      </w:r>
      <w:r>
        <w:rPr>
          <w:rFonts w:eastAsia="仿宋_GB2312"/>
          <w:sz w:val="32"/>
          <w:szCs w:val="32"/>
        </w:rPr>
        <w:t>机关运行经费支出</w:t>
      </w:r>
      <w:r>
        <w:rPr>
          <w:rFonts w:hint="eastAsia" w:eastAsia="仿宋_GB2312"/>
          <w:sz w:val="32"/>
          <w:szCs w:val="32"/>
          <w:lang w:val="en-US" w:eastAsia="zh-CN"/>
        </w:rPr>
        <w:t>0</w:t>
      </w:r>
      <w:r>
        <w:rPr>
          <w:rFonts w:eastAsia="仿宋_GB2312"/>
          <w:sz w:val="32"/>
          <w:szCs w:val="32"/>
        </w:rPr>
        <w:t>元</w:t>
      </w:r>
      <w:r>
        <w:rPr>
          <w:rFonts w:hint="eastAsia" w:eastAsia="仿宋_GB2312"/>
          <w:sz w:val="32"/>
          <w:szCs w:val="32"/>
          <w:lang w:eastAsia="zh-CN"/>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3"/>
      <w:r>
        <w:rPr>
          <w:rFonts w:hint="eastAsia" w:ascii="仿宋" w:hAnsi="仿宋" w:eastAsia="仿宋"/>
          <w:b/>
          <w:sz w:val="32"/>
          <w:szCs w:val="32"/>
        </w:rPr>
        <w:t>（二）政府采购支出情况</w:t>
      </w:r>
      <w:bookmarkEnd w:id="6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val="en-US" w:eastAsia="zh-CN"/>
        </w:rPr>
        <w:t>盐边县国胜中心卫生院</w:t>
      </w:r>
      <w:r>
        <w:rPr>
          <w:rFonts w:hint="eastAsia" w:ascii="仿宋_GB2312" w:eastAsia="仿宋_GB2312"/>
          <w:sz w:val="32"/>
          <w:szCs w:val="32"/>
        </w:rPr>
        <w:t>政府采购支出总额</w:t>
      </w:r>
      <w:r>
        <w:rPr>
          <w:rFonts w:hint="eastAsia" w:ascii="仿宋_GB2312" w:eastAsia="仿宋_GB2312"/>
          <w:sz w:val="32"/>
          <w:szCs w:val="32"/>
          <w:lang w:val="en-US" w:eastAsia="zh-CN"/>
        </w:rPr>
        <w:t>5.39</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5.39</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val="en-US" w:eastAsia="zh-CN"/>
        </w:rPr>
        <w:t>公共卫生科办公用电脑采购</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7" w:name="_Toc15377224"/>
      <w:r>
        <w:rPr>
          <w:rFonts w:hint="eastAsia" w:ascii="仿宋" w:hAnsi="仿宋" w:eastAsia="仿宋"/>
          <w:b/>
          <w:sz w:val="32"/>
          <w:szCs w:val="32"/>
        </w:rPr>
        <w:t>（三）国有资产占有使用情况</w:t>
      </w:r>
      <w:bookmarkEnd w:id="67"/>
    </w:p>
    <w:p>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val="en-US" w:eastAsia="zh-CN"/>
        </w:rPr>
        <w:t>盐边县国胜中心卫生院</w:t>
      </w:r>
      <w:r>
        <w:rPr>
          <w:rFonts w:hint="eastAsia" w:ascii="仿宋_GB2312" w:eastAsia="仿宋_GB2312"/>
          <w:sz w:val="32"/>
          <w:szCs w:val="32"/>
        </w:rPr>
        <w:t>共有车辆</w:t>
      </w:r>
      <w:r>
        <w:rPr>
          <w:rFonts w:hint="eastAsia" w:ascii="仿宋_GB2312" w:eastAsia="仿宋_GB2312"/>
          <w:sz w:val="32"/>
          <w:szCs w:val="32"/>
          <w:lang w:val="en-US" w:eastAsia="zh-CN"/>
        </w:rPr>
        <w:t>1</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w:t>
      </w:r>
      <w:r>
        <w:rPr>
          <w:rFonts w:hint="eastAsia" w:ascii="仿宋_GB2312" w:eastAsia="仿宋_GB2312"/>
          <w:sz w:val="32"/>
          <w:szCs w:val="32"/>
          <w:lang w:val="en-US" w:eastAsia="zh-CN"/>
        </w:rPr>
        <w:t>特种专业技术用车（救护车）1辆。</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val="en-US" w:eastAsia="zh-CN"/>
        </w:rPr>
        <w:t>基本公共卫生服务</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医疗次中心建设项目</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个项目开展了绩效自评，2021年特定目标类部门预算项目绩效目标自评表见附件（第四部分）。</w:t>
      </w:r>
    </w:p>
    <w:p>
      <w:pPr>
        <w:autoSpaceDE w:val="0"/>
        <w:autoSpaceDN w:val="0"/>
        <w:adjustRightInd w:val="0"/>
        <w:spacing w:line="600" w:lineRule="exact"/>
        <w:ind w:firstLine="643" w:firstLineChars="200"/>
        <w:rPr>
          <w:rFonts w:ascii="仿宋" w:hAnsi="仿宋" w:eastAsia="仿宋"/>
          <w:b/>
          <w:sz w:val="32"/>
          <w:szCs w:val="32"/>
        </w:rPr>
      </w:pPr>
    </w:p>
    <w:p>
      <w:pPr>
        <w:pStyle w:val="6"/>
        <w:spacing w:before="93"/>
        <w:rPr>
          <w:highlight w:val="yellow"/>
        </w:rPr>
      </w:pP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4"/>
        </w:numPr>
        <w:spacing w:line="600" w:lineRule="exact"/>
        <w:ind w:firstLine="660" w:firstLineChars="150"/>
        <w:jc w:val="center"/>
        <w:outlineLvl w:val="0"/>
        <w:rPr>
          <w:rStyle w:val="30"/>
          <w:rFonts w:ascii="黑体" w:hAnsi="黑体" w:eastAsia="黑体"/>
          <w:b w:val="0"/>
        </w:rPr>
      </w:pPr>
      <w:bookmarkStart w:id="68" w:name="_Toc15396613"/>
      <w:bookmarkStart w:id="69" w:name="_Toc15377225"/>
      <w:bookmarkStart w:id="70" w:name="_Toc3830"/>
      <w:r>
        <w:rPr>
          <w:rFonts w:hint="eastAsia" w:ascii="黑体" w:hAnsi="黑体" w:eastAsia="黑体"/>
          <w:sz w:val="44"/>
          <w:szCs w:val="44"/>
        </w:rPr>
        <w:t>名</w:t>
      </w:r>
      <w:r>
        <w:rPr>
          <w:rStyle w:val="30"/>
          <w:rFonts w:hint="eastAsia" w:ascii="黑体" w:hAnsi="黑体" w:eastAsia="黑体"/>
          <w:b w:val="0"/>
        </w:rPr>
        <w:t>词解释</w:t>
      </w:r>
      <w:bookmarkEnd w:id="68"/>
      <w:bookmarkEnd w:id="69"/>
      <w:bookmarkEnd w:id="70"/>
    </w:p>
    <w:p>
      <w:pPr>
        <w:spacing w:line="600" w:lineRule="exact"/>
        <w:jc w:val="left"/>
        <w:rPr>
          <w:rFonts w:ascii="宋体"/>
          <w:b/>
          <w:sz w:val="44"/>
          <w:szCs w:val="44"/>
        </w:rPr>
      </w:pPr>
    </w:p>
    <w:p>
      <w:pPr>
        <w:pStyle w:val="1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18"/>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3</w:t>
      </w:r>
      <w:r>
        <w:rPr>
          <w:rFonts w:ascii="仿宋_GB2312" w:eastAsia="仿宋_GB2312"/>
          <w:color w:val="auto"/>
          <w:sz w:val="32"/>
          <w:szCs w:val="32"/>
        </w:rPr>
        <w:t>.</w:t>
      </w:r>
      <w:r>
        <w:rPr>
          <w:rFonts w:hint="eastAsia" w:ascii="仿宋_GB2312" w:eastAsia="仿宋_GB2312"/>
          <w:color w:val="auto"/>
          <w:sz w:val="32"/>
          <w:szCs w:val="32"/>
        </w:rPr>
        <w:t>其他收入：指单位取得的除上述收入以外的各项收入。</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4</w:t>
      </w:r>
      <w:r>
        <w:rPr>
          <w:rFonts w:ascii="仿宋_GB2312" w:eastAsia="仿宋_GB2312"/>
          <w:color w:val="auto"/>
          <w:sz w:val="32"/>
          <w:szCs w:val="32"/>
        </w:rPr>
        <w:t>.</w:t>
      </w:r>
      <w:r>
        <w:rPr>
          <w:rFonts w:hint="eastAsia" w:ascii="仿宋_GB2312" w:eastAsia="仿宋_GB2312"/>
          <w:color w:val="auto"/>
          <w:sz w:val="32"/>
          <w:szCs w:val="32"/>
        </w:rPr>
        <w:t>使用非财政拨款结余：指事业单位使用以前年度积累的非财政拨款结余弥补当年收支差额的金额。</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5</w:t>
      </w:r>
      <w:r>
        <w:rPr>
          <w:rFonts w:ascii="仿宋_GB2312" w:eastAsia="仿宋_GB2312"/>
          <w:color w:val="auto"/>
          <w:sz w:val="32"/>
          <w:szCs w:val="32"/>
        </w:rPr>
        <w:t>.</w:t>
      </w:r>
      <w:r>
        <w:rPr>
          <w:rFonts w:hint="eastAsia" w:ascii="仿宋_GB2312" w:eastAsia="仿宋_GB2312"/>
          <w:color w:val="auto"/>
          <w:sz w:val="32"/>
          <w:szCs w:val="32"/>
        </w:rPr>
        <w:t>年初结转和结余：指以前年度尚未完成、结转到本年按有关规定继续使用的资金。</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6</w:t>
      </w:r>
      <w:r>
        <w:rPr>
          <w:rFonts w:ascii="仿宋_GB2312" w:eastAsia="仿宋_GB2312"/>
          <w:color w:val="auto"/>
          <w:sz w:val="32"/>
          <w:szCs w:val="32"/>
        </w:rPr>
        <w:t>.</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7</w:t>
      </w:r>
      <w:r>
        <w:rPr>
          <w:rFonts w:hint="eastAsia" w:ascii="仿宋_GB2312" w:eastAsia="仿宋_GB2312"/>
          <w:color w:val="auto"/>
          <w:sz w:val="32"/>
          <w:szCs w:val="32"/>
        </w:rPr>
        <w:t>、年末结转和结余：指单位按有关规定结转到下年或以后年度继续使用的资金。</w:t>
      </w:r>
    </w:p>
    <w:p>
      <w:pPr>
        <w:ind w:firstLine="640" w:firstLineChars="200"/>
        <w:rPr>
          <w:rFonts w:ascii="仿宋_GB2312" w:eastAsia="仿宋_GB2312"/>
          <w:sz w:val="32"/>
          <w:szCs w:val="32"/>
        </w:rPr>
      </w:pPr>
      <w:r>
        <w:rPr>
          <w:rFonts w:hint="eastAsia" w:ascii="仿宋_GB2312" w:eastAsia="仿宋_GB2312"/>
          <w:sz w:val="32"/>
          <w:szCs w:val="32"/>
          <w:lang w:val="en-US" w:eastAsia="zh-CN"/>
        </w:rPr>
        <w:t>8</w:t>
      </w:r>
      <w:r>
        <w:rPr>
          <w:rFonts w:ascii="仿宋_GB2312" w:eastAsia="仿宋_GB2312"/>
          <w:sz w:val="32"/>
          <w:szCs w:val="32"/>
        </w:rPr>
        <w:t>.</w:t>
      </w:r>
      <w:r>
        <w:rPr>
          <w:rFonts w:hint="eastAsia" w:ascii="仿宋_GB2312" w:eastAsia="仿宋_GB2312"/>
          <w:sz w:val="32"/>
          <w:szCs w:val="32"/>
        </w:rPr>
        <w:t>社会保障和就业支出（类）行政事业单位养老支出（款）机关事业单位基本养老保险缴费支出（项）：指</w:t>
      </w:r>
      <w:r>
        <w:rPr>
          <w:rFonts w:hint="eastAsia" w:ascii="仿宋_GB2312" w:eastAsia="仿宋_GB2312"/>
          <w:sz w:val="32"/>
          <w:szCs w:val="32"/>
          <w:lang w:val="en-US" w:eastAsia="zh-CN"/>
        </w:rPr>
        <w:t>机关事业单位实施养老保险制度由单位缴纳的基本养老保险费支出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卫生健康支出（类）基层医疗卫生机构（款）乡镇卫生院（项）：指</w:t>
      </w:r>
      <w:r>
        <w:rPr>
          <w:rFonts w:hint="eastAsia" w:ascii="仿宋_GB2312" w:eastAsia="仿宋_GB2312"/>
          <w:sz w:val="32"/>
          <w:szCs w:val="32"/>
          <w:lang w:val="en-US" w:eastAsia="zh-CN"/>
        </w:rPr>
        <w:t>用于乡镇卫生院的支出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10</w:t>
      </w:r>
      <w:r>
        <w:rPr>
          <w:rFonts w:ascii="仿宋_GB2312" w:eastAsia="仿宋_GB2312"/>
          <w:sz w:val="32"/>
          <w:szCs w:val="32"/>
        </w:rPr>
        <w:t>.</w:t>
      </w:r>
      <w:r>
        <w:rPr>
          <w:rFonts w:hint="eastAsia" w:ascii="仿宋_GB2312" w:eastAsia="仿宋_GB2312"/>
          <w:sz w:val="32"/>
          <w:szCs w:val="32"/>
        </w:rPr>
        <w:t>卫生健康支出（类）基层医疗卫生机构（款）其他基层医疗卫生机构支出（项）：指</w:t>
      </w:r>
      <w:r>
        <w:rPr>
          <w:rFonts w:hint="eastAsia" w:ascii="仿宋_GB2312" w:eastAsia="仿宋_GB2312"/>
          <w:sz w:val="32"/>
          <w:szCs w:val="32"/>
          <w:lang w:val="en-US" w:eastAsia="zh-CN"/>
        </w:rPr>
        <w:t>除上述项目以外的其他用于基层医疗卫生机构的支出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11</w:t>
      </w:r>
      <w:r>
        <w:rPr>
          <w:rFonts w:ascii="仿宋_GB2312" w:eastAsia="仿宋_GB2312"/>
          <w:sz w:val="32"/>
          <w:szCs w:val="32"/>
        </w:rPr>
        <w:t>.</w:t>
      </w:r>
      <w:r>
        <w:rPr>
          <w:rFonts w:hint="eastAsia" w:ascii="仿宋_GB2312" w:eastAsia="仿宋_GB2312"/>
          <w:sz w:val="32"/>
          <w:szCs w:val="32"/>
        </w:rPr>
        <w:t>卫生健康支出（类）公共卫生（款）基本公共卫生服务（项）：指</w:t>
      </w:r>
      <w:r>
        <w:rPr>
          <w:rFonts w:hint="eastAsia" w:ascii="仿宋_GB2312" w:eastAsia="仿宋_GB2312"/>
          <w:sz w:val="32"/>
          <w:szCs w:val="32"/>
          <w:lang w:val="en-US" w:eastAsia="zh-CN"/>
        </w:rPr>
        <w:t>基本公共卫生服务支出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12</w:t>
      </w:r>
      <w:r>
        <w:rPr>
          <w:rFonts w:ascii="仿宋_GB2312" w:eastAsia="仿宋_GB2312"/>
          <w:sz w:val="32"/>
          <w:szCs w:val="32"/>
        </w:rPr>
        <w:t>.</w:t>
      </w:r>
      <w:r>
        <w:rPr>
          <w:rFonts w:hint="eastAsia" w:ascii="仿宋_GB2312" w:eastAsia="仿宋_GB2312"/>
          <w:sz w:val="32"/>
          <w:szCs w:val="32"/>
        </w:rPr>
        <w:t>卫生健康支出（类）公共卫生（款）重大公共卫生服务（项）：指</w:t>
      </w:r>
      <w:r>
        <w:rPr>
          <w:rFonts w:hint="eastAsia" w:ascii="仿宋_GB2312" w:eastAsia="仿宋_GB2312"/>
          <w:sz w:val="32"/>
          <w:szCs w:val="32"/>
          <w:lang w:val="en-US" w:eastAsia="zh-CN"/>
        </w:rPr>
        <w:t>重大疾病、重大传染病预防控制等重大公共卫生服务项目支出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卫生健康支出（类）公共卫生（款）其他公共卫生支出（项）：指</w:t>
      </w:r>
      <w:r>
        <w:rPr>
          <w:rFonts w:hint="eastAsia" w:ascii="仿宋_GB2312" w:eastAsia="仿宋_GB2312"/>
          <w:sz w:val="32"/>
          <w:szCs w:val="32"/>
          <w:lang w:val="en-US" w:eastAsia="zh-CN"/>
        </w:rPr>
        <w:t>除上述项目以外的其他用于公共卫生方面的支出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卫生健康支出（类）行政事业单位医疗（款）事业单位医疗（项）：指</w:t>
      </w:r>
      <w:r>
        <w:rPr>
          <w:rFonts w:hint="eastAsia" w:ascii="仿宋_GB2312" w:eastAsia="仿宋_GB2312"/>
          <w:sz w:val="32"/>
          <w:szCs w:val="32"/>
          <w:lang w:val="en-US" w:eastAsia="zh-CN"/>
        </w:rPr>
        <w:t>财政部门安排的事业单位基本医疗保险缴费经费，未参加医疗保险的事业单位的公费医疗经费，按国家规定享受离休人员待遇的医疗经费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15</w:t>
      </w:r>
      <w:r>
        <w:rPr>
          <w:rFonts w:ascii="仿宋_GB2312" w:eastAsia="仿宋_GB2312"/>
          <w:sz w:val="32"/>
          <w:szCs w:val="32"/>
        </w:rPr>
        <w:t>.</w:t>
      </w:r>
      <w:r>
        <w:rPr>
          <w:rFonts w:hint="eastAsia" w:ascii="仿宋_GB2312" w:eastAsia="仿宋_GB2312"/>
          <w:sz w:val="32"/>
          <w:szCs w:val="32"/>
        </w:rPr>
        <w:t>卫生健康支出（类）行政事业单位医疗（款）公务员医疗补助（项）：指</w:t>
      </w:r>
      <w:r>
        <w:rPr>
          <w:rFonts w:hint="eastAsia" w:ascii="仿宋_GB2312" w:eastAsia="仿宋_GB2312"/>
          <w:sz w:val="32"/>
          <w:szCs w:val="32"/>
          <w:lang w:val="en-US" w:eastAsia="zh-CN"/>
        </w:rPr>
        <w:t>财政部门安排的公务员医疗补助经费</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卫生健康支出（类）其他卫生健康支出（款）其他卫生健康支出（项）：指</w:t>
      </w:r>
      <w:r>
        <w:rPr>
          <w:rFonts w:hint="eastAsia" w:ascii="仿宋_GB2312" w:eastAsia="仿宋_GB2312"/>
          <w:sz w:val="32"/>
          <w:szCs w:val="32"/>
          <w:lang w:val="en-US" w:eastAsia="zh-CN"/>
        </w:rPr>
        <w:t>除上述项目以外其他用于卫生健康方面的支出</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住房保障支出（类）住房改革支出（款）住房公积金（项）：指</w:t>
      </w:r>
      <w:r>
        <w:rPr>
          <w:rFonts w:hint="eastAsia" w:ascii="仿宋_GB2312" w:eastAsia="仿宋_GB2312"/>
          <w:sz w:val="32"/>
          <w:szCs w:val="32"/>
          <w:lang w:val="en-US" w:eastAsia="zh-CN"/>
        </w:rPr>
        <w:t>行政事业单位按人力资源和社会保障部、财政部规定的基本工资和津贴补贴以及规定比例为职工缴纳的住房公积金</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18</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19</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20</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18"/>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21</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30"/>
          <w:rFonts w:ascii="黑体" w:hAnsi="黑体" w:eastAsia="黑体"/>
          <w:b w:val="0"/>
          <w:color w:val="FF0000"/>
        </w:rPr>
      </w:pPr>
      <w:bookmarkStart w:id="71" w:name="_Toc15377226"/>
      <w:r>
        <w:rPr>
          <w:rFonts w:ascii="宋体"/>
          <w:b/>
          <w:sz w:val="44"/>
          <w:szCs w:val="44"/>
        </w:rPr>
        <w:br w:type="page"/>
      </w:r>
      <w:bookmarkStart w:id="72" w:name="_Toc15396614"/>
      <w:bookmarkStart w:id="73" w:name="_Toc7424"/>
      <w:r>
        <w:rPr>
          <w:rFonts w:hint="eastAsia" w:ascii="黑体" w:hAnsi="黑体" w:eastAsia="黑体"/>
          <w:color w:val="auto"/>
          <w:sz w:val="44"/>
          <w:szCs w:val="44"/>
        </w:rPr>
        <w:t>第</w:t>
      </w:r>
      <w:r>
        <w:rPr>
          <w:rStyle w:val="30"/>
          <w:rFonts w:hint="eastAsia" w:ascii="黑体" w:hAnsi="黑体" w:eastAsia="黑体"/>
          <w:b w:val="0"/>
          <w:color w:val="auto"/>
        </w:rPr>
        <w:t>四部分 附件</w:t>
      </w:r>
      <w:bookmarkEnd w:id="72"/>
      <w:bookmarkEnd w:id="73"/>
    </w:p>
    <w:p>
      <w:pPr>
        <w:spacing w:line="572" w:lineRule="exact"/>
        <w:jc w:val="left"/>
        <w:outlineLvl w:val="0"/>
        <w:rPr>
          <w:rFonts w:ascii="仿宋_GB2312" w:hAnsi="仿宋_GB2312" w:eastAsia="仿宋_GB2312" w:cs="仿宋_GB2312"/>
          <w:color w:val="auto"/>
          <w:sz w:val="32"/>
          <w:szCs w:val="32"/>
        </w:rPr>
      </w:pPr>
      <w:bookmarkStart w:id="74" w:name="_Toc24484"/>
      <w:r>
        <w:rPr>
          <w:rFonts w:hint="eastAsia" w:ascii="黑体" w:hAnsi="黑体" w:eastAsia="黑体" w:cs="黑体"/>
          <w:color w:val="auto"/>
          <w:sz w:val="32"/>
          <w:szCs w:val="32"/>
        </w:rPr>
        <w:t>附件</w:t>
      </w:r>
      <w:bookmarkEnd w:id="74"/>
      <w:r>
        <w:rPr>
          <w:rFonts w:hint="eastAsia" w:ascii="黑体" w:hAnsi="黑体" w:eastAsia="黑体" w:cs="黑体"/>
          <w:color w:val="auto"/>
          <w:sz w:val="32"/>
          <w:szCs w:val="32"/>
          <w:lang w:val="en-US" w:eastAsia="zh-CN"/>
        </w:rPr>
        <w:t>1:</w:t>
      </w:r>
    </w:p>
    <w:tbl>
      <w:tblPr>
        <w:tblStyle w:val="14"/>
        <w:tblpPr w:leftFromText="180" w:rightFromText="180" w:vertAnchor="text" w:horzAnchor="page" w:tblpX="1281" w:tblpY="660"/>
        <w:tblOverlap w:val="never"/>
        <w:tblW w:w="98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vAlign w:val="center"/>
          </w:tcPr>
          <w:p>
            <w:pPr>
              <w:widowControl/>
              <w:jc w:val="center"/>
              <w:textAlignment w:val="center"/>
              <w:rPr>
                <w:rFonts w:ascii="宋体" w:hAnsi="宋体" w:cs="宋体"/>
                <w:b/>
                <w:sz w:val="32"/>
                <w:szCs w:val="32"/>
              </w:rPr>
            </w:pPr>
            <w:bookmarkStart w:id="75" w:name="_Toc15396618"/>
            <w:r>
              <w:rPr>
                <w:rFonts w:hint="eastAsia" w:ascii="宋体" w:hAnsi="宋体" w:cs="宋体"/>
                <w:b/>
                <w:sz w:val="32"/>
                <w:szCs w:val="32"/>
                <w:lang w:eastAsia="zh-CN"/>
              </w:rPr>
              <w:t>基本公共卫生服务</w:t>
            </w:r>
            <w:r>
              <w:rPr>
                <w:rFonts w:hint="eastAsia" w:ascii="宋体" w:hAnsi="宋体" w:cs="宋体"/>
                <w:b/>
                <w:sz w:val="32"/>
                <w:szCs w:val="32"/>
              </w:rPr>
              <w:t>项目绩效目标自评</w:t>
            </w:r>
          </w:p>
        </w:tc>
        <w:tc>
          <w:tcPr>
            <w:tcW w:w="236" w:type="dxa"/>
            <w:tcBorders>
              <w:top w:val="nil"/>
              <w:left w:val="nil"/>
              <w:bottom w:val="nil"/>
              <w:right w:val="nil"/>
            </w:tcBorders>
            <w:vAlign w:val="center"/>
          </w:tcPr>
          <w:p>
            <w:pPr>
              <w:widowControl/>
              <w:jc w:val="center"/>
              <w:textAlignment w:val="center"/>
              <w:rPr>
                <w:rFonts w:ascii="宋体" w:hAnsi="宋体" w:cs="宋体"/>
                <w:b/>
                <w:kern w:val="0"/>
                <w:sz w:val="32"/>
                <w:szCs w:val="3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盐边县卫生健康局</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1"/>
                <w:szCs w:val="21"/>
                <w:lang w:eastAsia="zh-CN"/>
              </w:rPr>
              <w:t>盐边县国胜中心卫生院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项目预算</w:t>
            </w:r>
          </w:p>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rPr>
              <w:t>执行情况</w:t>
            </w:r>
          </w:p>
          <w:p>
            <w:pPr>
              <w:widowControl/>
              <w:spacing w:line="320" w:lineRule="exact"/>
              <w:jc w:val="center"/>
              <w:textAlignment w:val="center"/>
              <w:rPr>
                <w:rFonts w:ascii="宋体" w:hAnsi="宋体" w:cs="宋体"/>
                <w:sz w:val="24"/>
              </w:rPr>
            </w:pP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color w:val="auto"/>
                <w:sz w:val="24"/>
              </w:rPr>
            </w:pPr>
            <w:r>
              <w:rPr>
                <w:rFonts w:hint="eastAsia" w:ascii="宋体" w:hAnsi="宋体" w:cs="宋体"/>
                <w:color w:val="auto"/>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135.3</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color w:val="auto"/>
                <w:sz w:val="24"/>
              </w:rPr>
            </w:pPr>
            <w:r>
              <w:rPr>
                <w:rFonts w:hint="eastAsia" w:ascii="宋体" w:hAnsi="宋体" w:cs="宋体"/>
                <w:color w:val="auto"/>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both"/>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color w:val="auto"/>
                <w:kern w:val="0"/>
                <w:sz w:val="24"/>
              </w:rPr>
            </w:pPr>
            <w:r>
              <w:rPr>
                <w:rFonts w:hint="eastAsia" w:ascii="宋体" w:hAnsi="宋体" w:cs="宋体"/>
                <w:color w:val="auto"/>
                <w:kern w:val="0"/>
                <w:sz w:val="24"/>
              </w:rPr>
              <w:t>其中：</w:t>
            </w:r>
          </w:p>
          <w:p>
            <w:pPr>
              <w:widowControl/>
              <w:spacing w:line="320" w:lineRule="exact"/>
              <w:jc w:val="left"/>
              <w:textAlignment w:val="center"/>
              <w:rPr>
                <w:rFonts w:ascii="宋体" w:hAnsi="宋体" w:cs="宋体"/>
                <w:color w:val="auto"/>
                <w:sz w:val="24"/>
              </w:rPr>
            </w:pPr>
            <w:r>
              <w:rPr>
                <w:rFonts w:hint="eastAsia" w:ascii="宋体" w:hAnsi="宋体" w:cs="宋体"/>
                <w:color w:val="auto"/>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135.3</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color w:val="auto"/>
                <w:kern w:val="0"/>
                <w:sz w:val="24"/>
              </w:rPr>
            </w:pPr>
            <w:r>
              <w:rPr>
                <w:rFonts w:hint="eastAsia" w:ascii="宋体" w:hAnsi="宋体" w:cs="宋体"/>
                <w:color w:val="auto"/>
                <w:kern w:val="0"/>
                <w:sz w:val="24"/>
              </w:rPr>
              <w:t>其中：</w:t>
            </w:r>
          </w:p>
          <w:p>
            <w:pPr>
              <w:widowControl/>
              <w:spacing w:line="320" w:lineRule="exact"/>
              <w:jc w:val="left"/>
              <w:textAlignment w:val="center"/>
              <w:rPr>
                <w:rFonts w:ascii="宋体" w:hAnsi="宋体" w:cs="宋体"/>
                <w:color w:val="auto"/>
                <w:sz w:val="24"/>
              </w:rPr>
            </w:pPr>
            <w:r>
              <w:rPr>
                <w:rFonts w:hint="eastAsia" w:ascii="宋体" w:hAnsi="宋体" w:cs="宋体"/>
                <w:color w:val="auto"/>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textAlignment w:val="center"/>
              <w:rPr>
                <w:rFonts w:hint="default" w:ascii="宋体" w:hAnsi="宋体" w:eastAsia="宋体" w:cs="宋体"/>
                <w:color w:val="auto"/>
                <w:sz w:val="24"/>
                <w:lang w:val="en-US" w:eastAsia="zh-CN"/>
              </w:rPr>
            </w:pPr>
            <w:r>
              <w:rPr>
                <w:rFonts w:hint="eastAsia" w:ascii="宋体" w:hAnsi="宋体" w:cs="宋体"/>
                <w:color w:val="auto"/>
                <w:sz w:val="24"/>
                <w:lang w:val="en-US" w:eastAsia="zh-CN"/>
              </w:rPr>
              <w:t>135.3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3.83</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3.83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免费向全镇居民提供14大类48小项基本公共卫生服务。提升居民健康服务管理质量，切实为人民群众提供全方位生命周期健康服务。</w:t>
            </w:r>
          </w:p>
        </w:tc>
        <w:tc>
          <w:tcPr>
            <w:tcW w:w="3633" w:type="dxa"/>
            <w:gridSpan w:val="2"/>
            <w:tcBorders>
              <w:top w:val="single" w:color="000000" w:sz="4" w:space="0"/>
              <w:left w:val="single" w:color="000000" w:sz="4" w:space="0"/>
              <w:bottom w:val="single" w:color="000000" w:sz="4" w:space="0"/>
              <w:right w:val="single" w:color="000000" w:sz="4" w:space="0"/>
            </w:tcBorders>
            <w:vAlign w:val="top"/>
          </w:tcPr>
          <w:p>
            <w:pPr>
              <w:widowControl/>
              <w:spacing w:line="320" w:lineRule="exact"/>
              <w:jc w:val="left"/>
              <w:textAlignment w:val="top"/>
              <w:rPr>
                <w:rFonts w:hint="eastAsia" w:ascii="宋体" w:hAnsi="宋体" w:eastAsia="宋体" w:cs="宋体"/>
                <w:sz w:val="24"/>
                <w:lang w:val="en-US" w:eastAsia="zh-CN"/>
              </w:rPr>
            </w:pPr>
            <w:r>
              <w:rPr>
                <w:rFonts w:hint="eastAsia" w:ascii="宋体" w:hAnsi="宋体" w:cs="宋体"/>
                <w:sz w:val="24"/>
                <w:lang w:val="en-US" w:eastAsia="zh-CN"/>
              </w:rPr>
              <w:t xml:space="preserve">    面向全镇城乡居民免费提供健康档案管理、健康教育、慢性病管理等基本公共卫生服务。各项工作均按年初计划实施执行，基本达到预期指标。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完成指标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数量指标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居民健康档案管理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93%</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0-6岁儿童健康管理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92.76%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孕产妇健康管理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96.15%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老年人健康管理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70%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45.5%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慢性病管理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70%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ind w:left="463" w:leftChars="87" w:hanging="280" w:hangingChars="100"/>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严重精神障碍患者管理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中医药健康管理率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45%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51.1%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传染病及突发公共卫生事件报告和处理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严重精神障碍患者管理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肺结核患者健康管理</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时效指标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项目资金按要求及时拨付</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按时完成半年、年终绩效考核</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基本公共卫生服务按月推进完成</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成本指标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eastAsia="zh-CN"/>
              </w:rPr>
              <w:t>公共卫生服务支出</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166.42万元</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color w:val="auto"/>
                <w:sz w:val="28"/>
                <w:szCs w:val="28"/>
                <w:lang w:val="en-US" w:eastAsia="zh-CN"/>
              </w:rPr>
            </w:pPr>
            <w:r>
              <w:rPr>
                <w:rFonts w:hint="eastAsia" w:ascii="仿宋_GB2312" w:hAnsi="仿宋_GB2312" w:eastAsia="仿宋_GB2312" w:cs="仿宋_GB2312"/>
                <w:color w:val="auto"/>
                <w:sz w:val="28"/>
                <w:szCs w:val="28"/>
                <w:lang w:val="en-US" w:eastAsia="zh-CN"/>
              </w:rPr>
              <w:t>166.42万元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效益指标</w:t>
            </w:r>
          </w:p>
        </w:tc>
        <w:tc>
          <w:tcPr>
            <w:tcW w:w="1635"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社会效益指标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受益群众的满意度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满意度指标</w:t>
            </w:r>
          </w:p>
        </w:tc>
        <w:tc>
          <w:tcPr>
            <w:tcW w:w="1635" w:type="dxa"/>
            <w:vMerge w:val="restart"/>
            <w:tcBorders>
              <w:top w:val="single" w:color="000000" w:sz="4" w:space="0"/>
              <w:left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满意度指标</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重点人群满意度</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90%</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群众参与率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635" w:type="dxa"/>
            <w:vMerge w:val="continue"/>
            <w:tcBorders>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群众知晓率</w:t>
            </w:r>
          </w:p>
        </w:tc>
        <w:tc>
          <w:tcPr>
            <w:tcW w:w="1224"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ascii="仿宋_GB2312" w:hAnsi="仿宋_GB2312" w:eastAsia="仿宋_GB2312" w:cs="仿宋_GB2312"/>
                <w:sz w:val="28"/>
                <w:szCs w:val="28"/>
              </w:rPr>
            </w:pPr>
            <w:r>
              <w:rPr>
                <w:rFonts w:hint="default" w:ascii="Arial" w:hAnsi="Arial" w:eastAsia="仿宋_GB2312" w:cs="Arial"/>
                <w:sz w:val="28"/>
                <w:szCs w:val="28"/>
              </w:rPr>
              <w:t>≥</w:t>
            </w:r>
            <w:r>
              <w:rPr>
                <w:rFonts w:hint="eastAsia" w:ascii="Arial" w:hAnsi="Arial" w:eastAsia="仿宋_GB2312" w:cs="Arial"/>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vAlign w:val="center"/>
          </w:tcPr>
          <w:p>
            <w:pPr>
              <w:widowControl/>
              <w:spacing w:line="320" w:lineRule="exact"/>
              <w:jc w:val="center"/>
              <w:textAlignment w:val="bottom"/>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r>
    </w:tbl>
    <w:p>
      <w:pPr>
        <w:pStyle w:val="6"/>
        <w:rPr>
          <w:rFonts w:ascii="黑体" w:hAnsi="黑体" w:eastAsia="黑体"/>
          <w:sz w:val="44"/>
          <w:szCs w:val="44"/>
        </w:rPr>
      </w:pPr>
    </w:p>
    <w:p>
      <w:pPr>
        <w:spacing w:line="572" w:lineRule="exact"/>
        <w:jc w:val="left"/>
        <w:outlineLvl w:val="0"/>
        <w:rPr>
          <w:rFonts w:ascii="仿宋_GB2312" w:hAnsi="仿宋_GB2312" w:eastAsia="仿宋_GB2312" w:cs="仿宋_GB2312"/>
          <w:color w:val="C00000"/>
          <w:sz w:val="32"/>
          <w:szCs w:val="32"/>
        </w:rPr>
      </w:pPr>
    </w:p>
    <w:p>
      <w:pPr>
        <w:spacing w:line="600" w:lineRule="exact"/>
        <w:ind w:firstLine="3080" w:firstLineChars="700"/>
        <w:jc w:val="both"/>
        <w:outlineLvl w:val="0"/>
        <w:rPr>
          <w:rFonts w:ascii="仿宋" w:hAnsi="仿宋" w:eastAsia="仿宋"/>
        </w:rPr>
      </w:pPr>
      <w:bookmarkStart w:id="76" w:name="_Toc26269"/>
      <w:r>
        <w:rPr>
          <w:rFonts w:hint="eastAsia" w:ascii="黑体" w:hAnsi="黑体" w:eastAsia="黑体"/>
          <w:sz w:val="44"/>
          <w:szCs w:val="44"/>
        </w:rPr>
        <w:t>第</w:t>
      </w:r>
      <w:r>
        <w:rPr>
          <w:rStyle w:val="30"/>
          <w:rFonts w:hint="eastAsia" w:ascii="黑体" w:hAnsi="黑体" w:eastAsia="黑体"/>
          <w:b w:val="0"/>
        </w:rPr>
        <w:t>五部分 附表</w:t>
      </w:r>
      <w:bookmarkEnd w:id="71"/>
      <w:bookmarkEnd w:id="75"/>
      <w:bookmarkEnd w:id="76"/>
      <w:bookmarkStart w:id="77" w:name="_Toc15396619"/>
    </w:p>
    <w:p>
      <w:pPr>
        <w:pStyle w:val="4"/>
        <w:rPr>
          <w:rFonts w:ascii="仿宋" w:hAnsi="仿宋" w:eastAsia="仿宋"/>
        </w:rPr>
      </w:pPr>
      <w:bookmarkStart w:id="78" w:name="_Toc25972"/>
      <w:r>
        <w:rPr>
          <w:rFonts w:hint="eastAsia" w:ascii="仿宋" w:hAnsi="仿宋" w:eastAsia="仿宋"/>
          <w:b w:val="0"/>
        </w:rPr>
        <w:t>一、收</w:t>
      </w:r>
      <w:r>
        <w:rPr>
          <w:rStyle w:val="31"/>
          <w:rFonts w:hint="eastAsia" w:ascii="仿宋" w:hAnsi="仿宋" w:eastAsia="仿宋"/>
          <w:b w:val="0"/>
          <w:bCs w:val="0"/>
        </w:rPr>
        <w:t>入支出决算总表</w:t>
      </w:r>
      <w:bookmarkEnd w:id="77"/>
      <w:bookmarkEnd w:id="78"/>
    </w:p>
    <w:p>
      <w:pPr>
        <w:pStyle w:val="4"/>
        <w:rPr>
          <w:rFonts w:ascii="仿宋" w:hAnsi="仿宋" w:eastAsia="仿宋"/>
        </w:rPr>
      </w:pPr>
      <w:bookmarkStart w:id="79" w:name="_Toc27742"/>
      <w:bookmarkStart w:id="80" w:name="_Toc15396620"/>
      <w:r>
        <w:rPr>
          <w:rFonts w:hint="eastAsia" w:ascii="仿宋" w:hAnsi="仿宋" w:eastAsia="仿宋"/>
          <w:b w:val="0"/>
        </w:rPr>
        <w:t>二、收</w:t>
      </w:r>
      <w:r>
        <w:rPr>
          <w:rStyle w:val="31"/>
          <w:rFonts w:hint="eastAsia" w:ascii="仿宋" w:hAnsi="仿宋" w:eastAsia="仿宋"/>
          <w:b w:val="0"/>
          <w:bCs w:val="0"/>
        </w:rPr>
        <w:t>入决算表</w:t>
      </w:r>
      <w:bookmarkEnd w:id="79"/>
      <w:bookmarkEnd w:id="80"/>
    </w:p>
    <w:p>
      <w:pPr>
        <w:pStyle w:val="4"/>
        <w:rPr>
          <w:rFonts w:ascii="仿宋" w:hAnsi="仿宋" w:eastAsia="仿宋"/>
        </w:rPr>
      </w:pPr>
      <w:bookmarkStart w:id="81" w:name="_Toc15396621"/>
      <w:bookmarkStart w:id="82" w:name="_Toc20798"/>
      <w:r>
        <w:rPr>
          <w:rStyle w:val="31"/>
          <w:rFonts w:hint="eastAsia" w:ascii="仿宋" w:hAnsi="仿宋" w:eastAsia="仿宋"/>
          <w:b w:val="0"/>
          <w:bCs w:val="0"/>
        </w:rPr>
        <w:t>三、</w:t>
      </w:r>
      <w:r>
        <w:rPr>
          <w:rFonts w:hint="eastAsia" w:ascii="仿宋" w:hAnsi="仿宋" w:eastAsia="仿宋"/>
          <w:b w:val="0"/>
        </w:rPr>
        <w:t>支</w:t>
      </w:r>
      <w:r>
        <w:rPr>
          <w:rStyle w:val="31"/>
          <w:rFonts w:hint="eastAsia" w:ascii="仿宋" w:hAnsi="仿宋" w:eastAsia="仿宋"/>
          <w:b w:val="0"/>
          <w:bCs w:val="0"/>
        </w:rPr>
        <w:t>出决算表</w:t>
      </w:r>
      <w:bookmarkEnd w:id="81"/>
      <w:bookmarkEnd w:id="82"/>
    </w:p>
    <w:p>
      <w:pPr>
        <w:pStyle w:val="4"/>
        <w:rPr>
          <w:rFonts w:ascii="仿宋" w:hAnsi="仿宋" w:eastAsia="仿宋"/>
          <w:b w:val="0"/>
        </w:rPr>
      </w:pPr>
      <w:bookmarkStart w:id="83" w:name="_Toc15396622"/>
      <w:bookmarkStart w:id="84" w:name="_Toc27120"/>
      <w:r>
        <w:rPr>
          <w:rStyle w:val="31"/>
          <w:rFonts w:hint="eastAsia" w:ascii="仿宋" w:hAnsi="仿宋" w:eastAsia="仿宋"/>
          <w:b w:val="0"/>
          <w:bCs w:val="0"/>
        </w:rPr>
        <w:t>四、</w:t>
      </w:r>
      <w:r>
        <w:rPr>
          <w:rFonts w:hint="eastAsia" w:ascii="仿宋" w:hAnsi="仿宋" w:eastAsia="仿宋"/>
          <w:b w:val="0"/>
        </w:rPr>
        <w:t>财</w:t>
      </w:r>
      <w:r>
        <w:rPr>
          <w:rStyle w:val="31"/>
          <w:rFonts w:hint="eastAsia" w:ascii="仿宋" w:hAnsi="仿宋" w:eastAsia="仿宋"/>
          <w:b w:val="0"/>
          <w:bCs w:val="0"/>
        </w:rPr>
        <w:t>政拨款收入支出决算总表</w:t>
      </w:r>
      <w:bookmarkEnd w:id="83"/>
      <w:bookmarkEnd w:id="84"/>
    </w:p>
    <w:p>
      <w:pPr>
        <w:pStyle w:val="4"/>
        <w:rPr>
          <w:rStyle w:val="31"/>
          <w:rFonts w:ascii="仿宋" w:hAnsi="仿宋" w:eastAsia="仿宋"/>
          <w:b w:val="0"/>
          <w:bCs w:val="0"/>
        </w:rPr>
      </w:pPr>
      <w:bookmarkStart w:id="85" w:name="_Toc27988"/>
      <w:bookmarkStart w:id="86" w:name="_Toc15396623"/>
      <w:r>
        <w:rPr>
          <w:rStyle w:val="31"/>
          <w:rFonts w:hint="eastAsia" w:ascii="仿宋" w:hAnsi="仿宋" w:eastAsia="仿宋"/>
          <w:b w:val="0"/>
          <w:bCs w:val="0"/>
        </w:rPr>
        <w:t>五、</w:t>
      </w:r>
      <w:r>
        <w:rPr>
          <w:rFonts w:hint="eastAsia" w:ascii="仿宋" w:hAnsi="仿宋" w:eastAsia="仿宋"/>
          <w:b w:val="0"/>
        </w:rPr>
        <w:t>财</w:t>
      </w:r>
      <w:r>
        <w:rPr>
          <w:rStyle w:val="31"/>
          <w:rFonts w:hint="eastAsia" w:ascii="仿宋" w:hAnsi="仿宋" w:eastAsia="仿宋"/>
          <w:b w:val="0"/>
          <w:bCs w:val="0"/>
        </w:rPr>
        <w:t>政拨款支出决算明细表</w:t>
      </w:r>
      <w:bookmarkEnd w:id="85"/>
      <w:bookmarkEnd w:id="86"/>
      <w:bookmarkStart w:id="87" w:name="_Toc15396624"/>
    </w:p>
    <w:p>
      <w:pPr>
        <w:pStyle w:val="4"/>
        <w:rPr>
          <w:rFonts w:ascii="仿宋" w:hAnsi="仿宋" w:eastAsia="仿宋"/>
        </w:rPr>
      </w:pPr>
      <w:bookmarkStart w:id="88" w:name="_Toc20587"/>
      <w:r>
        <w:rPr>
          <w:rStyle w:val="31"/>
          <w:rFonts w:hint="eastAsia" w:ascii="仿宋" w:hAnsi="仿宋" w:eastAsia="仿宋"/>
          <w:b w:val="0"/>
          <w:bCs w:val="0"/>
        </w:rPr>
        <w:t>六、</w:t>
      </w:r>
      <w:r>
        <w:rPr>
          <w:rFonts w:hint="eastAsia" w:ascii="仿宋" w:hAnsi="仿宋" w:eastAsia="仿宋"/>
          <w:b w:val="0"/>
        </w:rPr>
        <w:t>一</w:t>
      </w:r>
      <w:r>
        <w:rPr>
          <w:rStyle w:val="31"/>
          <w:rFonts w:hint="eastAsia" w:ascii="仿宋" w:hAnsi="仿宋" w:eastAsia="仿宋"/>
          <w:b w:val="0"/>
          <w:bCs w:val="0"/>
        </w:rPr>
        <w:t>般公共预算财政拨款支出决算表</w:t>
      </w:r>
      <w:bookmarkEnd w:id="87"/>
      <w:bookmarkEnd w:id="88"/>
    </w:p>
    <w:p>
      <w:pPr>
        <w:pStyle w:val="4"/>
        <w:rPr>
          <w:rFonts w:ascii="仿宋" w:hAnsi="仿宋" w:eastAsia="仿宋"/>
        </w:rPr>
      </w:pPr>
      <w:bookmarkStart w:id="89" w:name="_Toc7758"/>
      <w:bookmarkStart w:id="90" w:name="_Toc15396625"/>
      <w:r>
        <w:rPr>
          <w:rStyle w:val="31"/>
          <w:rFonts w:hint="eastAsia" w:ascii="仿宋" w:hAnsi="仿宋" w:eastAsia="仿宋"/>
          <w:b w:val="0"/>
          <w:bCs w:val="0"/>
        </w:rPr>
        <w:t>七、</w:t>
      </w:r>
      <w:r>
        <w:rPr>
          <w:rFonts w:hint="eastAsia" w:ascii="仿宋" w:hAnsi="仿宋" w:eastAsia="仿宋"/>
          <w:b w:val="0"/>
        </w:rPr>
        <w:t>一</w:t>
      </w:r>
      <w:r>
        <w:rPr>
          <w:rStyle w:val="31"/>
          <w:rFonts w:hint="eastAsia" w:ascii="仿宋" w:hAnsi="仿宋" w:eastAsia="仿宋"/>
          <w:b w:val="0"/>
          <w:bCs w:val="0"/>
        </w:rPr>
        <w:t>般公共预算财政拨款支出决算明细表</w:t>
      </w:r>
      <w:bookmarkEnd w:id="89"/>
      <w:bookmarkEnd w:id="90"/>
    </w:p>
    <w:p>
      <w:pPr>
        <w:pStyle w:val="4"/>
        <w:rPr>
          <w:rFonts w:ascii="仿宋" w:hAnsi="仿宋" w:eastAsia="仿宋"/>
        </w:rPr>
      </w:pPr>
      <w:bookmarkStart w:id="91" w:name="_Toc21088"/>
      <w:bookmarkStart w:id="92" w:name="_Toc15396626"/>
      <w:r>
        <w:rPr>
          <w:rStyle w:val="31"/>
          <w:rFonts w:hint="eastAsia" w:ascii="仿宋" w:hAnsi="仿宋" w:eastAsia="仿宋"/>
          <w:b w:val="0"/>
          <w:bCs w:val="0"/>
        </w:rPr>
        <w:t>八、</w:t>
      </w:r>
      <w:r>
        <w:rPr>
          <w:rFonts w:hint="eastAsia" w:ascii="仿宋" w:hAnsi="仿宋" w:eastAsia="仿宋"/>
          <w:b w:val="0"/>
        </w:rPr>
        <w:t>一</w:t>
      </w:r>
      <w:r>
        <w:rPr>
          <w:rStyle w:val="31"/>
          <w:rFonts w:hint="eastAsia" w:ascii="仿宋" w:hAnsi="仿宋" w:eastAsia="仿宋"/>
          <w:b w:val="0"/>
          <w:bCs w:val="0"/>
        </w:rPr>
        <w:t>般公共预算财政拨款基本支出决算表</w:t>
      </w:r>
      <w:bookmarkEnd w:id="91"/>
      <w:bookmarkEnd w:id="92"/>
    </w:p>
    <w:p>
      <w:pPr>
        <w:pStyle w:val="4"/>
        <w:rPr>
          <w:rFonts w:ascii="仿宋" w:hAnsi="仿宋" w:eastAsia="仿宋"/>
        </w:rPr>
      </w:pPr>
      <w:bookmarkStart w:id="93" w:name="_Toc15396627"/>
      <w:bookmarkStart w:id="94" w:name="_Toc4970"/>
      <w:r>
        <w:rPr>
          <w:rStyle w:val="31"/>
          <w:rFonts w:hint="eastAsia" w:ascii="仿宋" w:hAnsi="仿宋" w:eastAsia="仿宋"/>
          <w:b w:val="0"/>
          <w:bCs w:val="0"/>
        </w:rPr>
        <w:t>九、</w:t>
      </w:r>
      <w:r>
        <w:rPr>
          <w:rFonts w:hint="eastAsia" w:ascii="仿宋" w:hAnsi="仿宋" w:eastAsia="仿宋"/>
          <w:b w:val="0"/>
        </w:rPr>
        <w:t>一</w:t>
      </w:r>
      <w:r>
        <w:rPr>
          <w:rStyle w:val="31"/>
          <w:rFonts w:hint="eastAsia" w:ascii="仿宋" w:hAnsi="仿宋" w:eastAsia="仿宋"/>
          <w:b w:val="0"/>
          <w:bCs w:val="0"/>
        </w:rPr>
        <w:t>般公共预算财政拨款项目支出决算表</w:t>
      </w:r>
      <w:bookmarkEnd w:id="93"/>
      <w:bookmarkEnd w:id="94"/>
    </w:p>
    <w:p>
      <w:pPr>
        <w:pStyle w:val="4"/>
        <w:rPr>
          <w:rFonts w:ascii="仿宋" w:hAnsi="仿宋" w:eastAsia="仿宋"/>
        </w:rPr>
      </w:pPr>
      <w:bookmarkStart w:id="95" w:name="_Toc15396628"/>
      <w:bookmarkStart w:id="96" w:name="_Toc21820"/>
      <w:r>
        <w:rPr>
          <w:rStyle w:val="31"/>
          <w:rFonts w:hint="eastAsia" w:ascii="仿宋" w:hAnsi="仿宋" w:eastAsia="仿宋"/>
          <w:b w:val="0"/>
          <w:bCs w:val="0"/>
        </w:rPr>
        <w:t>十、</w:t>
      </w:r>
      <w:r>
        <w:rPr>
          <w:rFonts w:hint="eastAsia" w:ascii="仿宋" w:hAnsi="仿宋" w:eastAsia="仿宋"/>
          <w:b w:val="0"/>
        </w:rPr>
        <w:t>一</w:t>
      </w:r>
      <w:r>
        <w:rPr>
          <w:rStyle w:val="31"/>
          <w:rFonts w:hint="eastAsia" w:ascii="仿宋" w:hAnsi="仿宋" w:eastAsia="仿宋"/>
          <w:b w:val="0"/>
          <w:bCs w:val="0"/>
        </w:rPr>
        <w:t>般公共预算财政拨款“三公”经费支出决算表</w:t>
      </w:r>
      <w:bookmarkEnd w:id="95"/>
      <w:bookmarkEnd w:id="96"/>
    </w:p>
    <w:p>
      <w:pPr>
        <w:pStyle w:val="4"/>
        <w:rPr>
          <w:rFonts w:ascii="仿宋" w:hAnsi="仿宋" w:eastAsia="仿宋"/>
        </w:rPr>
      </w:pPr>
      <w:bookmarkStart w:id="97" w:name="_Toc27362"/>
      <w:bookmarkStart w:id="98" w:name="_Toc15396629"/>
      <w:r>
        <w:rPr>
          <w:rStyle w:val="31"/>
          <w:rFonts w:hint="eastAsia" w:ascii="仿宋" w:hAnsi="仿宋" w:eastAsia="仿宋"/>
          <w:b w:val="0"/>
          <w:bCs w:val="0"/>
        </w:rPr>
        <w:t>十一、</w:t>
      </w:r>
      <w:r>
        <w:rPr>
          <w:rFonts w:hint="eastAsia" w:ascii="仿宋" w:hAnsi="仿宋" w:eastAsia="仿宋"/>
          <w:b w:val="0"/>
        </w:rPr>
        <w:t>政</w:t>
      </w:r>
      <w:r>
        <w:rPr>
          <w:rStyle w:val="31"/>
          <w:rFonts w:hint="eastAsia" w:ascii="仿宋" w:hAnsi="仿宋" w:eastAsia="仿宋"/>
          <w:b w:val="0"/>
          <w:bCs w:val="0"/>
        </w:rPr>
        <w:t>府性基金预算财政拨款收入支出决算表</w:t>
      </w:r>
      <w:bookmarkEnd w:id="97"/>
      <w:bookmarkEnd w:id="98"/>
    </w:p>
    <w:p>
      <w:pPr>
        <w:pStyle w:val="4"/>
        <w:rPr>
          <w:rFonts w:ascii="仿宋" w:hAnsi="仿宋" w:eastAsia="仿宋"/>
        </w:rPr>
      </w:pPr>
      <w:bookmarkStart w:id="99" w:name="_Toc15396630"/>
      <w:bookmarkStart w:id="100" w:name="_Toc6863"/>
      <w:r>
        <w:rPr>
          <w:rStyle w:val="31"/>
          <w:rFonts w:hint="eastAsia" w:ascii="仿宋" w:hAnsi="仿宋" w:eastAsia="仿宋"/>
          <w:b w:val="0"/>
          <w:bCs w:val="0"/>
        </w:rPr>
        <w:t>十二、</w:t>
      </w:r>
      <w:r>
        <w:rPr>
          <w:rFonts w:hint="eastAsia" w:ascii="仿宋" w:hAnsi="仿宋" w:eastAsia="仿宋"/>
          <w:b w:val="0"/>
        </w:rPr>
        <w:t>政</w:t>
      </w:r>
      <w:r>
        <w:rPr>
          <w:rStyle w:val="31"/>
          <w:rFonts w:hint="eastAsia" w:ascii="仿宋" w:hAnsi="仿宋" w:eastAsia="仿宋"/>
          <w:b w:val="0"/>
          <w:bCs w:val="0"/>
        </w:rPr>
        <w:t>府性基金预算财政拨款“三公”经费支出决算表</w:t>
      </w:r>
      <w:bookmarkEnd w:id="99"/>
      <w:bookmarkEnd w:id="100"/>
    </w:p>
    <w:p>
      <w:pPr>
        <w:pStyle w:val="4"/>
        <w:rPr>
          <w:rStyle w:val="31"/>
          <w:rFonts w:ascii="仿宋" w:hAnsi="仿宋" w:eastAsia="仿宋"/>
          <w:b w:val="0"/>
          <w:bCs w:val="0"/>
        </w:rPr>
      </w:pPr>
      <w:bookmarkStart w:id="101" w:name="_Toc29145"/>
      <w:bookmarkStart w:id="102" w:name="_Toc15396631"/>
      <w:r>
        <w:rPr>
          <w:rStyle w:val="31"/>
          <w:rFonts w:hint="eastAsia" w:ascii="仿宋" w:hAnsi="仿宋" w:eastAsia="仿宋"/>
          <w:b w:val="0"/>
          <w:bCs w:val="0"/>
        </w:rPr>
        <w:t>十三、</w:t>
      </w:r>
      <w:r>
        <w:rPr>
          <w:rFonts w:hint="eastAsia" w:ascii="仿宋" w:hAnsi="仿宋" w:eastAsia="仿宋"/>
          <w:b w:val="0"/>
        </w:rPr>
        <w:t>国</w:t>
      </w:r>
      <w:r>
        <w:rPr>
          <w:rStyle w:val="31"/>
          <w:rFonts w:hint="eastAsia" w:ascii="仿宋" w:hAnsi="仿宋" w:eastAsia="仿宋"/>
          <w:b w:val="0"/>
          <w:bCs w:val="0"/>
        </w:rPr>
        <w:t>有资本经营预算财政拨款收入支出决算表</w:t>
      </w:r>
      <w:bookmarkEnd w:id="101"/>
      <w:bookmarkEnd w:id="102"/>
    </w:p>
    <w:p>
      <w:pPr>
        <w:rPr>
          <w:rFonts w:eastAsia="仿宋"/>
        </w:rPr>
      </w:pPr>
      <w:bookmarkStart w:id="103" w:name="_Toc19449"/>
      <w:r>
        <w:rPr>
          <w:rStyle w:val="31"/>
          <w:rFonts w:hint="eastAsia" w:ascii="仿宋" w:hAnsi="仿宋" w:eastAsia="仿宋"/>
          <w:b w:val="0"/>
          <w:bCs w:val="0"/>
        </w:rPr>
        <w:t>十四、国有资本经营预算财政拨款支出决算表</w:t>
      </w:r>
      <w:bookmarkEnd w:id="103"/>
    </w:p>
    <w:sectPr>
      <w:headerReference r:id="rId3" w:type="default"/>
      <w:footerReference r:id="rId4" w:type="default"/>
      <w:pgSz w:w="11906" w:h="16838"/>
      <w:pgMar w:top="1440" w:right="1800" w:bottom="1440" w:left="1800"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106C16A1-F713-4BD6-B63C-944ECAB61DB1}"/>
  </w:font>
  <w:font w:name="黑体">
    <w:panose1 w:val="02010609060101010101"/>
    <w:charset w:val="86"/>
    <w:family w:val="auto"/>
    <w:pitch w:val="default"/>
    <w:sig w:usb0="800002BF" w:usb1="38CF7CFA" w:usb2="00000016" w:usb3="00000000" w:csb0="00040001" w:csb1="00000000"/>
    <w:embedRegular r:id="rId2" w:fontKey="{B17E830E-59AF-461E-921D-E30B12B67E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embedRegular r:id="rId3" w:fontKey="{CD5D4CDC-E53A-4211-9735-B9A8CCE644EA}"/>
  </w:font>
  <w:font w:name="仿宋_GB2312">
    <w:panose1 w:val="02010609030101010101"/>
    <w:charset w:val="86"/>
    <w:family w:val="auto"/>
    <w:pitch w:val="default"/>
    <w:sig w:usb0="00000001" w:usb1="080E0000" w:usb2="00000000" w:usb3="00000000" w:csb0="00040000" w:csb1="00000000"/>
    <w:embedRegular r:id="rId4" w:fontKey="{EB308504-58D9-4FC0-A721-5C3DCFCA6322}"/>
  </w:font>
  <w:font w:name="仿宋">
    <w:panose1 w:val="02010609060101010101"/>
    <w:charset w:val="86"/>
    <w:family w:val="auto"/>
    <w:pitch w:val="default"/>
    <w:sig w:usb0="800002BF" w:usb1="38CF7CFA" w:usb2="00000016" w:usb3="00000000" w:csb0="00040001" w:csb1="00000000"/>
    <w:embedRegular r:id="rId5" w:fontKey="{E0D8F11D-6D03-4EC9-BF2C-010E9FEBA221}"/>
  </w:font>
  <w:font w:name="方正小标宋简体">
    <w:panose1 w:val="03000509000000000000"/>
    <w:charset w:val="86"/>
    <w:family w:val="auto"/>
    <w:pitch w:val="default"/>
    <w:sig w:usb0="00000001" w:usb1="080E0000" w:usb2="00000000" w:usb3="00000000" w:csb0="00040000" w:csb1="00000000"/>
    <w:embedRegular r:id="rId6" w:fontKey="{9ADBC357-90E4-4AAC-B3B9-10F079E613AC}"/>
  </w:font>
  <w:font w:name="方正仿宋_GB2312">
    <w:altName w:val="仿宋"/>
    <w:panose1 w:val="02000000000000000000"/>
    <w:charset w:val="86"/>
    <w:family w:val="auto"/>
    <w:pitch w:val="default"/>
    <w:sig w:usb0="00000000" w:usb1="00000000" w:usb2="00000012" w:usb3="00000000" w:csb0="00040001" w:csb1="00000000"/>
    <w:embedRegular r:id="rId7" w:fontKey="{985B69A0-ADFA-4D5B-B8C0-572E6AA862C1}"/>
  </w:font>
  <w:font w:name="方正仿宋_GBK">
    <w:panose1 w:val="02000000000000000000"/>
    <w:charset w:val="86"/>
    <w:family w:val="script"/>
    <w:pitch w:val="default"/>
    <w:sig w:usb0="A00002BF" w:usb1="38CF7CFA" w:usb2="00082016" w:usb3="00000000" w:csb0="00040001" w:csb1="00000000"/>
    <w:embedRegular r:id="rId8" w:fontKey="{6F1B189F-913A-453C-81A8-BB198711E1C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fldChar w:fldCharType="begin"/>
    </w:r>
    <w:r>
      <w:instrText xml:space="preserve">PAGE   \* MERGEFORMAT</w:instrText>
    </w:r>
    <w:r>
      <w:fldChar w:fldCharType="separate"/>
    </w:r>
    <w:r>
      <w:rPr>
        <w:lang w:val="zh-CN"/>
      </w:rPr>
      <w:t>17</w:t>
    </w:r>
    <w:r>
      <w:fldChar w:fldCharType="end"/>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270F8B70"/>
    <w:multiLevelType w:val="singleLevel"/>
    <w:tmpl w:val="270F8B70"/>
    <w:lvl w:ilvl="0" w:tentative="0">
      <w:start w:val="2"/>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hNzI3N2E5MmE1ODFkMzhkM2ZhMmE5MjY0NTNlZm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1FEE"/>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3BA492B"/>
    <w:rsid w:val="04914F5D"/>
    <w:rsid w:val="0781725F"/>
    <w:rsid w:val="07D56CE9"/>
    <w:rsid w:val="0A2032A3"/>
    <w:rsid w:val="0AA23575"/>
    <w:rsid w:val="0B6308FC"/>
    <w:rsid w:val="0B8A37D8"/>
    <w:rsid w:val="0C696107"/>
    <w:rsid w:val="0D06075B"/>
    <w:rsid w:val="0D4E5EA5"/>
    <w:rsid w:val="0EE84E68"/>
    <w:rsid w:val="0F59233E"/>
    <w:rsid w:val="0F5F7F75"/>
    <w:rsid w:val="10C055FF"/>
    <w:rsid w:val="118107EC"/>
    <w:rsid w:val="11DD6519"/>
    <w:rsid w:val="12E3738C"/>
    <w:rsid w:val="14A12BA3"/>
    <w:rsid w:val="15307F29"/>
    <w:rsid w:val="15A96E6B"/>
    <w:rsid w:val="15E6198C"/>
    <w:rsid w:val="16BB723D"/>
    <w:rsid w:val="18015F3F"/>
    <w:rsid w:val="18C4381F"/>
    <w:rsid w:val="194D66AE"/>
    <w:rsid w:val="198F5897"/>
    <w:rsid w:val="1A7358EE"/>
    <w:rsid w:val="1AB25D85"/>
    <w:rsid w:val="1B0C63A5"/>
    <w:rsid w:val="1B9A1657"/>
    <w:rsid w:val="1BE8440E"/>
    <w:rsid w:val="1C8C12EE"/>
    <w:rsid w:val="1CD21354"/>
    <w:rsid w:val="1CE912FD"/>
    <w:rsid w:val="1D155CEE"/>
    <w:rsid w:val="1EC9225B"/>
    <w:rsid w:val="1F0D52AF"/>
    <w:rsid w:val="20F57F95"/>
    <w:rsid w:val="213732B7"/>
    <w:rsid w:val="22C9554D"/>
    <w:rsid w:val="230C2FED"/>
    <w:rsid w:val="23593B74"/>
    <w:rsid w:val="240371BF"/>
    <w:rsid w:val="24A0301A"/>
    <w:rsid w:val="251F4733"/>
    <w:rsid w:val="25C741E6"/>
    <w:rsid w:val="25D565A0"/>
    <w:rsid w:val="25F825E6"/>
    <w:rsid w:val="261F6C83"/>
    <w:rsid w:val="27842671"/>
    <w:rsid w:val="288063BD"/>
    <w:rsid w:val="29FD04D3"/>
    <w:rsid w:val="2A511F92"/>
    <w:rsid w:val="2ABE7A3E"/>
    <w:rsid w:val="2CD45423"/>
    <w:rsid w:val="2D43198F"/>
    <w:rsid w:val="2D52226A"/>
    <w:rsid w:val="2E5D4ACB"/>
    <w:rsid w:val="2E872BEF"/>
    <w:rsid w:val="2EFA178C"/>
    <w:rsid w:val="2FCB6FBE"/>
    <w:rsid w:val="30B46D73"/>
    <w:rsid w:val="3106000F"/>
    <w:rsid w:val="319F7F4E"/>
    <w:rsid w:val="31B34BCA"/>
    <w:rsid w:val="32443DEB"/>
    <w:rsid w:val="330F26D0"/>
    <w:rsid w:val="3376761C"/>
    <w:rsid w:val="337820FF"/>
    <w:rsid w:val="3415088C"/>
    <w:rsid w:val="341D31C7"/>
    <w:rsid w:val="3620001E"/>
    <w:rsid w:val="377E6525"/>
    <w:rsid w:val="38D73AB2"/>
    <w:rsid w:val="39733D23"/>
    <w:rsid w:val="39AE70AB"/>
    <w:rsid w:val="39BB1242"/>
    <w:rsid w:val="39C8437F"/>
    <w:rsid w:val="3A4D7558"/>
    <w:rsid w:val="3C0C0783"/>
    <w:rsid w:val="3C3C60E0"/>
    <w:rsid w:val="3CA3541C"/>
    <w:rsid w:val="3CD62A5B"/>
    <w:rsid w:val="3D440278"/>
    <w:rsid w:val="3D464BBC"/>
    <w:rsid w:val="3F3A6425"/>
    <w:rsid w:val="3F9F3A96"/>
    <w:rsid w:val="4080549A"/>
    <w:rsid w:val="40CF45A9"/>
    <w:rsid w:val="43654FA1"/>
    <w:rsid w:val="443B107F"/>
    <w:rsid w:val="445F307F"/>
    <w:rsid w:val="446A2C06"/>
    <w:rsid w:val="45E728E4"/>
    <w:rsid w:val="46E17376"/>
    <w:rsid w:val="47260B16"/>
    <w:rsid w:val="48161192"/>
    <w:rsid w:val="493C27E9"/>
    <w:rsid w:val="496F39ED"/>
    <w:rsid w:val="49FF41D3"/>
    <w:rsid w:val="4BE068DB"/>
    <w:rsid w:val="4BF6002B"/>
    <w:rsid w:val="4C9359B0"/>
    <w:rsid w:val="4D1A12E7"/>
    <w:rsid w:val="4ECE2238"/>
    <w:rsid w:val="4F1132C7"/>
    <w:rsid w:val="4F9C0902"/>
    <w:rsid w:val="4FE665D9"/>
    <w:rsid w:val="50F13E0C"/>
    <w:rsid w:val="51DB4B86"/>
    <w:rsid w:val="5242269F"/>
    <w:rsid w:val="544D59CA"/>
    <w:rsid w:val="55333C3E"/>
    <w:rsid w:val="553810DC"/>
    <w:rsid w:val="55846583"/>
    <w:rsid w:val="56565569"/>
    <w:rsid w:val="57E8423C"/>
    <w:rsid w:val="593B3146"/>
    <w:rsid w:val="594E7013"/>
    <w:rsid w:val="59E677F7"/>
    <w:rsid w:val="5AAB3F37"/>
    <w:rsid w:val="5B243716"/>
    <w:rsid w:val="5BC90AD6"/>
    <w:rsid w:val="5C086ED1"/>
    <w:rsid w:val="5D5705D7"/>
    <w:rsid w:val="5D6F79EA"/>
    <w:rsid w:val="5E6D537C"/>
    <w:rsid w:val="5EA51127"/>
    <w:rsid w:val="5F1654C2"/>
    <w:rsid w:val="5FB07420"/>
    <w:rsid w:val="60AF11AF"/>
    <w:rsid w:val="61F96F36"/>
    <w:rsid w:val="63A958E2"/>
    <w:rsid w:val="63AB78C7"/>
    <w:rsid w:val="64CA39A1"/>
    <w:rsid w:val="64F96352"/>
    <w:rsid w:val="651D4EFF"/>
    <w:rsid w:val="654D112D"/>
    <w:rsid w:val="65743C5A"/>
    <w:rsid w:val="65A27F7B"/>
    <w:rsid w:val="65B84383"/>
    <w:rsid w:val="66060C18"/>
    <w:rsid w:val="671F43AE"/>
    <w:rsid w:val="672C7BCD"/>
    <w:rsid w:val="674B2C96"/>
    <w:rsid w:val="68E43867"/>
    <w:rsid w:val="6A7C4ACE"/>
    <w:rsid w:val="6AE97717"/>
    <w:rsid w:val="6C4A05C8"/>
    <w:rsid w:val="6C6D508C"/>
    <w:rsid w:val="6D3E016B"/>
    <w:rsid w:val="6FA06E8A"/>
    <w:rsid w:val="71DF1D60"/>
    <w:rsid w:val="71E87DF6"/>
    <w:rsid w:val="72734D90"/>
    <w:rsid w:val="73267938"/>
    <w:rsid w:val="74FA70BA"/>
    <w:rsid w:val="77B61C04"/>
    <w:rsid w:val="78284689"/>
    <w:rsid w:val="79E7B28D"/>
    <w:rsid w:val="7A0400BD"/>
    <w:rsid w:val="7A3E5A2B"/>
    <w:rsid w:val="7C011760"/>
    <w:rsid w:val="7C7236B9"/>
    <w:rsid w:val="7E1D3A7B"/>
    <w:rsid w:val="7E954220"/>
    <w:rsid w:val="7EAC5742"/>
    <w:rsid w:val="7F236F95"/>
    <w:rsid w:val="7F430BF5"/>
    <w:rsid w:val="7F530842"/>
    <w:rsid w:val="7F9F20EE"/>
    <w:rsid w:val="9E3A10E2"/>
    <w:rsid w:val="F2E1F9D4"/>
    <w:rsid w:val="F7880819"/>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1"/>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style>
  <w:style w:type="paragraph" w:styleId="6">
    <w:name w:val="Body Text"/>
    <w:basedOn w:val="1"/>
    <w:link w:val="29"/>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2"/>
    <w:unhideWhenUsed/>
    <w:qFormat/>
    <w:uiPriority w:val="99"/>
    <w:rPr>
      <w:sz w:val="18"/>
      <w:szCs w:val="18"/>
    </w:rPr>
  </w:style>
  <w:style w:type="paragraph" w:styleId="9">
    <w:name w:val="footer"/>
    <w:basedOn w:val="1"/>
    <w:link w:val="27"/>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5"/>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link w:val="34"/>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unhideWhenUsed/>
    <w:qFormat/>
    <w:uiPriority w:val="99"/>
    <w:rPr>
      <w:rFonts w:cs="Times New Roman"/>
      <w:sz w:val="24"/>
    </w:rPr>
  </w:style>
  <w:style w:type="character" w:styleId="16">
    <w:name w:val="Strong"/>
    <w:basedOn w:val="15"/>
    <w:qFormat/>
    <w:uiPriority w:val="99"/>
    <w:rPr>
      <w:b/>
    </w:rPr>
  </w:style>
  <w:style w:type="character" w:styleId="17">
    <w:name w:val="Hyperlink"/>
    <w:basedOn w:val="15"/>
    <w:unhideWhenUsed/>
    <w:qFormat/>
    <w:uiPriority w:val="99"/>
    <w:rPr>
      <w:color w:val="0000FF"/>
      <w:u w:val="single"/>
    </w:rPr>
  </w:style>
  <w:style w:type="paragraph" w:customStyle="1" w:styleId="18">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9">
    <w:name w:val="List Paragraph"/>
    <w:basedOn w:val="1"/>
    <w:qFormat/>
    <w:uiPriority w:val="34"/>
    <w:pPr>
      <w:ind w:firstLine="420" w:firstLineChars="200"/>
    </w:pPr>
  </w:style>
  <w:style w:type="paragraph" w:customStyle="1" w:styleId="20">
    <w:name w:val="TOC 标题1"/>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1">
    <w:name w:val="TOC 标题2"/>
    <w:basedOn w:val="3"/>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2">
    <w:name w:val="WPSOffice手动目录 1"/>
    <w:qFormat/>
    <w:uiPriority w:val="0"/>
    <w:pPr>
      <w:ind w:leftChars="0"/>
    </w:pPr>
    <w:rPr>
      <w:rFonts w:ascii="Times New Roman" w:hAnsi="Times New Roman" w:eastAsia="宋体" w:cs="Times New Roman"/>
      <w:sz w:val="20"/>
      <w:szCs w:val="20"/>
      <w:lang w:val="en-US" w:eastAsia="zh-CN" w:bidi="ar-SA"/>
    </w:rPr>
  </w:style>
  <w:style w:type="paragraph" w:customStyle="1" w:styleId="23">
    <w:name w:val="WPSOffice手动目录 2"/>
    <w:qFormat/>
    <w:uiPriority w:val="0"/>
    <w:pPr>
      <w:ind w:leftChars="200"/>
    </w:pPr>
    <w:rPr>
      <w:rFonts w:ascii="Times New Roman" w:hAnsi="Times New Roman" w:eastAsia="宋体" w:cs="Times New Roman"/>
      <w:sz w:val="20"/>
      <w:szCs w:val="20"/>
      <w:lang w:val="en-US" w:eastAsia="zh-CN" w:bidi="ar-SA"/>
    </w:rPr>
  </w:style>
  <w:style w:type="character" w:customStyle="1" w:styleId="24">
    <w:name w:val="Header Char"/>
    <w:basedOn w:val="15"/>
    <w:semiHidden/>
    <w:qFormat/>
    <w:uiPriority w:val="99"/>
    <w:rPr>
      <w:rFonts w:ascii="Times New Roman" w:hAnsi="Times New Roman"/>
      <w:sz w:val="18"/>
      <w:szCs w:val="18"/>
    </w:rPr>
  </w:style>
  <w:style w:type="character" w:customStyle="1" w:styleId="25">
    <w:name w:val="页眉 Char"/>
    <w:link w:val="10"/>
    <w:semiHidden/>
    <w:qFormat/>
    <w:locked/>
    <w:uiPriority w:val="99"/>
    <w:rPr>
      <w:sz w:val="18"/>
    </w:rPr>
  </w:style>
  <w:style w:type="character" w:customStyle="1" w:styleId="26">
    <w:name w:val="Footer Char"/>
    <w:basedOn w:val="15"/>
    <w:semiHidden/>
    <w:qFormat/>
    <w:uiPriority w:val="99"/>
    <w:rPr>
      <w:rFonts w:ascii="Times New Roman" w:hAnsi="Times New Roman"/>
      <w:sz w:val="18"/>
      <w:szCs w:val="18"/>
    </w:rPr>
  </w:style>
  <w:style w:type="character" w:customStyle="1" w:styleId="27">
    <w:name w:val="页脚 Char"/>
    <w:link w:val="9"/>
    <w:qFormat/>
    <w:locked/>
    <w:uiPriority w:val="99"/>
    <w:rPr>
      <w:sz w:val="18"/>
    </w:rPr>
  </w:style>
  <w:style w:type="character" w:customStyle="1" w:styleId="28">
    <w:name w:val="Body Text Char"/>
    <w:basedOn w:val="15"/>
    <w:semiHidden/>
    <w:qFormat/>
    <w:uiPriority w:val="99"/>
    <w:rPr>
      <w:rFonts w:ascii="Times New Roman" w:hAnsi="Times New Roman"/>
      <w:szCs w:val="24"/>
    </w:rPr>
  </w:style>
  <w:style w:type="character" w:customStyle="1" w:styleId="29">
    <w:name w:val="正文文本 Char"/>
    <w:link w:val="6"/>
    <w:qFormat/>
    <w:locked/>
    <w:uiPriority w:val="99"/>
    <w:rPr>
      <w:rFonts w:ascii="仿宋_GB2312" w:hAnsi="Times New Roman" w:eastAsia="仿宋_GB2312"/>
      <w:sz w:val="24"/>
    </w:rPr>
  </w:style>
  <w:style w:type="character" w:customStyle="1" w:styleId="30">
    <w:name w:val="标题 1 Char"/>
    <w:basedOn w:val="15"/>
    <w:link w:val="3"/>
    <w:qFormat/>
    <w:uiPriority w:val="9"/>
    <w:rPr>
      <w:rFonts w:ascii="Times New Roman" w:hAnsi="Times New Roman"/>
      <w:b/>
      <w:bCs/>
      <w:kern w:val="44"/>
      <w:sz w:val="44"/>
      <w:szCs w:val="44"/>
    </w:rPr>
  </w:style>
  <w:style w:type="character" w:customStyle="1" w:styleId="31">
    <w:name w:val="标题 2 Char"/>
    <w:basedOn w:val="15"/>
    <w:link w:val="4"/>
    <w:qFormat/>
    <w:uiPriority w:val="9"/>
    <w:rPr>
      <w:rFonts w:ascii="Cambria" w:hAnsi="Cambria" w:eastAsia="宋体" w:cs="黑体"/>
      <w:b/>
      <w:bCs/>
      <w:kern w:val="2"/>
      <w:sz w:val="32"/>
      <w:szCs w:val="32"/>
    </w:rPr>
  </w:style>
  <w:style w:type="character" w:customStyle="1" w:styleId="32">
    <w:name w:val="批注框文本 Char"/>
    <w:basedOn w:val="15"/>
    <w:link w:val="8"/>
    <w:semiHidden/>
    <w:qFormat/>
    <w:uiPriority w:val="99"/>
    <w:rPr>
      <w:rFonts w:ascii="Times New Roman" w:hAnsi="Times New Roman"/>
      <w:kern w:val="2"/>
      <w:sz w:val="18"/>
      <w:szCs w:val="18"/>
    </w:rPr>
  </w:style>
  <w:style w:type="character" w:customStyle="1" w:styleId="33">
    <w:name w:val="标题 3 Char"/>
    <w:basedOn w:val="15"/>
    <w:link w:val="5"/>
    <w:qFormat/>
    <w:uiPriority w:val="9"/>
    <w:rPr>
      <w:rFonts w:ascii="Times New Roman" w:hAnsi="Times New Roman"/>
      <w:b/>
      <w:bCs/>
      <w:kern w:val="2"/>
      <w:sz w:val="32"/>
      <w:szCs w:val="32"/>
    </w:rPr>
  </w:style>
  <w:style w:type="character" w:customStyle="1" w:styleId="34">
    <w:name w:val="目录 1 Char"/>
    <w:link w:val="11"/>
    <w:qFormat/>
    <w:uiPriority w:val="39"/>
    <w:rPr>
      <w:rFonts w:ascii="仿宋" w:hAnsi="仿宋" w:eastAsia="仿宋"/>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22</Pages>
  <Words>6467</Words>
  <Characters>7270</Characters>
  <Lines>44</Lines>
  <Paragraphs>12</Paragraphs>
  <TotalTime>22</TotalTime>
  <ScaleCrop>false</ScaleCrop>
  <LinksUpToDate>false</LinksUpToDate>
  <CharactersWithSpaces>7371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wjj2</cp:lastModifiedBy>
  <cp:lastPrinted>2022-08-06T02:23:00Z</cp:lastPrinted>
  <dcterms:modified xsi:type="dcterms:W3CDTF">2023-04-12T02:17:55Z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5C0AA12757D7497CAE0920133DFC2374_13</vt:lpwstr>
  </property>
</Properties>
</file>