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9"/>
        <w:rPr>
          <w:rFonts w:ascii="方正小标宋简体" w:hAnsi="宋体" w:eastAsia="方正小标宋简体"/>
          <w:sz w:val="72"/>
          <w:szCs w:val="72"/>
        </w:rPr>
      </w:pPr>
      <w:bookmarkStart w:id="0" w:name="_Toc15306267"/>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52"/>
          <w:szCs w:val="52"/>
        </w:rPr>
      </w:pPr>
      <w:bookmarkStart w:id="1" w:name="_Toc15377425"/>
      <w:bookmarkStart w:id="2" w:name="_Toc15377193"/>
      <w:bookmarkStart w:id="3" w:name="_Toc15396475"/>
      <w:bookmarkStart w:id="4" w:name="_Toc18333"/>
      <w:bookmarkStart w:id="5" w:name="_Toc15396597"/>
      <w:bookmarkStart w:id="6" w:name="_Toc15378441"/>
      <w:r>
        <w:rPr>
          <w:rFonts w:hint="eastAsia" w:ascii="方正小标宋简体" w:hAnsi="方正小标宋简体" w:eastAsia="方正小标宋简体" w:cs="方正小标宋简体"/>
          <w:sz w:val="52"/>
          <w:szCs w:val="52"/>
        </w:rPr>
        <w:t>2021年度</w:t>
      </w:r>
      <w:bookmarkEnd w:id="1"/>
      <w:bookmarkEnd w:id="2"/>
      <w:bookmarkEnd w:id="3"/>
      <w:bookmarkEnd w:id="4"/>
      <w:bookmarkEnd w:id="5"/>
      <w:bookmarkEnd w:id="6"/>
    </w:p>
    <w:p>
      <w:pPr>
        <w:adjustRightInd w:val="0"/>
        <w:snapToGrid w:val="0"/>
        <w:spacing w:line="360" w:lineRule="auto"/>
        <w:jc w:val="center"/>
        <w:outlineLvl w:val="0"/>
        <w:rPr>
          <w:rFonts w:hint="eastAsia" w:ascii="方正小标宋简体" w:hAnsi="方正小标宋简体" w:eastAsia="方正小标宋简体" w:cs="方正小标宋简体"/>
          <w:sz w:val="52"/>
          <w:szCs w:val="52"/>
          <w:lang w:val="en-US" w:eastAsia="zh-CN"/>
        </w:rPr>
      </w:pPr>
      <w:bookmarkStart w:id="7" w:name="_Toc21516"/>
      <w:bookmarkStart w:id="8" w:name="_Toc15396476"/>
      <w:bookmarkStart w:id="9" w:name="_Toc15377426"/>
      <w:bookmarkStart w:id="10" w:name="_Toc15396598"/>
      <w:bookmarkStart w:id="11" w:name="_Toc15377194"/>
      <w:bookmarkStart w:id="12" w:name="_Toc15378442"/>
      <w:r>
        <w:rPr>
          <w:rFonts w:hint="eastAsia" w:ascii="方正小标宋简体" w:hAnsi="方正小标宋简体" w:eastAsia="方正小标宋简体" w:cs="方正小标宋简体"/>
          <w:sz w:val="52"/>
          <w:szCs w:val="52"/>
        </w:rPr>
        <w:t>盐边县</w:t>
      </w:r>
      <w:bookmarkEnd w:id="0"/>
      <w:bookmarkStart w:id="13" w:name="_Toc15306268"/>
      <w:r>
        <w:rPr>
          <w:rFonts w:hint="eastAsia" w:ascii="方正小标宋简体" w:hAnsi="方正小标宋简体" w:eastAsia="方正小标宋简体" w:cs="方正小标宋简体"/>
          <w:sz w:val="52"/>
          <w:szCs w:val="52"/>
          <w:lang w:eastAsia="zh-CN"/>
        </w:rPr>
        <w:t>红宝苗族彝族乡</w:t>
      </w:r>
      <w:r>
        <w:rPr>
          <w:rFonts w:hint="eastAsia" w:ascii="方正小标宋简体" w:hAnsi="方正小标宋简体" w:eastAsia="方正小标宋简体" w:cs="方正小标宋简体"/>
          <w:sz w:val="52"/>
          <w:szCs w:val="52"/>
          <w:lang w:val="en-US" w:eastAsia="zh-CN"/>
        </w:rPr>
        <w:t>卫生院</w:t>
      </w:r>
      <w:bookmarkEnd w:id="7"/>
    </w:p>
    <w:p>
      <w:pPr>
        <w:adjustRightInd w:val="0"/>
        <w:snapToGrid w:val="0"/>
        <w:spacing w:line="360" w:lineRule="auto"/>
        <w:jc w:val="center"/>
        <w:outlineLvl w:val="0"/>
        <w:rPr>
          <w:rFonts w:hint="default" w:ascii="方正小标宋简体" w:hAnsi="方正小标宋简体" w:eastAsia="方正小标宋简体" w:cs="方正小标宋简体"/>
          <w:sz w:val="52"/>
          <w:szCs w:val="52"/>
          <w:lang w:val="en-US" w:eastAsia="zh-CN"/>
        </w:rPr>
      </w:pPr>
      <w:bookmarkStart w:id="14" w:name="_Toc30794"/>
      <w:r>
        <w:rPr>
          <w:rFonts w:hint="eastAsia" w:ascii="方正小标宋简体" w:hAnsi="方正小标宋简体" w:eastAsia="方正小标宋简体" w:cs="方正小标宋简体"/>
          <w:sz w:val="52"/>
          <w:szCs w:val="52"/>
        </w:rPr>
        <w:t>单位决算</w:t>
      </w:r>
      <w:bookmarkEnd w:id="8"/>
      <w:bookmarkEnd w:id="9"/>
      <w:bookmarkEnd w:id="10"/>
      <w:bookmarkEnd w:id="11"/>
      <w:bookmarkEnd w:id="12"/>
      <w:bookmarkEnd w:id="13"/>
      <w:bookmarkEnd w:id="14"/>
      <w:r>
        <w:rPr>
          <w:rFonts w:hint="eastAsia" w:ascii="方正小标宋简体" w:hAnsi="方正小标宋简体" w:eastAsia="方正小标宋简体" w:cs="方正小标宋简体"/>
          <w:sz w:val="52"/>
          <w:szCs w:val="52"/>
          <w:lang w:eastAsia="zh-CN"/>
        </w:rPr>
        <w:t>公开编制说明</w:t>
      </w: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黑体"/>
          <w:sz w:val="28"/>
          <w:szCs w:val="28"/>
        </w:rPr>
      </w:pPr>
    </w:p>
    <w:p>
      <w:pPr>
        <w:pStyle w:val="10"/>
      </w:pPr>
      <w:r>
        <w:rPr>
          <w:rFonts w:hint="eastAsia"/>
        </w:rPr>
        <w:t>公开时间：2022年1</w:t>
      </w:r>
      <w:r>
        <w:rPr>
          <w:rFonts w:hint="eastAsia"/>
          <w:lang w:val="en-US" w:eastAsia="zh-CN"/>
        </w:rPr>
        <w:t>1</w:t>
      </w:r>
      <w:r>
        <w:rPr>
          <w:rFonts w:hint="eastAsia"/>
        </w:rPr>
        <w:t>月</w:t>
      </w:r>
      <w:r>
        <w:rPr>
          <w:rFonts w:hint="eastAsia"/>
          <w:lang w:val="en-US" w:eastAsia="zh-CN"/>
        </w:rPr>
        <w:t>1</w:t>
      </w:r>
      <w:r>
        <w:rPr>
          <w:rFonts w:hint="eastAsia"/>
        </w:rPr>
        <w:t>日</w:t>
      </w:r>
    </w:p>
    <w:p/>
    <w:p>
      <w:pPr>
        <w:spacing w:before="0" w:beforeLines="0" w:after="0" w:afterLines="0" w:line="240" w:lineRule="auto"/>
        <w:ind w:left="0" w:leftChars="0" w:right="0" w:firstLine="0" w:firstLineChars="0"/>
        <w:jc w:val="center"/>
      </w:pPr>
    </w:p>
    <w:p>
      <w:pPr>
        <w:pStyle w:val="20"/>
        <w:tabs>
          <w:tab w:val="right" w:leader="dot" w:pos="8306"/>
        </w:tabs>
        <w:rPr>
          <w:rFonts w:hint="eastAsia" w:ascii="仿宋_GB2312" w:hAnsi="仿宋_GB2312" w:eastAsia="仿宋_GB2312" w:cs="仿宋_GB2312"/>
          <w:b/>
          <w:sz w:val="28"/>
          <w:szCs w:val="28"/>
        </w:rPr>
      </w:pPr>
      <w:r>
        <w:fldChar w:fldCharType="begin"/>
      </w:r>
      <w:r>
        <w:instrText xml:space="preserve">TOC \o "1-2" \h \u </w:instrText>
      </w:r>
      <w:r>
        <w:fldChar w:fldCharType="separate"/>
      </w:r>
    </w:p>
    <w:p>
      <w:pPr>
        <w:pStyle w:val="20"/>
        <w:tabs>
          <w:tab w:val="right" w:leader="dot" w:pos="8306"/>
        </w:tabs>
        <w:rPr>
          <w:rFonts w:hint="eastAsia" w:ascii="黑体" w:hAnsi="黑体" w:eastAsia="黑体" w:cs="黑体"/>
          <w:b/>
          <w:sz w:val="28"/>
          <w:szCs w:val="28"/>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_Toc220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第一部分 单位</w:t>
      </w:r>
      <w:r>
        <w:rPr>
          <w:rFonts w:hint="eastAsia" w:ascii="黑体" w:hAnsi="黑体" w:eastAsia="黑体" w:cs="黑体"/>
          <w:b/>
          <w:bCs w:val="0"/>
          <w:sz w:val="28"/>
          <w:szCs w:val="28"/>
        </w:rPr>
        <w:t>概况</w:t>
      </w:r>
      <w:r>
        <w:rPr>
          <w:rFonts w:hint="eastAsia" w:ascii="黑体" w:hAnsi="黑体" w:eastAsia="黑体" w:cs="黑体"/>
          <w:b/>
          <w:sz w:val="28"/>
          <w:szCs w:val="28"/>
        </w:rPr>
        <w:tab/>
      </w: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PAGEREF _Toc220 \h </w:instrText>
      </w:r>
      <w:r>
        <w:rPr>
          <w:rFonts w:hint="eastAsia" w:ascii="黑体" w:hAnsi="黑体" w:eastAsia="黑体" w:cs="黑体"/>
          <w:b/>
          <w:sz w:val="28"/>
          <w:szCs w:val="28"/>
        </w:rPr>
        <w:fldChar w:fldCharType="separate"/>
      </w:r>
      <w:r>
        <w:rPr>
          <w:rFonts w:hint="eastAsia" w:ascii="黑体" w:hAnsi="黑体" w:eastAsia="黑体" w:cs="黑体"/>
          <w:b/>
          <w:sz w:val="28"/>
          <w:szCs w:val="28"/>
        </w:rPr>
        <w:t>4</w:t>
      </w:r>
      <w:r>
        <w:rPr>
          <w:rFonts w:hint="eastAsia" w:ascii="黑体" w:hAnsi="黑体" w:eastAsia="黑体" w:cs="黑体"/>
          <w:b/>
          <w:sz w:val="28"/>
          <w:szCs w:val="28"/>
        </w:rPr>
        <w:fldChar w:fldCharType="end"/>
      </w:r>
      <w:r>
        <w:rPr>
          <w:rFonts w:hint="eastAsia" w:ascii="黑体" w:hAnsi="黑体" w:eastAsia="黑体" w:cs="黑体"/>
          <w:b/>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_Toc20849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一、职能简介</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_Toc20849 \h </w:instrText>
      </w:r>
      <w:r>
        <w:rPr>
          <w:rFonts w:hint="eastAsia" w:ascii="黑体" w:hAnsi="黑体" w:eastAsia="黑体" w:cs="黑体"/>
          <w:sz w:val="28"/>
          <w:szCs w:val="28"/>
        </w:rPr>
        <w:fldChar w:fldCharType="separate"/>
      </w:r>
      <w:r>
        <w:rPr>
          <w:rFonts w:hint="eastAsia" w:ascii="黑体" w:hAnsi="黑体" w:eastAsia="黑体" w:cs="黑体"/>
          <w:sz w:val="28"/>
          <w:szCs w:val="28"/>
        </w:rPr>
        <w:t>4</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_Toc580 </w:instrText>
      </w:r>
      <w:r>
        <w:rPr>
          <w:rFonts w:hint="eastAsia" w:ascii="黑体" w:hAnsi="黑体" w:eastAsia="黑体" w:cs="黑体"/>
          <w:sz w:val="28"/>
          <w:szCs w:val="28"/>
        </w:rPr>
        <w:fldChar w:fldCharType="separate"/>
      </w:r>
      <w:r>
        <w:rPr>
          <w:rFonts w:hint="eastAsia" w:ascii="黑体" w:hAnsi="黑体" w:eastAsia="黑体" w:cs="黑体"/>
          <w:sz w:val="28"/>
          <w:szCs w:val="28"/>
        </w:rPr>
        <w:t>二、2021年重点工作完成情况</w:t>
      </w:r>
      <w:r>
        <w:rPr>
          <w:rFonts w:hint="eastAsia" w:ascii="黑体" w:hAnsi="黑体" w:eastAsia="黑体" w:cs="黑体"/>
          <w:sz w:val="28"/>
          <w:szCs w:val="28"/>
        </w:rPr>
        <w:tab/>
      </w:r>
      <w:r>
        <w:rPr>
          <w:rFonts w:hint="eastAsia" w:ascii="黑体" w:hAnsi="黑体" w:eastAsia="黑体" w:cs="黑体"/>
          <w:sz w:val="28"/>
          <w:szCs w:val="28"/>
          <w:lang w:val="en-US" w:eastAsia="zh-CN"/>
        </w:rPr>
        <w:t>5</w:t>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三、机构设置</w:t>
      </w:r>
      <w:r>
        <w:rPr>
          <w:rFonts w:hint="eastAsia" w:ascii="黑体" w:hAnsi="黑体" w:eastAsia="黑体" w:cs="黑体"/>
          <w:sz w:val="28"/>
          <w:szCs w:val="28"/>
        </w:rPr>
        <w:tab/>
      </w:r>
      <w:r>
        <w:rPr>
          <w:rFonts w:hint="eastAsia" w:ascii="黑体" w:hAnsi="黑体" w:eastAsia="黑体" w:cs="黑体"/>
          <w:sz w:val="28"/>
          <w:szCs w:val="28"/>
          <w:lang w:val="en-US" w:eastAsia="zh-CN"/>
        </w:rPr>
        <w:t>6</w:t>
      </w:r>
    </w:p>
    <w:p>
      <w:pPr>
        <w:pStyle w:val="20"/>
        <w:tabs>
          <w:tab w:val="right" w:leader="dot" w:pos="8306"/>
        </w:tabs>
        <w:rPr>
          <w:rFonts w:hint="eastAsia" w:ascii="黑体" w:hAnsi="黑体" w:eastAsia="黑体" w:cs="黑体"/>
          <w:b/>
          <w:sz w:val="28"/>
          <w:szCs w:val="28"/>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_Toc9153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第二部分 2021年度</w:t>
      </w:r>
      <w:r>
        <w:rPr>
          <w:rFonts w:hint="eastAsia" w:ascii="黑体" w:hAnsi="黑体" w:eastAsia="黑体" w:cs="黑体"/>
          <w:b/>
          <w:bCs/>
          <w:sz w:val="28"/>
          <w:szCs w:val="28"/>
        </w:rPr>
        <w:t>单位决算情况说明</w:t>
      </w:r>
      <w:r>
        <w:rPr>
          <w:rFonts w:hint="eastAsia" w:ascii="黑体" w:hAnsi="黑体" w:eastAsia="黑体" w:cs="黑体"/>
          <w:b/>
          <w:sz w:val="28"/>
          <w:szCs w:val="28"/>
        </w:rPr>
        <w:tab/>
      </w: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PAGEREF _Toc9153 \h </w:instrText>
      </w:r>
      <w:r>
        <w:rPr>
          <w:rFonts w:hint="eastAsia" w:ascii="黑体" w:hAnsi="黑体" w:eastAsia="黑体" w:cs="黑体"/>
          <w:b/>
          <w:sz w:val="28"/>
          <w:szCs w:val="28"/>
        </w:rPr>
        <w:fldChar w:fldCharType="separate"/>
      </w:r>
      <w:r>
        <w:rPr>
          <w:rFonts w:hint="eastAsia" w:ascii="黑体" w:hAnsi="黑体" w:eastAsia="黑体" w:cs="黑体"/>
          <w:b/>
          <w:sz w:val="28"/>
          <w:szCs w:val="28"/>
        </w:rPr>
        <w:t>7</w:t>
      </w:r>
      <w:r>
        <w:rPr>
          <w:rFonts w:hint="eastAsia" w:ascii="黑体" w:hAnsi="黑体" w:eastAsia="黑体" w:cs="黑体"/>
          <w:b/>
          <w:sz w:val="28"/>
          <w:szCs w:val="28"/>
        </w:rPr>
        <w:fldChar w:fldCharType="end"/>
      </w:r>
      <w:r>
        <w:rPr>
          <w:rFonts w:hint="eastAsia" w:ascii="黑体" w:hAnsi="黑体" w:eastAsia="黑体" w:cs="黑体"/>
          <w:b/>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_Toc4183 </w:instrText>
      </w:r>
      <w:r>
        <w:rPr>
          <w:rFonts w:hint="eastAsia" w:ascii="黑体" w:hAnsi="黑体" w:eastAsia="黑体" w:cs="黑体"/>
          <w:sz w:val="28"/>
          <w:szCs w:val="28"/>
        </w:rPr>
        <w:fldChar w:fldCharType="separate"/>
      </w:r>
      <w:r>
        <w:rPr>
          <w:rFonts w:hint="eastAsia" w:ascii="黑体" w:hAnsi="黑体" w:eastAsia="黑体" w:cs="黑体"/>
          <w:sz w:val="28"/>
          <w:szCs w:val="28"/>
        </w:rPr>
        <w:t>一、 收入支出决算总体情况说明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_Toc4183 \h </w:instrText>
      </w:r>
      <w:r>
        <w:rPr>
          <w:rFonts w:hint="eastAsia" w:ascii="黑体" w:hAnsi="黑体" w:eastAsia="黑体" w:cs="黑体"/>
          <w:sz w:val="28"/>
          <w:szCs w:val="28"/>
        </w:rPr>
        <w:fldChar w:fldCharType="separate"/>
      </w:r>
      <w:r>
        <w:rPr>
          <w:rFonts w:hint="eastAsia" w:ascii="黑体" w:hAnsi="黑体" w:eastAsia="黑体" w:cs="黑体"/>
          <w:sz w:val="28"/>
          <w:szCs w:val="28"/>
        </w:rPr>
        <w:t>7</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_Toc20640 </w:instrText>
      </w:r>
      <w:r>
        <w:rPr>
          <w:rFonts w:hint="eastAsia" w:ascii="黑体" w:hAnsi="黑体" w:eastAsia="黑体" w:cs="黑体"/>
          <w:sz w:val="28"/>
          <w:szCs w:val="28"/>
        </w:rPr>
        <w:fldChar w:fldCharType="separate"/>
      </w:r>
      <w:r>
        <w:rPr>
          <w:rFonts w:hint="eastAsia" w:ascii="黑体" w:hAnsi="黑体" w:eastAsia="黑体" w:cs="黑体"/>
          <w:sz w:val="28"/>
          <w:szCs w:val="28"/>
        </w:rPr>
        <w:t>二、 收入决算情况说明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_Toc20640 \h </w:instrText>
      </w:r>
      <w:r>
        <w:rPr>
          <w:rFonts w:hint="eastAsia" w:ascii="黑体" w:hAnsi="黑体" w:eastAsia="黑体" w:cs="黑体"/>
          <w:sz w:val="28"/>
          <w:szCs w:val="28"/>
        </w:rPr>
        <w:fldChar w:fldCharType="separate"/>
      </w:r>
      <w:r>
        <w:rPr>
          <w:rFonts w:hint="eastAsia" w:ascii="黑体" w:hAnsi="黑体" w:eastAsia="黑体" w:cs="黑体"/>
          <w:sz w:val="28"/>
          <w:szCs w:val="28"/>
        </w:rPr>
        <w:t>7</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_Toc26654 </w:instrText>
      </w:r>
      <w:r>
        <w:rPr>
          <w:rFonts w:hint="eastAsia" w:ascii="黑体" w:hAnsi="黑体" w:eastAsia="黑体" w:cs="黑体"/>
          <w:sz w:val="28"/>
          <w:szCs w:val="28"/>
        </w:rPr>
        <w:fldChar w:fldCharType="separate"/>
      </w:r>
      <w:r>
        <w:rPr>
          <w:rFonts w:hint="eastAsia" w:ascii="黑体" w:hAnsi="黑体" w:eastAsia="黑体" w:cs="黑体"/>
          <w:sz w:val="28"/>
          <w:szCs w:val="28"/>
        </w:rPr>
        <w:t>三、 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_Toc26654 \h </w:instrText>
      </w:r>
      <w:r>
        <w:rPr>
          <w:rFonts w:hint="eastAsia" w:ascii="黑体" w:hAnsi="黑体" w:eastAsia="黑体" w:cs="黑体"/>
          <w:sz w:val="28"/>
          <w:szCs w:val="28"/>
        </w:rPr>
        <w:fldChar w:fldCharType="separate"/>
      </w:r>
      <w:r>
        <w:rPr>
          <w:rFonts w:hint="eastAsia" w:ascii="黑体" w:hAnsi="黑体" w:eastAsia="黑体" w:cs="黑体"/>
          <w:sz w:val="28"/>
          <w:szCs w:val="28"/>
        </w:rPr>
        <w:t>8</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_Toc17627 </w:instrText>
      </w:r>
      <w:r>
        <w:rPr>
          <w:rFonts w:hint="eastAsia" w:ascii="黑体" w:hAnsi="黑体" w:eastAsia="黑体" w:cs="黑体"/>
          <w:sz w:val="28"/>
          <w:szCs w:val="28"/>
        </w:rPr>
        <w:fldChar w:fldCharType="separate"/>
      </w:r>
      <w:r>
        <w:rPr>
          <w:rFonts w:hint="eastAsia" w:ascii="黑体" w:hAnsi="黑体" w:eastAsia="黑体" w:cs="黑体"/>
          <w:sz w:val="28"/>
          <w:szCs w:val="28"/>
        </w:rPr>
        <w:t>四、财政拨款收入支出决算总体情况说明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_Toc17627 \h </w:instrText>
      </w:r>
      <w:r>
        <w:rPr>
          <w:rFonts w:hint="eastAsia" w:ascii="黑体" w:hAnsi="黑体" w:eastAsia="黑体" w:cs="黑体"/>
          <w:sz w:val="28"/>
          <w:szCs w:val="28"/>
        </w:rPr>
        <w:fldChar w:fldCharType="separate"/>
      </w:r>
      <w:r>
        <w:rPr>
          <w:rFonts w:hint="eastAsia" w:ascii="黑体" w:hAnsi="黑体" w:eastAsia="黑体" w:cs="黑体"/>
          <w:sz w:val="28"/>
          <w:szCs w:val="28"/>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_Toc28910 </w:instrText>
      </w:r>
      <w:r>
        <w:rPr>
          <w:rFonts w:hint="eastAsia" w:ascii="黑体" w:hAnsi="黑体" w:eastAsia="黑体" w:cs="黑体"/>
          <w:sz w:val="28"/>
          <w:szCs w:val="28"/>
        </w:rPr>
        <w:fldChar w:fldCharType="separate"/>
      </w:r>
      <w:r>
        <w:rPr>
          <w:rFonts w:hint="eastAsia" w:ascii="黑体" w:hAnsi="黑体" w:eastAsia="黑体" w:cs="黑体"/>
          <w:sz w:val="28"/>
          <w:szCs w:val="28"/>
        </w:rPr>
        <w:t>五、一般公共预算财政拨款支出决算情况说明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_Toc28910 \h </w:instrText>
      </w:r>
      <w:r>
        <w:rPr>
          <w:rFonts w:hint="eastAsia" w:ascii="黑体" w:hAnsi="黑体" w:eastAsia="黑体" w:cs="黑体"/>
          <w:sz w:val="28"/>
          <w:szCs w:val="28"/>
        </w:rPr>
        <w:fldChar w:fldCharType="separate"/>
      </w:r>
      <w:r>
        <w:rPr>
          <w:rFonts w:hint="eastAsia" w:ascii="黑体" w:hAnsi="黑体" w:eastAsia="黑体" w:cs="黑体"/>
          <w:sz w:val="28"/>
          <w:szCs w:val="28"/>
        </w:rPr>
        <w:t>10</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_Toc30132 </w:instrText>
      </w:r>
      <w:r>
        <w:rPr>
          <w:rFonts w:hint="eastAsia" w:ascii="黑体" w:hAnsi="黑体" w:eastAsia="黑体" w:cs="黑体"/>
          <w:sz w:val="28"/>
          <w:szCs w:val="28"/>
        </w:rPr>
        <w:fldChar w:fldCharType="separate"/>
      </w:r>
      <w:r>
        <w:rPr>
          <w:rFonts w:hint="eastAsia" w:ascii="黑体" w:hAnsi="黑体" w:eastAsia="黑体" w:cs="黑体"/>
          <w:sz w:val="28"/>
          <w:szCs w:val="28"/>
        </w:rPr>
        <w:t>六、一般公共预算财政拨款基本支出决算情况说明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_Toc30132 \h </w:instrText>
      </w:r>
      <w:r>
        <w:rPr>
          <w:rFonts w:hint="eastAsia" w:ascii="黑体" w:hAnsi="黑体" w:eastAsia="黑体" w:cs="黑体"/>
          <w:sz w:val="28"/>
          <w:szCs w:val="28"/>
        </w:rPr>
        <w:fldChar w:fldCharType="separate"/>
      </w:r>
      <w:r>
        <w:rPr>
          <w:rFonts w:hint="eastAsia" w:ascii="黑体" w:hAnsi="黑体" w:eastAsia="黑体" w:cs="黑体"/>
          <w:sz w:val="28"/>
          <w:szCs w:val="28"/>
        </w:rPr>
        <w:t>13</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_Toc22225 </w:instrText>
      </w:r>
      <w:r>
        <w:rPr>
          <w:rFonts w:hint="eastAsia" w:ascii="黑体" w:hAnsi="黑体" w:eastAsia="黑体" w:cs="黑体"/>
          <w:sz w:val="28"/>
          <w:szCs w:val="28"/>
        </w:rPr>
        <w:fldChar w:fldCharType="separate"/>
      </w:r>
      <w:r>
        <w:rPr>
          <w:rFonts w:hint="eastAsia" w:ascii="黑体" w:hAnsi="黑体" w:eastAsia="黑体" w:cs="黑体"/>
          <w:sz w:val="28"/>
          <w:szCs w:val="28"/>
        </w:rPr>
        <w:t>七、“三公”经费财政拨款支出决算情况说明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_Toc22225 \h </w:instrText>
      </w:r>
      <w:r>
        <w:rPr>
          <w:rFonts w:hint="eastAsia" w:ascii="黑体" w:hAnsi="黑体" w:eastAsia="黑体" w:cs="黑体"/>
          <w:sz w:val="28"/>
          <w:szCs w:val="28"/>
        </w:rPr>
        <w:fldChar w:fldCharType="separate"/>
      </w:r>
      <w:r>
        <w:rPr>
          <w:rFonts w:hint="eastAsia" w:ascii="黑体" w:hAnsi="黑体" w:eastAsia="黑体" w:cs="黑体"/>
          <w:sz w:val="28"/>
          <w:szCs w:val="28"/>
        </w:rPr>
        <w:t>1</w:t>
      </w:r>
      <w:r>
        <w:rPr>
          <w:rFonts w:hint="eastAsia" w:ascii="黑体" w:hAnsi="黑体" w:eastAsia="黑体" w:cs="黑体"/>
          <w:sz w:val="28"/>
          <w:szCs w:val="28"/>
          <w:lang w:val="en-US" w:eastAsia="zh-CN"/>
        </w:rPr>
        <w:t>4</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_Toc1497 </w:instrText>
      </w:r>
      <w:r>
        <w:rPr>
          <w:rFonts w:hint="eastAsia" w:ascii="黑体" w:hAnsi="黑体" w:eastAsia="黑体" w:cs="黑体"/>
          <w:sz w:val="28"/>
          <w:szCs w:val="28"/>
        </w:rPr>
        <w:fldChar w:fldCharType="separate"/>
      </w:r>
      <w:r>
        <w:rPr>
          <w:rFonts w:hint="eastAsia" w:ascii="黑体" w:hAnsi="黑体" w:eastAsia="黑体" w:cs="黑体"/>
          <w:sz w:val="28"/>
          <w:szCs w:val="28"/>
        </w:rPr>
        <w:t>八、政府性基金预算支出决算情况说明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_Toc1497 \h </w:instrText>
      </w:r>
      <w:r>
        <w:rPr>
          <w:rFonts w:hint="eastAsia" w:ascii="黑体" w:hAnsi="黑体" w:eastAsia="黑体" w:cs="黑体"/>
          <w:sz w:val="28"/>
          <w:szCs w:val="28"/>
        </w:rPr>
        <w:fldChar w:fldCharType="separate"/>
      </w:r>
      <w:r>
        <w:rPr>
          <w:rFonts w:hint="eastAsia" w:ascii="黑体" w:hAnsi="黑体" w:eastAsia="黑体" w:cs="黑体"/>
          <w:sz w:val="28"/>
          <w:szCs w:val="28"/>
        </w:rPr>
        <w:t>1</w:t>
      </w:r>
      <w:r>
        <w:rPr>
          <w:rFonts w:hint="eastAsia" w:ascii="黑体" w:hAnsi="黑体" w:eastAsia="黑体" w:cs="黑体"/>
          <w:sz w:val="28"/>
          <w:szCs w:val="28"/>
          <w:lang w:val="en-US" w:eastAsia="zh-CN"/>
        </w:rPr>
        <w:t>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_Toc24471 </w:instrText>
      </w:r>
      <w:r>
        <w:rPr>
          <w:rFonts w:hint="eastAsia" w:ascii="黑体" w:hAnsi="黑体" w:eastAsia="黑体" w:cs="黑体"/>
          <w:sz w:val="28"/>
          <w:szCs w:val="28"/>
        </w:rPr>
        <w:fldChar w:fldCharType="separate"/>
      </w:r>
      <w:r>
        <w:rPr>
          <w:rFonts w:hint="eastAsia" w:ascii="黑体" w:hAnsi="黑体" w:eastAsia="黑体" w:cs="黑体"/>
          <w:sz w:val="28"/>
          <w:szCs w:val="28"/>
        </w:rPr>
        <w:t>九、 国有资本经营预算支出决算情况说明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_Toc24471 \h </w:instrText>
      </w:r>
      <w:r>
        <w:rPr>
          <w:rFonts w:hint="eastAsia" w:ascii="黑体" w:hAnsi="黑体" w:eastAsia="黑体" w:cs="黑体"/>
          <w:sz w:val="28"/>
          <w:szCs w:val="28"/>
        </w:rPr>
        <w:fldChar w:fldCharType="separate"/>
      </w:r>
      <w:r>
        <w:rPr>
          <w:rFonts w:hint="eastAsia" w:ascii="黑体" w:hAnsi="黑体" w:eastAsia="黑体" w:cs="黑体"/>
          <w:sz w:val="28"/>
          <w:szCs w:val="28"/>
        </w:rPr>
        <w:t>1</w:t>
      </w:r>
      <w:r>
        <w:rPr>
          <w:rFonts w:hint="eastAsia" w:ascii="黑体" w:hAnsi="黑体" w:eastAsia="黑体" w:cs="黑体"/>
          <w:sz w:val="28"/>
          <w:szCs w:val="28"/>
          <w:lang w:val="en-US" w:eastAsia="zh-CN"/>
        </w:rPr>
        <w:t>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_Toc17425 </w:instrText>
      </w:r>
      <w:r>
        <w:rPr>
          <w:rFonts w:hint="eastAsia" w:ascii="黑体" w:hAnsi="黑体" w:eastAsia="黑体" w:cs="黑体"/>
          <w:sz w:val="28"/>
          <w:szCs w:val="28"/>
        </w:rPr>
        <w:fldChar w:fldCharType="separate"/>
      </w:r>
      <w:r>
        <w:rPr>
          <w:rFonts w:hint="eastAsia" w:ascii="黑体" w:hAnsi="黑体" w:eastAsia="黑体" w:cs="黑体"/>
          <w:sz w:val="28"/>
          <w:szCs w:val="28"/>
        </w:rPr>
        <w:t>十、 其他重要事项的情况说明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_Toc17425 \h </w:instrText>
      </w:r>
      <w:r>
        <w:rPr>
          <w:rFonts w:hint="eastAsia" w:ascii="黑体" w:hAnsi="黑体" w:eastAsia="黑体" w:cs="黑体"/>
          <w:sz w:val="28"/>
          <w:szCs w:val="28"/>
        </w:rPr>
        <w:fldChar w:fldCharType="separate"/>
      </w:r>
      <w:r>
        <w:rPr>
          <w:rFonts w:hint="eastAsia" w:ascii="黑体" w:hAnsi="黑体" w:eastAsia="黑体" w:cs="黑体"/>
          <w:sz w:val="28"/>
          <w:szCs w:val="28"/>
        </w:rPr>
        <w:t>1</w:t>
      </w:r>
      <w:r>
        <w:rPr>
          <w:rFonts w:hint="eastAsia" w:ascii="黑体" w:hAnsi="黑体" w:eastAsia="黑体" w:cs="黑体"/>
          <w:sz w:val="28"/>
          <w:szCs w:val="28"/>
          <w:lang w:val="en-US" w:eastAsia="zh-CN"/>
        </w:rPr>
        <w:t>6</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0"/>
        <w:tabs>
          <w:tab w:val="right" w:leader="dot" w:pos="8306"/>
        </w:tabs>
        <w:rPr>
          <w:rFonts w:hint="eastAsia" w:ascii="黑体" w:hAnsi="黑体" w:eastAsia="黑体" w:cs="黑体"/>
          <w:b/>
          <w:sz w:val="28"/>
          <w:szCs w:val="28"/>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_Toc3830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第三部分 名词解释</w:t>
      </w:r>
      <w:r>
        <w:rPr>
          <w:rFonts w:hint="eastAsia" w:ascii="黑体" w:hAnsi="黑体" w:eastAsia="黑体" w:cs="黑体"/>
          <w:b/>
          <w:sz w:val="28"/>
          <w:szCs w:val="28"/>
        </w:rPr>
        <w:tab/>
      </w: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PAGEREF _Toc3830 \h </w:instrText>
      </w:r>
      <w:r>
        <w:rPr>
          <w:rFonts w:hint="eastAsia" w:ascii="黑体" w:hAnsi="黑体" w:eastAsia="黑体" w:cs="黑体"/>
          <w:b/>
          <w:sz w:val="28"/>
          <w:szCs w:val="28"/>
        </w:rPr>
        <w:fldChar w:fldCharType="separate"/>
      </w:r>
      <w:r>
        <w:rPr>
          <w:rFonts w:hint="eastAsia" w:ascii="黑体" w:hAnsi="黑体" w:eastAsia="黑体" w:cs="黑体"/>
          <w:b/>
          <w:sz w:val="28"/>
          <w:szCs w:val="28"/>
        </w:rPr>
        <w:t>1</w:t>
      </w:r>
      <w:r>
        <w:rPr>
          <w:rFonts w:hint="eastAsia" w:ascii="黑体" w:hAnsi="黑体" w:eastAsia="黑体" w:cs="黑体"/>
          <w:b/>
          <w:sz w:val="28"/>
          <w:szCs w:val="28"/>
          <w:lang w:val="en-US" w:eastAsia="zh-CN"/>
        </w:rPr>
        <w:t>9</w:t>
      </w:r>
      <w:r>
        <w:rPr>
          <w:rFonts w:hint="eastAsia" w:ascii="黑体" w:hAnsi="黑体" w:eastAsia="黑体" w:cs="黑体"/>
          <w:b/>
          <w:sz w:val="28"/>
          <w:szCs w:val="28"/>
        </w:rPr>
        <w:fldChar w:fldCharType="end"/>
      </w:r>
      <w:r>
        <w:rPr>
          <w:rFonts w:hint="eastAsia" w:ascii="黑体" w:hAnsi="黑体" w:eastAsia="黑体" w:cs="黑体"/>
          <w:b/>
          <w:sz w:val="28"/>
          <w:szCs w:val="28"/>
        </w:rPr>
        <w:fldChar w:fldCharType="end"/>
      </w:r>
    </w:p>
    <w:p>
      <w:pPr>
        <w:pStyle w:val="20"/>
        <w:tabs>
          <w:tab w:val="right" w:leader="dot" w:pos="8306"/>
        </w:tabs>
        <w:rPr>
          <w:rFonts w:hint="eastAsia" w:ascii="黑体" w:hAnsi="黑体" w:eastAsia="黑体" w:cs="黑体"/>
          <w:b/>
          <w:sz w:val="28"/>
          <w:szCs w:val="28"/>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_Toc7424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第四部分 附件</w:t>
      </w:r>
      <w:r>
        <w:rPr>
          <w:rFonts w:hint="eastAsia" w:ascii="黑体" w:hAnsi="黑体" w:eastAsia="黑体" w:cs="黑体"/>
          <w:b/>
          <w:sz w:val="28"/>
          <w:szCs w:val="28"/>
        </w:rPr>
        <w:tab/>
      </w: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PAGEREF _Toc7424 \h </w:instrText>
      </w:r>
      <w:r>
        <w:rPr>
          <w:rFonts w:hint="eastAsia" w:ascii="黑体" w:hAnsi="黑体" w:eastAsia="黑体" w:cs="黑体"/>
          <w:b/>
          <w:sz w:val="28"/>
          <w:szCs w:val="28"/>
        </w:rPr>
        <w:fldChar w:fldCharType="separate"/>
      </w:r>
      <w:r>
        <w:rPr>
          <w:rFonts w:hint="eastAsia" w:ascii="黑体" w:hAnsi="黑体" w:eastAsia="黑体" w:cs="黑体"/>
          <w:b/>
          <w:sz w:val="28"/>
          <w:szCs w:val="28"/>
        </w:rPr>
        <w:t>2</w:t>
      </w:r>
      <w:r>
        <w:rPr>
          <w:rFonts w:hint="eastAsia" w:ascii="黑体" w:hAnsi="黑体" w:eastAsia="黑体" w:cs="黑体"/>
          <w:b/>
          <w:sz w:val="28"/>
          <w:szCs w:val="28"/>
          <w:lang w:val="en-US" w:eastAsia="zh-CN"/>
        </w:rPr>
        <w:t>2</w:t>
      </w:r>
      <w:r>
        <w:rPr>
          <w:rFonts w:hint="eastAsia" w:ascii="黑体" w:hAnsi="黑体" w:eastAsia="黑体" w:cs="黑体"/>
          <w:b/>
          <w:sz w:val="28"/>
          <w:szCs w:val="28"/>
        </w:rPr>
        <w:fldChar w:fldCharType="end"/>
      </w:r>
      <w:r>
        <w:rPr>
          <w:rFonts w:hint="eastAsia" w:ascii="黑体" w:hAnsi="黑体" w:eastAsia="黑体" w:cs="黑体"/>
          <w:b/>
          <w:sz w:val="28"/>
          <w:szCs w:val="28"/>
        </w:rPr>
        <w:fldChar w:fldCharType="end"/>
      </w:r>
    </w:p>
    <w:p>
      <w:pPr>
        <w:pStyle w:val="20"/>
        <w:tabs>
          <w:tab w:val="right" w:leader="dot" w:pos="8306"/>
        </w:tabs>
        <w:rPr>
          <w:rFonts w:hint="eastAsia" w:ascii="黑体" w:hAnsi="黑体" w:eastAsia="黑体" w:cs="黑体"/>
          <w:b/>
          <w:sz w:val="28"/>
          <w:szCs w:val="28"/>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_Toc26269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第五部分 附表</w:t>
      </w:r>
      <w:r>
        <w:rPr>
          <w:rFonts w:hint="eastAsia" w:ascii="黑体" w:hAnsi="黑体" w:eastAsia="黑体" w:cs="黑体"/>
          <w:b/>
          <w:sz w:val="28"/>
          <w:szCs w:val="28"/>
        </w:rPr>
        <w:tab/>
      </w: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PAGEREF _Toc26269 \h </w:instrText>
      </w:r>
      <w:r>
        <w:rPr>
          <w:rFonts w:hint="eastAsia" w:ascii="黑体" w:hAnsi="黑体" w:eastAsia="黑体" w:cs="黑体"/>
          <w:b/>
          <w:sz w:val="28"/>
          <w:szCs w:val="28"/>
        </w:rPr>
        <w:fldChar w:fldCharType="separate"/>
      </w:r>
      <w:r>
        <w:rPr>
          <w:rFonts w:hint="eastAsia" w:ascii="黑体" w:hAnsi="黑体" w:eastAsia="黑体" w:cs="黑体"/>
          <w:b/>
          <w:sz w:val="28"/>
          <w:szCs w:val="28"/>
        </w:rPr>
        <w:t>2</w:t>
      </w:r>
      <w:r>
        <w:rPr>
          <w:rFonts w:hint="eastAsia" w:ascii="黑体" w:hAnsi="黑体" w:eastAsia="黑体" w:cs="黑体"/>
          <w:b/>
          <w:sz w:val="28"/>
          <w:szCs w:val="28"/>
          <w:lang w:val="en-US" w:eastAsia="zh-CN"/>
        </w:rPr>
        <w:t>9</w:t>
      </w:r>
      <w:r>
        <w:rPr>
          <w:rFonts w:hint="eastAsia" w:ascii="黑体" w:hAnsi="黑体" w:eastAsia="黑体" w:cs="黑体"/>
          <w:b/>
          <w:sz w:val="28"/>
          <w:szCs w:val="28"/>
        </w:rPr>
        <w:fldChar w:fldCharType="end"/>
      </w:r>
      <w:r>
        <w:rPr>
          <w:rFonts w:hint="eastAsia" w:ascii="黑体" w:hAnsi="黑体" w:eastAsia="黑体" w:cs="黑体"/>
          <w:b/>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_Toc25972 </w:instrText>
      </w:r>
      <w:r>
        <w:rPr>
          <w:rFonts w:hint="eastAsia" w:ascii="黑体" w:hAnsi="黑体" w:eastAsia="黑体" w:cs="黑体"/>
          <w:sz w:val="28"/>
          <w:szCs w:val="28"/>
        </w:rPr>
        <w:fldChar w:fldCharType="separate"/>
      </w:r>
      <w:r>
        <w:rPr>
          <w:rFonts w:hint="eastAsia" w:ascii="黑体" w:hAnsi="黑体" w:eastAsia="黑体" w:cs="黑体"/>
          <w:sz w:val="28"/>
          <w:szCs w:val="28"/>
        </w:rPr>
        <w:t>一、收</w:t>
      </w:r>
      <w:r>
        <w:rPr>
          <w:rFonts w:hint="eastAsia" w:ascii="黑体" w:hAnsi="黑体" w:eastAsia="黑体" w:cs="黑体"/>
          <w:bCs w:val="0"/>
          <w:sz w:val="28"/>
          <w:szCs w:val="28"/>
        </w:rPr>
        <w:t>入支出决算总表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_Toc25972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_Toc27742 </w:instrText>
      </w:r>
      <w:r>
        <w:rPr>
          <w:rFonts w:hint="eastAsia" w:ascii="黑体" w:hAnsi="黑体" w:eastAsia="黑体" w:cs="黑体"/>
          <w:sz w:val="28"/>
          <w:szCs w:val="28"/>
        </w:rPr>
        <w:fldChar w:fldCharType="separate"/>
      </w:r>
      <w:r>
        <w:rPr>
          <w:rFonts w:hint="eastAsia" w:ascii="黑体" w:hAnsi="黑体" w:eastAsia="黑体" w:cs="黑体"/>
          <w:sz w:val="28"/>
          <w:szCs w:val="28"/>
        </w:rPr>
        <w:t>二、收</w:t>
      </w:r>
      <w:r>
        <w:rPr>
          <w:rFonts w:hint="eastAsia" w:ascii="黑体" w:hAnsi="黑体" w:eastAsia="黑体" w:cs="黑体"/>
          <w:bCs w:val="0"/>
          <w:sz w:val="28"/>
          <w:szCs w:val="28"/>
        </w:rPr>
        <w:t>入决算表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_Toc27742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_Toc20798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三、</w:t>
      </w:r>
      <w:r>
        <w:rPr>
          <w:rFonts w:hint="eastAsia" w:ascii="黑体" w:hAnsi="黑体" w:eastAsia="黑体" w:cs="黑体"/>
          <w:sz w:val="28"/>
          <w:szCs w:val="28"/>
        </w:rPr>
        <w:t>支</w:t>
      </w:r>
      <w:r>
        <w:rPr>
          <w:rFonts w:hint="eastAsia" w:ascii="黑体" w:hAnsi="黑体" w:eastAsia="黑体" w:cs="黑体"/>
          <w:bCs w:val="0"/>
          <w:sz w:val="28"/>
          <w:szCs w:val="28"/>
        </w:rPr>
        <w:t>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_Toc20798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_Toc27120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四、</w:t>
      </w:r>
      <w:r>
        <w:rPr>
          <w:rFonts w:hint="eastAsia" w:ascii="黑体" w:hAnsi="黑体" w:eastAsia="黑体" w:cs="黑体"/>
          <w:sz w:val="28"/>
          <w:szCs w:val="28"/>
        </w:rPr>
        <w:t>财</w:t>
      </w:r>
      <w:r>
        <w:rPr>
          <w:rFonts w:hint="eastAsia" w:ascii="黑体" w:hAnsi="黑体" w:eastAsia="黑体" w:cs="黑体"/>
          <w:bCs w:val="0"/>
          <w:sz w:val="28"/>
          <w:szCs w:val="28"/>
        </w:rPr>
        <w:t>政拨款收入支出决算总表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_Toc27120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_Toc27988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五、</w:t>
      </w:r>
      <w:r>
        <w:rPr>
          <w:rFonts w:hint="eastAsia" w:ascii="黑体" w:hAnsi="黑体" w:eastAsia="黑体" w:cs="黑体"/>
          <w:sz w:val="28"/>
          <w:szCs w:val="28"/>
        </w:rPr>
        <w:t>财</w:t>
      </w:r>
      <w:r>
        <w:rPr>
          <w:rFonts w:hint="eastAsia" w:ascii="黑体" w:hAnsi="黑体" w:eastAsia="黑体" w:cs="黑体"/>
          <w:bCs w:val="0"/>
          <w:sz w:val="28"/>
          <w:szCs w:val="28"/>
        </w:rPr>
        <w:t>政拨款支出决算明细表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_Toc27988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_Toc20587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六、</w:t>
      </w:r>
      <w:r>
        <w:rPr>
          <w:rFonts w:hint="eastAsia" w:ascii="黑体" w:hAnsi="黑体" w:eastAsia="黑体" w:cs="黑体"/>
          <w:sz w:val="28"/>
          <w:szCs w:val="28"/>
        </w:rPr>
        <w:t>一</w:t>
      </w:r>
      <w:r>
        <w:rPr>
          <w:rFonts w:hint="eastAsia" w:ascii="黑体" w:hAnsi="黑体" w:eastAsia="黑体" w:cs="黑体"/>
          <w:bCs w:val="0"/>
          <w:sz w:val="28"/>
          <w:szCs w:val="28"/>
        </w:rPr>
        <w:t>般公共预算财政拨款支出决算表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_Toc20587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_Toc7758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七、</w:t>
      </w:r>
      <w:r>
        <w:rPr>
          <w:rFonts w:hint="eastAsia" w:ascii="黑体" w:hAnsi="黑体" w:eastAsia="黑体" w:cs="黑体"/>
          <w:sz w:val="28"/>
          <w:szCs w:val="28"/>
        </w:rPr>
        <w:t>一</w:t>
      </w:r>
      <w:r>
        <w:rPr>
          <w:rFonts w:hint="eastAsia" w:ascii="黑体" w:hAnsi="黑体" w:eastAsia="黑体" w:cs="黑体"/>
          <w:bCs w:val="0"/>
          <w:sz w:val="28"/>
          <w:szCs w:val="28"/>
        </w:rPr>
        <w:t>般公共预算财政拨款支出决算明细表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_Toc7758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_Toc21088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八、</w:t>
      </w:r>
      <w:r>
        <w:rPr>
          <w:rFonts w:hint="eastAsia" w:ascii="黑体" w:hAnsi="黑体" w:eastAsia="黑体" w:cs="黑体"/>
          <w:sz w:val="28"/>
          <w:szCs w:val="28"/>
        </w:rPr>
        <w:t>一</w:t>
      </w:r>
      <w:r>
        <w:rPr>
          <w:rFonts w:hint="eastAsia" w:ascii="黑体" w:hAnsi="黑体" w:eastAsia="黑体" w:cs="黑体"/>
          <w:bCs w:val="0"/>
          <w:sz w:val="28"/>
          <w:szCs w:val="28"/>
        </w:rPr>
        <w:t>般公共预算财政拨款基本支出决算表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_Toc21088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_Toc4970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九、</w:t>
      </w:r>
      <w:r>
        <w:rPr>
          <w:rFonts w:hint="eastAsia" w:ascii="黑体" w:hAnsi="黑体" w:eastAsia="黑体" w:cs="黑体"/>
          <w:sz w:val="28"/>
          <w:szCs w:val="28"/>
        </w:rPr>
        <w:t>一</w:t>
      </w:r>
      <w:r>
        <w:rPr>
          <w:rFonts w:hint="eastAsia" w:ascii="黑体" w:hAnsi="黑体" w:eastAsia="黑体" w:cs="黑体"/>
          <w:bCs w:val="0"/>
          <w:sz w:val="28"/>
          <w:szCs w:val="28"/>
        </w:rPr>
        <w:t>般公共预算财政拨款项目支出决算表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_Toc4970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_Toc21820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w:t>
      </w:r>
      <w:r>
        <w:rPr>
          <w:rFonts w:hint="eastAsia" w:ascii="黑体" w:hAnsi="黑体" w:eastAsia="黑体" w:cs="黑体"/>
          <w:sz w:val="28"/>
          <w:szCs w:val="28"/>
        </w:rPr>
        <w:t>一</w:t>
      </w:r>
      <w:r>
        <w:rPr>
          <w:rFonts w:hint="eastAsia" w:ascii="黑体" w:hAnsi="黑体" w:eastAsia="黑体" w:cs="黑体"/>
          <w:bCs w:val="0"/>
          <w:sz w:val="28"/>
          <w:szCs w:val="28"/>
        </w:rPr>
        <w:t>般公共预算财政拨款“三公”经费支出决算表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_Toc21820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_Toc27362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十一、</w:t>
      </w:r>
      <w:r>
        <w:rPr>
          <w:rFonts w:hint="eastAsia" w:ascii="黑体" w:hAnsi="黑体" w:eastAsia="黑体" w:cs="黑体"/>
          <w:sz w:val="28"/>
          <w:szCs w:val="28"/>
        </w:rPr>
        <w:t>政</w:t>
      </w:r>
      <w:r>
        <w:rPr>
          <w:rFonts w:hint="eastAsia" w:ascii="黑体" w:hAnsi="黑体" w:eastAsia="黑体" w:cs="黑体"/>
          <w:bCs w:val="0"/>
          <w:sz w:val="28"/>
          <w:szCs w:val="28"/>
        </w:rPr>
        <w:t>府性基金预算财政拨款收入支出决算表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_Toc27362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_Toc6863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十二、</w:t>
      </w:r>
      <w:r>
        <w:rPr>
          <w:rFonts w:hint="eastAsia" w:ascii="黑体" w:hAnsi="黑体" w:eastAsia="黑体" w:cs="黑体"/>
          <w:sz w:val="28"/>
          <w:szCs w:val="28"/>
        </w:rPr>
        <w:t>政</w:t>
      </w:r>
      <w:r>
        <w:rPr>
          <w:rFonts w:hint="eastAsia" w:ascii="黑体" w:hAnsi="黑体" w:eastAsia="黑体" w:cs="黑体"/>
          <w:bCs w:val="0"/>
          <w:sz w:val="28"/>
          <w:szCs w:val="28"/>
        </w:rPr>
        <w:t>府性基金预算财政拨款“三公”经费支出决算表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_Toc6863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_Toc29145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十三、</w:t>
      </w:r>
      <w:r>
        <w:rPr>
          <w:rFonts w:hint="eastAsia" w:ascii="黑体" w:hAnsi="黑体" w:eastAsia="黑体" w:cs="黑体"/>
          <w:sz w:val="28"/>
          <w:szCs w:val="28"/>
        </w:rPr>
        <w:t>国</w:t>
      </w:r>
      <w:r>
        <w:rPr>
          <w:rFonts w:hint="eastAsia" w:ascii="黑体" w:hAnsi="黑体" w:eastAsia="黑体" w:cs="黑体"/>
          <w:bCs w:val="0"/>
          <w:sz w:val="28"/>
          <w:szCs w:val="28"/>
        </w:rPr>
        <w:t>有资本经营预算财政拨款收入支出决算表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_Toc29145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21"/>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_Toc19449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十四、国有资本经营预算财政拨款支出决算表</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_Toc19449 \h </w:instrText>
      </w:r>
      <w:r>
        <w:rPr>
          <w:rFonts w:hint="eastAsia" w:ascii="黑体" w:hAnsi="黑体" w:eastAsia="黑体" w:cs="黑体"/>
          <w:sz w:val="28"/>
          <w:szCs w:val="28"/>
        </w:rPr>
        <w:fldChar w:fldCharType="separate"/>
      </w:r>
      <w:r>
        <w:rPr>
          <w:rFonts w:hint="eastAsia" w:ascii="黑体" w:hAnsi="黑体" w:eastAsia="黑体" w:cs="黑体"/>
          <w:sz w:val="28"/>
          <w:szCs w:val="28"/>
        </w:rPr>
        <w:t>2</w:t>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widowControl/>
        <w:adjustRightInd w:val="0"/>
        <w:snapToGrid w:val="0"/>
        <w:spacing w:line="440" w:lineRule="exact"/>
        <w:ind w:firstLine="1160" w:firstLineChars="550"/>
        <w:jc w:val="left"/>
        <w:rPr>
          <w:rFonts w:ascii="仿宋" w:hAnsi="仿宋" w:eastAsia="仿宋"/>
          <w:sz w:val="24"/>
        </w:rPr>
      </w:pPr>
      <w:r>
        <w:rPr>
          <w:b/>
        </w:rPr>
        <w:fldChar w:fldCharType="end"/>
      </w:r>
    </w:p>
    <w:p>
      <w:pPr>
        <w:widowControl/>
        <w:spacing w:line="440" w:lineRule="exact"/>
        <w:jc w:val="left"/>
        <w:rPr>
          <w:rFonts w:ascii="仿宋" w:hAnsi="仿宋" w:eastAsia="仿宋"/>
          <w:bCs/>
          <w:kern w:val="44"/>
          <w:sz w:val="24"/>
        </w:rPr>
      </w:pPr>
      <w:bookmarkStart w:id="15" w:name="_Toc15396599"/>
      <w:bookmarkStart w:id="16" w:name="_Toc15377196"/>
      <w:r>
        <w:rPr>
          <w:rFonts w:ascii="仿宋" w:hAnsi="仿宋" w:eastAsia="仿宋"/>
          <w:b/>
          <w:sz w:val="24"/>
        </w:rPr>
        <w:br w:type="page"/>
      </w:r>
    </w:p>
    <w:p>
      <w:pPr>
        <w:pStyle w:val="3"/>
        <w:jc w:val="center"/>
        <w:rPr>
          <w:rStyle w:val="28"/>
          <w:rFonts w:ascii="黑体" w:hAnsi="黑体" w:eastAsia="黑体"/>
          <w:b/>
          <w:bCs w:val="0"/>
        </w:rPr>
      </w:pPr>
      <w:bookmarkStart w:id="17" w:name="_Toc220"/>
      <w:r>
        <w:rPr>
          <w:rFonts w:hint="eastAsia" w:ascii="黑体" w:hAnsi="黑体" w:eastAsia="黑体"/>
          <w:b w:val="0"/>
        </w:rPr>
        <w:t>第一部分 单位</w:t>
      </w:r>
      <w:r>
        <w:rPr>
          <w:rStyle w:val="28"/>
          <w:rFonts w:hint="eastAsia" w:ascii="黑体" w:hAnsi="黑体" w:eastAsia="黑体"/>
          <w:b w:val="0"/>
          <w:bCs w:val="0"/>
        </w:rPr>
        <w:t>概况</w:t>
      </w:r>
      <w:bookmarkEnd w:id="15"/>
      <w:bookmarkEnd w:id="16"/>
      <w:bookmarkEnd w:id="17"/>
    </w:p>
    <w:p>
      <w:pPr>
        <w:widowControl/>
        <w:jc w:val="left"/>
        <w:rPr>
          <w:rFonts w:ascii="黑体" w:eastAsia="黑体"/>
          <w:sz w:val="32"/>
          <w:szCs w:val="32"/>
        </w:rPr>
      </w:pPr>
    </w:p>
    <w:p>
      <w:pPr>
        <w:pStyle w:val="4"/>
        <w:numPr>
          <w:ilvl w:val="0"/>
          <w:numId w:val="1"/>
        </w:numPr>
      </w:pPr>
      <w:bookmarkStart w:id="18" w:name="_Toc20849"/>
      <w:bookmarkStart w:id="19" w:name="_Toc15377197"/>
      <w:bookmarkStart w:id="20" w:name="_Toc15396600"/>
      <w:r>
        <w:rPr>
          <w:rStyle w:val="29"/>
          <w:rFonts w:hint="eastAsia" w:ascii="黑体" w:hAnsi="黑体" w:eastAsia="黑体"/>
          <w:b w:val="0"/>
          <w:bCs w:val="0"/>
        </w:rPr>
        <w:t>职能简介</w:t>
      </w:r>
      <w:bookmarkEnd w:id="18"/>
    </w:p>
    <w:p>
      <w:pPr>
        <w:pStyle w:val="2"/>
        <w:adjustRightInd w:val="0"/>
        <w:snapToGrid w:val="0"/>
        <w:spacing w:before="93" w:line="600" w:lineRule="exact"/>
        <w:ind w:firstLine="672" w:firstLineChars="210"/>
        <w:outlineLvl w:val="2"/>
        <w:rPr>
          <w:rFonts w:hint="eastAsia" w:ascii="仿宋" w:hAnsi="仿宋" w:eastAsia="仿宋" w:cs="仿宋"/>
          <w:sz w:val="32"/>
          <w:szCs w:val="32"/>
          <w:lang w:val="zh-CN"/>
        </w:rPr>
      </w:pPr>
      <w:r>
        <w:rPr>
          <w:rStyle w:val="29"/>
          <w:rFonts w:hint="eastAsia" w:ascii="黑体" w:hAnsi="黑体" w:eastAsia="黑体"/>
          <w:b w:val="0"/>
          <w:bCs w:val="0"/>
          <w:lang w:val="en-US" w:eastAsia="zh-CN"/>
        </w:rPr>
        <w:t xml:space="preserve">    </w:t>
      </w:r>
      <w:r>
        <w:rPr>
          <w:rFonts w:hint="eastAsia" w:ascii="仿宋" w:hAnsi="仿宋" w:eastAsia="仿宋" w:cs="仿宋"/>
          <w:sz w:val="32"/>
          <w:szCs w:val="32"/>
          <w:lang w:val="en-US" w:eastAsia="zh-CN"/>
        </w:rPr>
        <w:t>2</w:t>
      </w:r>
      <w:r>
        <w:rPr>
          <w:rFonts w:hint="eastAsia" w:ascii="仿宋" w:hAnsi="仿宋" w:eastAsia="仿宋" w:cs="仿宋"/>
          <w:sz w:val="32"/>
          <w:szCs w:val="32"/>
        </w:rPr>
        <w:t>0</w:t>
      </w:r>
      <w:r>
        <w:rPr>
          <w:rFonts w:hint="eastAsia" w:ascii="仿宋" w:hAnsi="仿宋" w:eastAsia="仿宋" w:cs="仿宋"/>
          <w:sz w:val="32"/>
          <w:szCs w:val="32"/>
          <w:lang w:val="en-US" w:eastAsia="zh-CN"/>
        </w:rPr>
        <w:t>21</w:t>
      </w:r>
      <w:r>
        <w:rPr>
          <w:rFonts w:hint="eastAsia" w:ascii="仿宋" w:hAnsi="仿宋" w:eastAsia="仿宋" w:cs="仿宋"/>
          <w:sz w:val="32"/>
          <w:szCs w:val="32"/>
          <w:lang w:val="zh-CN"/>
        </w:rPr>
        <w:t>年度，在县委县政府、县卫健局的正确领导下，我院紧紧围绕医药卫生体制改革的大政方针，与各职能单位通力协作，经过所属各科室的敬业奋斗，突出以深化基本药物制度改革和基本公共卫生服务管理，巩固</w:t>
      </w:r>
      <w:r>
        <w:rPr>
          <w:rFonts w:hint="eastAsia" w:ascii="仿宋" w:hAnsi="仿宋" w:eastAsia="仿宋" w:cs="仿宋"/>
          <w:sz w:val="32"/>
          <w:szCs w:val="32"/>
          <w:lang w:val="zh-CN" w:eastAsia="zh-CN"/>
        </w:rPr>
        <w:t>城乡居民医保</w:t>
      </w:r>
      <w:r>
        <w:rPr>
          <w:rFonts w:hint="eastAsia" w:ascii="仿宋" w:hAnsi="仿宋" w:eastAsia="仿宋" w:cs="仿宋"/>
          <w:sz w:val="32"/>
          <w:szCs w:val="32"/>
          <w:lang w:val="zh-CN"/>
        </w:rPr>
        <w:t>政策的推进，推行绩效工资改革，细化乡村一体化管理，强化专项资金管理，圆满完成了年初的预算计划。</w:t>
      </w:r>
    </w:p>
    <w:p>
      <w:pPr>
        <w:autoSpaceDE w:val="0"/>
        <w:autoSpaceDN w:val="0"/>
        <w:adjustRightInd w:val="0"/>
        <w:ind w:firstLine="570"/>
        <w:rPr>
          <w:rFonts w:hint="eastAsia" w:ascii="仿宋" w:hAnsi="仿宋" w:eastAsia="仿宋" w:cs="仿宋"/>
          <w:sz w:val="32"/>
          <w:szCs w:val="32"/>
          <w:lang w:val="zh-CN"/>
        </w:rPr>
      </w:pPr>
      <w:r>
        <w:rPr>
          <w:rFonts w:hint="eastAsia" w:ascii="仿宋" w:hAnsi="仿宋" w:eastAsia="仿宋" w:cs="仿宋"/>
          <w:color w:val="000000"/>
          <w:sz w:val="32"/>
          <w:szCs w:val="32"/>
        </w:rPr>
        <w:t>盐边县</w:t>
      </w:r>
      <w:r>
        <w:rPr>
          <w:rFonts w:hint="eastAsia" w:ascii="仿宋" w:hAnsi="仿宋" w:eastAsia="仿宋" w:cs="仿宋"/>
          <w:color w:val="000000"/>
          <w:sz w:val="32"/>
          <w:szCs w:val="32"/>
          <w:lang w:eastAsia="zh-CN"/>
        </w:rPr>
        <w:t>红宝苗族彝族乡</w:t>
      </w:r>
      <w:r>
        <w:rPr>
          <w:rFonts w:hint="eastAsia" w:ascii="仿宋" w:hAnsi="仿宋" w:eastAsia="仿宋" w:cs="仿宋"/>
          <w:color w:val="000000"/>
          <w:sz w:val="32"/>
          <w:szCs w:val="32"/>
        </w:rPr>
        <w:t>卫生院属于财政拨款单位，担负着全乡</w:t>
      </w:r>
      <w:r>
        <w:rPr>
          <w:rFonts w:hint="eastAsia" w:ascii="仿宋" w:hAnsi="仿宋" w:eastAsia="仿宋" w:cs="仿宋"/>
          <w:color w:val="000000"/>
          <w:sz w:val="32"/>
          <w:szCs w:val="32"/>
          <w:lang w:val="en-US" w:eastAsia="zh-CN"/>
        </w:rPr>
        <w:t>4863</w:t>
      </w:r>
      <w:r>
        <w:rPr>
          <w:rFonts w:hint="eastAsia" w:ascii="仿宋" w:hAnsi="仿宋" w:eastAsia="仿宋" w:cs="仿宋"/>
          <w:color w:val="000000"/>
          <w:sz w:val="32"/>
          <w:szCs w:val="32"/>
        </w:rPr>
        <w:t>人的基本医疗</w:t>
      </w:r>
      <w:r>
        <w:rPr>
          <w:rFonts w:hint="eastAsia" w:ascii="仿宋" w:hAnsi="仿宋" w:eastAsia="仿宋" w:cs="仿宋"/>
          <w:color w:val="000000"/>
          <w:sz w:val="32"/>
          <w:szCs w:val="32"/>
          <w:lang w:eastAsia="zh-CN"/>
        </w:rPr>
        <w:t>及</w:t>
      </w:r>
      <w:r>
        <w:rPr>
          <w:rFonts w:hint="eastAsia" w:ascii="仿宋" w:hAnsi="仿宋" w:eastAsia="仿宋" w:cs="仿宋"/>
          <w:color w:val="000000"/>
          <w:sz w:val="32"/>
          <w:szCs w:val="32"/>
        </w:rPr>
        <w:t>基本公共卫生</w:t>
      </w:r>
      <w:r>
        <w:rPr>
          <w:rFonts w:hint="eastAsia" w:ascii="仿宋" w:hAnsi="仿宋" w:eastAsia="仿宋" w:cs="仿宋"/>
          <w:color w:val="000000"/>
          <w:sz w:val="32"/>
          <w:szCs w:val="32"/>
          <w:lang w:eastAsia="zh-CN"/>
        </w:rPr>
        <w:t>服务等医疗工作</w:t>
      </w:r>
      <w:r>
        <w:rPr>
          <w:rFonts w:hint="eastAsia" w:ascii="仿宋" w:hAnsi="仿宋" w:eastAsia="仿宋" w:cs="仿宋"/>
          <w:color w:val="000000"/>
          <w:sz w:val="32"/>
          <w:szCs w:val="32"/>
        </w:rPr>
        <w:t>。</w:t>
      </w:r>
      <w:r>
        <w:rPr>
          <w:rFonts w:hint="eastAsia" w:ascii="仿宋" w:hAnsi="仿宋" w:eastAsia="仿宋" w:cs="仿宋"/>
          <w:sz w:val="32"/>
          <w:szCs w:val="32"/>
          <w:lang w:val="zh-CN"/>
        </w:rPr>
        <w:t>我院所辖村卫生室</w:t>
      </w:r>
      <w:r>
        <w:rPr>
          <w:rFonts w:hint="eastAsia" w:ascii="仿宋" w:hAnsi="仿宋" w:eastAsia="仿宋" w:cs="仿宋"/>
          <w:sz w:val="32"/>
          <w:szCs w:val="32"/>
          <w:lang w:val="en-US" w:eastAsia="zh-CN"/>
        </w:rPr>
        <w:t>5</w:t>
      </w:r>
      <w:r>
        <w:rPr>
          <w:rFonts w:hint="eastAsia" w:ascii="仿宋" w:hAnsi="仿宋" w:eastAsia="仿宋" w:cs="仿宋"/>
          <w:sz w:val="32"/>
          <w:szCs w:val="32"/>
          <w:lang w:val="zh-CN"/>
        </w:rPr>
        <w:t>个，其中非营业性的</w:t>
      </w:r>
      <w:r>
        <w:rPr>
          <w:rFonts w:hint="eastAsia" w:ascii="仿宋" w:hAnsi="仿宋" w:eastAsia="仿宋" w:cs="仿宋"/>
          <w:sz w:val="32"/>
          <w:szCs w:val="32"/>
          <w:lang w:val="en-US" w:eastAsia="zh-CN"/>
        </w:rPr>
        <w:t>5</w:t>
      </w:r>
      <w:r>
        <w:rPr>
          <w:rFonts w:hint="eastAsia" w:ascii="仿宋" w:hAnsi="仿宋" w:eastAsia="仿宋" w:cs="仿宋"/>
          <w:sz w:val="32"/>
          <w:szCs w:val="32"/>
          <w:lang w:val="zh-CN"/>
        </w:rPr>
        <w:t>个。各村卫生室均全部实施国家基本药物制度，并且全部实行基本药物零差率销售。</w:t>
      </w:r>
    </w:p>
    <w:p>
      <w:pPr>
        <w:autoSpaceDE w:val="0"/>
        <w:autoSpaceDN w:val="0"/>
        <w:adjustRightInd w:val="0"/>
        <w:ind w:firstLine="570"/>
        <w:rPr>
          <w:rFonts w:hint="eastAsia" w:ascii="仿宋_GB2312" w:hAnsi="仿宋" w:eastAsia="仿宋_GB2312"/>
          <w:sz w:val="32"/>
          <w:szCs w:val="32"/>
        </w:rPr>
      </w:pPr>
      <w:r>
        <w:rPr>
          <w:rFonts w:hint="eastAsia" w:ascii="仿宋" w:hAnsi="仿宋" w:eastAsia="仿宋" w:cs="仿宋"/>
          <w:color w:val="auto"/>
          <w:sz w:val="32"/>
          <w:szCs w:val="32"/>
          <w:lang w:val="zh-CN"/>
        </w:rPr>
        <w:t>我院核定编制人数</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val="zh-CN"/>
        </w:rPr>
        <w:t>人，实际在编职</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val="zh-CN"/>
        </w:rPr>
        <w:t>人</w:t>
      </w:r>
      <w:r>
        <w:rPr>
          <w:rFonts w:hint="eastAsia" w:ascii="仿宋" w:hAnsi="仿宋" w:eastAsia="仿宋" w:cs="仿宋"/>
          <w:color w:val="auto"/>
          <w:sz w:val="32"/>
          <w:szCs w:val="32"/>
          <w:lang w:val="en-US" w:eastAsia="zh-CN"/>
        </w:rPr>
        <w:t>(其中</w:t>
      </w:r>
      <w:r>
        <w:rPr>
          <w:rFonts w:hint="eastAsia" w:ascii="仿宋" w:hAnsi="仿宋" w:eastAsia="仿宋" w:cs="仿宋"/>
          <w:color w:val="auto"/>
          <w:sz w:val="32"/>
          <w:szCs w:val="32"/>
          <w:lang w:val="zh-CN"/>
        </w:rPr>
        <w:t>1人</w:t>
      </w:r>
      <w:r>
        <w:rPr>
          <w:rFonts w:hint="eastAsia" w:ascii="仿宋" w:hAnsi="仿宋" w:eastAsia="仿宋" w:cs="仿宋"/>
          <w:color w:val="auto"/>
          <w:sz w:val="32"/>
          <w:szCs w:val="32"/>
          <w:lang w:val="en-US" w:eastAsia="zh-CN"/>
        </w:rPr>
        <w:t>借调县卫健局</w:t>
      </w:r>
      <w:r>
        <w:rPr>
          <w:rFonts w:hint="eastAsia" w:ascii="仿宋" w:hAnsi="仿宋" w:eastAsia="仿宋" w:cs="仿宋"/>
          <w:color w:val="auto"/>
          <w:sz w:val="32"/>
          <w:szCs w:val="32"/>
          <w:lang w:val="zh-CN"/>
        </w:rPr>
        <w:t>，</w:t>
      </w:r>
      <w:r>
        <w:rPr>
          <w:rFonts w:hint="eastAsia" w:ascii="仿宋" w:hAnsi="仿宋" w:eastAsia="仿宋" w:cs="仿宋"/>
          <w:color w:val="auto"/>
          <w:sz w:val="32"/>
          <w:szCs w:val="32"/>
          <w:lang w:val="en-US" w:eastAsia="zh-CN"/>
        </w:rPr>
        <w:t>1人2018年7月起市中心医院规培,1人借调盐边县中医院，1人借调盐边县第二人民医院)</w:t>
      </w:r>
      <w:r>
        <w:rPr>
          <w:rFonts w:hint="eastAsia" w:ascii="仿宋" w:hAnsi="仿宋" w:eastAsia="仿宋" w:cs="仿宋"/>
          <w:color w:val="auto"/>
          <w:sz w:val="32"/>
          <w:szCs w:val="32"/>
          <w:lang w:val="zh-CN"/>
        </w:rPr>
        <w:t>，管理岗位核定</w:t>
      </w:r>
      <w:r>
        <w:rPr>
          <w:rFonts w:hint="eastAsia" w:ascii="仿宋" w:hAnsi="仿宋" w:eastAsia="仿宋" w:cs="仿宋"/>
          <w:color w:val="auto"/>
          <w:sz w:val="32"/>
          <w:szCs w:val="32"/>
        </w:rPr>
        <w:t>1人，实际管理岗位1人，</w:t>
      </w:r>
      <w:r>
        <w:rPr>
          <w:rFonts w:hint="eastAsia" w:ascii="仿宋" w:hAnsi="仿宋" w:eastAsia="仿宋" w:cs="仿宋"/>
          <w:color w:val="auto"/>
          <w:sz w:val="32"/>
          <w:szCs w:val="32"/>
          <w:lang w:val="zh-CN"/>
        </w:rPr>
        <w:t>执业医师1人，阳光天使2人，临时工</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val="zh-CN"/>
        </w:rPr>
        <w:t>人，实际在职职工</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lang w:val="zh-CN"/>
        </w:rPr>
        <w:t>人（其中从事基本公共卫生服务人员</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val="zh-CN"/>
        </w:rPr>
        <w:t>人），退休</w:t>
      </w:r>
      <w:r>
        <w:rPr>
          <w:rFonts w:hint="eastAsia" w:ascii="仿宋" w:hAnsi="仿宋" w:eastAsia="仿宋" w:cs="仿宋"/>
          <w:color w:val="auto"/>
          <w:sz w:val="32"/>
          <w:szCs w:val="32"/>
        </w:rPr>
        <w:t>2</w:t>
      </w:r>
      <w:r>
        <w:rPr>
          <w:rFonts w:hint="eastAsia" w:ascii="仿宋" w:hAnsi="仿宋" w:eastAsia="仿宋" w:cs="仿宋"/>
          <w:color w:val="auto"/>
          <w:sz w:val="32"/>
          <w:szCs w:val="32"/>
          <w:lang w:val="zh-CN"/>
        </w:rPr>
        <w:t>人。</w:t>
      </w:r>
    </w:p>
    <w:p>
      <w:pPr>
        <w:snapToGrid w:val="0"/>
        <w:spacing w:line="520" w:lineRule="exact"/>
        <w:ind w:firstLine="640" w:firstLineChars="200"/>
        <w:rPr>
          <w:rFonts w:hint="eastAsia" w:ascii="仿宋" w:hAnsi="仿宋" w:eastAsia="仿宋" w:cs="仿宋"/>
          <w:color w:val="auto"/>
          <w:sz w:val="32"/>
          <w:szCs w:val="32"/>
          <w:lang w:val="zh-CN"/>
        </w:rPr>
      </w:pPr>
      <w:r>
        <w:rPr>
          <w:rFonts w:hint="eastAsia" w:ascii="仿宋" w:hAnsi="仿宋" w:eastAsia="仿宋" w:cs="仿宋"/>
          <w:sz w:val="32"/>
          <w:szCs w:val="32"/>
          <w:lang w:val="zh-CN"/>
        </w:rPr>
        <w:t>我院编制床位</w:t>
      </w:r>
      <w:r>
        <w:rPr>
          <w:rFonts w:hint="eastAsia" w:ascii="仿宋" w:hAnsi="仿宋" w:eastAsia="仿宋" w:cs="仿宋"/>
          <w:sz w:val="32"/>
          <w:szCs w:val="32"/>
        </w:rPr>
        <w:t>6</w:t>
      </w:r>
      <w:r>
        <w:rPr>
          <w:rFonts w:hint="eastAsia" w:ascii="仿宋" w:hAnsi="仿宋" w:eastAsia="仿宋" w:cs="仿宋"/>
          <w:sz w:val="32"/>
          <w:szCs w:val="32"/>
          <w:lang w:val="zh-CN"/>
        </w:rPr>
        <w:t>张，实际开放床位6张，实际开放床日</w:t>
      </w:r>
      <w:r>
        <w:rPr>
          <w:rFonts w:hint="eastAsia" w:ascii="仿宋" w:hAnsi="仿宋" w:eastAsia="仿宋" w:cs="仿宋"/>
          <w:sz w:val="32"/>
          <w:szCs w:val="32"/>
        </w:rPr>
        <w:t>21</w:t>
      </w:r>
      <w:r>
        <w:rPr>
          <w:rFonts w:hint="eastAsia" w:ascii="仿宋" w:hAnsi="仿宋" w:eastAsia="仿宋" w:cs="仿宋"/>
          <w:sz w:val="32"/>
          <w:szCs w:val="32"/>
          <w:lang w:val="en-US" w:eastAsia="zh-CN"/>
        </w:rPr>
        <w:t>9</w:t>
      </w:r>
      <w:r>
        <w:rPr>
          <w:rFonts w:hint="eastAsia" w:ascii="仿宋" w:hAnsi="仿宋" w:eastAsia="仿宋" w:cs="仿宋"/>
          <w:sz w:val="32"/>
          <w:szCs w:val="32"/>
        </w:rPr>
        <w:t>0</w:t>
      </w:r>
      <w:r>
        <w:rPr>
          <w:rFonts w:hint="eastAsia" w:ascii="仿宋" w:hAnsi="仿宋" w:eastAsia="仿宋" w:cs="仿宋"/>
          <w:sz w:val="32"/>
          <w:szCs w:val="32"/>
          <w:lang w:eastAsia="zh-CN"/>
        </w:rPr>
        <w:t>日</w:t>
      </w:r>
      <w:r>
        <w:rPr>
          <w:rFonts w:hint="eastAsia" w:ascii="仿宋" w:hAnsi="仿宋" w:eastAsia="仿宋" w:cs="仿宋"/>
          <w:sz w:val="32"/>
          <w:szCs w:val="32"/>
          <w:lang w:val="zh-CN"/>
        </w:rPr>
        <w:t>，截止20</w:t>
      </w:r>
      <w:r>
        <w:rPr>
          <w:rFonts w:hint="eastAsia" w:ascii="仿宋" w:hAnsi="仿宋" w:eastAsia="仿宋" w:cs="仿宋"/>
          <w:sz w:val="32"/>
          <w:szCs w:val="32"/>
          <w:lang w:val="en-US" w:eastAsia="zh-CN"/>
        </w:rPr>
        <w:t>21</w:t>
      </w:r>
      <w:r>
        <w:rPr>
          <w:rFonts w:hint="eastAsia" w:ascii="仿宋" w:hAnsi="仿宋" w:eastAsia="仿宋" w:cs="仿宋"/>
          <w:sz w:val="32"/>
          <w:szCs w:val="32"/>
          <w:lang w:val="zh-CN"/>
        </w:rPr>
        <w:t>年12月2</w:t>
      </w:r>
      <w:r>
        <w:rPr>
          <w:rFonts w:hint="eastAsia" w:ascii="仿宋" w:hAnsi="仿宋" w:eastAsia="仿宋" w:cs="仿宋"/>
          <w:sz w:val="32"/>
          <w:szCs w:val="32"/>
          <w:lang w:val="en-US" w:eastAsia="zh-CN"/>
        </w:rPr>
        <w:t>0</w:t>
      </w:r>
      <w:r>
        <w:rPr>
          <w:rFonts w:hint="eastAsia" w:ascii="仿宋" w:hAnsi="仿宋" w:eastAsia="仿宋" w:cs="仿宋"/>
          <w:sz w:val="32"/>
          <w:szCs w:val="32"/>
          <w:lang w:val="zh-CN"/>
        </w:rPr>
        <w:t>日全年门急诊量</w:t>
      </w:r>
      <w:r>
        <w:rPr>
          <w:rFonts w:hint="eastAsia" w:ascii="仿宋" w:hAnsi="仿宋" w:eastAsia="仿宋" w:cs="仿宋"/>
          <w:sz w:val="32"/>
          <w:szCs w:val="32"/>
          <w:lang w:val="en-US" w:eastAsia="zh-CN"/>
        </w:rPr>
        <w:t>1308</w:t>
      </w:r>
      <w:r>
        <w:rPr>
          <w:rFonts w:hint="eastAsia" w:ascii="仿宋" w:hAnsi="仿宋" w:eastAsia="仿宋" w:cs="仿宋"/>
          <w:sz w:val="32"/>
          <w:szCs w:val="32"/>
          <w:lang w:val="zh-CN"/>
        </w:rPr>
        <w:t>人次，无出院病人。</w:t>
      </w:r>
    </w:p>
    <w:p>
      <w:pPr>
        <w:rPr>
          <w:rFonts w:hint="default" w:eastAsia="黑体"/>
          <w:lang w:val="en-US" w:eastAsia="zh-CN"/>
        </w:rPr>
      </w:pPr>
    </w:p>
    <w:p>
      <w:pPr>
        <w:pStyle w:val="4"/>
        <w:rPr>
          <w:rFonts w:hint="eastAsia" w:ascii="黑体" w:hAnsi="黑体" w:eastAsia="黑体"/>
          <w:b w:val="0"/>
        </w:rPr>
      </w:pPr>
      <w:bookmarkStart w:id="21" w:name="_Toc580"/>
      <w:r>
        <w:rPr>
          <w:rFonts w:hint="eastAsia" w:ascii="黑体" w:hAnsi="黑体" w:eastAsia="黑体"/>
          <w:b w:val="0"/>
        </w:rPr>
        <w:t>二、2021年重点工作</w:t>
      </w:r>
      <w:bookmarkEnd w:id="19"/>
      <w:bookmarkEnd w:id="20"/>
      <w:r>
        <w:rPr>
          <w:rFonts w:hint="eastAsia" w:ascii="黑体" w:hAnsi="黑体" w:eastAsia="黑体"/>
          <w:b w:val="0"/>
        </w:rPr>
        <w:t>完成情况</w:t>
      </w:r>
      <w:bookmarkEnd w:id="21"/>
    </w:p>
    <w:p>
      <w:pPr>
        <w:rPr>
          <w:rFonts w:hint="eastAsia" w:ascii="仿宋" w:hAnsi="仿宋" w:eastAsia="仿宋" w:cs="Times New Roman"/>
          <w:sz w:val="32"/>
          <w:szCs w:val="32"/>
          <w:lang w:eastAsia="zh-CN"/>
        </w:rPr>
      </w:pPr>
      <w:r>
        <w:rPr>
          <w:rFonts w:hint="eastAsia" w:ascii="黑体" w:hAnsi="黑体" w:eastAsia="黑体"/>
          <w:b w:val="0"/>
          <w:lang w:val="en-US" w:eastAsia="zh-CN"/>
        </w:rPr>
        <w:t xml:space="preserve">   </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lang w:eastAsia="zh-CN"/>
        </w:rPr>
        <w:t>根据国家确定的基本公共卫生服务项目，通过基层医疗卫生机构，免费向全镇居民提供1</w:t>
      </w:r>
      <w:r>
        <w:rPr>
          <w:rFonts w:hint="eastAsia" w:ascii="仿宋" w:hAnsi="仿宋" w:eastAsia="仿宋" w:cs="Times New Roman"/>
          <w:sz w:val="32"/>
          <w:szCs w:val="32"/>
          <w:lang w:val="en-US" w:eastAsia="zh-CN"/>
        </w:rPr>
        <w:t>4大</w:t>
      </w:r>
      <w:r>
        <w:rPr>
          <w:rFonts w:hint="eastAsia" w:ascii="仿宋" w:hAnsi="仿宋" w:eastAsia="仿宋" w:cs="Times New Roman"/>
          <w:sz w:val="32"/>
          <w:szCs w:val="32"/>
          <w:lang w:eastAsia="zh-CN"/>
        </w:rPr>
        <w:t>类</w:t>
      </w:r>
      <w:r>
        <w:rPr>
          <w:rFonts w:hint="eastAsia" w:ascii="仿宋" w:hAnsi="仿宋" w:eastAsia="仿宋" w:cs="Times New Roman"/>
          <w:sz w:val="32"/>
          <w:szCs w:val="32"/>
          <w:lang w:val="en-US" w:eastAsia="zh-CN"/>
        </w:rPr>
        <w:t>48小项</w:t>
      </w:r>
      <w:r>
        <w:rPr>
          <w:rFonts w:hint="eastAsia" w:ascii="仿宋" w:hAnsi="仿宋" w:eastAsia="仿宋" w:cs="Times New Roman"/>
          <w:sz w:val="32"/>
          <w:szCs w:val="32"/>
          <w:lang w:eastAsia="zh-CN"/>
        </w:rPr>
        <w:t>基本公共卫生服务。</w:t>
      </w:r>
    </w:p>
    <w:p>
      <w:pPr>
        <w:ind w:firstLine="640" w:firstLineChars="200"/>
        <w:rPr>
          <w:rFonts w:hint="eastAsia" w:ascii="仿宋" w:hAnsi="仿宋" w:eastAsia="仿宋" w:cs="Times New Roman"/>
          <w:sz w:val="32"/>
          <w:szCs w:val="32"/>
          <w:lang w:eastAsia="zh-CN"/>
        </w:rPr>
      </w:pPr>
      <w:r>
        <w:rPr>
          <w:rFonts w:hint="eastAsia" w:ascii="仿宋" w:hAnsi="仿宋" w:eastAsia="仿宋" w:cs="Times New Roman"/>
          <w:sz w:val="32"/>
          <w:szCs w:val="32"/>
          <w:lang w:val="en-US" w:eastAsia="zh-CN"/>
        </w:rPr>
        <w:t>（一）</w:t>
      </w:r>
      <w:r>
        <w:rPr>
          <w:rFonts w:hint="eastAsia" w:ascii="仿宋" w:hAnsi="仿宋" w:eastAsia="仿宋" w:cs="Times New Roman"/>
          <w:sz w:val="32"/>
          <w:szCs w:val="32"/>
          <w:lang w:eastAsia="zh-CN"/>
        </w:rPr>
        <w:t>健康教育培训</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lang w:eastAsia="zh-CN"/>
        </w:rPr>
        <w:t>本院全年共参加县级及县级以上的培训共16次，共培训</w:t>
      </w:r>
      <w:r>
        <w:rPr>
          <w:rFonts w:hint="eastAsia" w:ascii="仿宋" w:hAnsi="仿宋" w:eastAsia="仿宋" w:cs="Times New Roman"/>
          <w:sz w:val="32"/>
          <w:szCs w:val="32"/>
          <w:lang w:val="en-US" w:eastAsia="zh-CN"/>
        </w:rPr>
        <w:t>24</w:t>
      </w:r>
      <w:r>
        <w:rPr>
          <w:rFonts w:hint="eastAsia" w:ascii="仿宋" w:hAnsi="仿宋" w:eastAsia="仿宋" w:cs="Times New Roman"/>
          <w:sz w:val="32"/>
          <w:szCs w:val="32"/>
          <w:lang w:eastAsia="zh-CN"/>
        </w:rPr>
        <w:t>人次，参加健康教育</w:t>
      </w:r>
      <w:r>
        <w:rPr>
          <w:rFonts w:hint="eastAsia" w:ascii="仿宋" w:hAnsi="仿宋" w:eastAsia="仿宋" w:cs="Times New Roman"/>
          <w:sz w:val="32"/>
          <w:szCs w:val="32"/>
          <w:lang w:eastAsia="zh-CN"/>
        </w:rPr>
        <w:fldChar w:fldCharType="begin"/>
      </w:r>
      <w:r>
        <w:rPr>
          <w:rFonts w:hint="eastAsia" w:ascii="仿宋" w:hAnsi="仿宋" w:eastAsia="仿宋" w:cs="Times New Roman"/>
          <w:sz w:val="32"/>
          <w:szCs w:val="32"/>
          <w:lang w:eastAsia="zh-CN"/>
        </w:rPr>
        <w:instrText xml:space="preserve"> HYPERLINK "http://www.gongwen123.com/Article/ldjh/sxxc/index.htm" </w:instrText>
      </w:r>
      <w:r>
        <w:rPr>
          <w:rFonts w:hint="eastAsia" w:ascii="仿宋" w:hAnsi="仿宋" w:eastAsia="仿宋" w:cs="Times New Roman"/>
          <w:sz w:val="32"/>
          <w:szCs w:val="32"/>
          <w:lang w:eastAsia="zh-CN"/>
        </w:rPr>
        <w:fldChar w:fldCharType="separate"/>
      </w:r>
      <w:r>
        <w:rPr>
          <w:rFonts w:hint="eastAsia" w:ascii="仿宋" w:hAnsi="仿宋" w:eastAsia="仿宋" w:cs="Times New Roman"/>
          <w:sz w:val="32"/>
          <w:szCs w:val="32"/>
          <w:lang w:eastAsia="zh-CN"/>
        </w:rPr>
        <w:t>宣传</w:t>
      </w:r>
      <w:r>
        <w:rPr>
          <w:rFonts w:hint="eastAsia" w:ascii="仿宋" w:hAnsi="仿宋" w:eastAsia="仿宋" w:cs="Times New Roman"/>
          <w:sz w:val="32"/>
          <w:szCs w:val="32"/>
          <w:lang w:eastAsia="zh-CN"/>
        </w:rPr>
        <w:fldChar w:fldCharType="end"/>
      </w:r>
      <w:r>
        <w:rPr>
          <w:rFonts w:hint="eastAsia" w:ascii="仿宋" w:hAnsi="仿宋" w:eastAsia="仿宋" w:cs="Times New Roman"/>
          <w:sz w:val="32"/>
          <w:szCs w:val="32"/>
          <w:lang w:eastAsia="zh-CN"/>
        </w:rPr>
        <w:t>工作活动11次，出宣传栏6期共12版，开展知识讲座12期，积极开展了控烟教育，发放吸烟有害健康的宣传资料，设立了禁烟监督岗，配有控烟检查员，候诊区、病房等公共场所设有醒目的禁烟标志。</w:t>
      </w:r>
    </w:p>
    <w:p>
      <w:pPr>
        <w:ind w:firstLine="640" w:firstLineChars="200"/>
        <w:rPr>
          <w:rFonts w:hint="eastAsia" w:ascii="仿宋" w:hAnsi="仿宋" w:eastAsia="仿宋" w:cs="Times New Roman"/>
          <w:sz w:val="32"/>
          <w:szCs w:val="32"/>
          <w:lang w:eastAsia="zh-CN"/>
        </w:rPr>
      </w:pPr>
      <w:r>
        <w:rPr>
          <w:rFonts w:hint="eastAsia" w:ascii="仿宋" w:hAnsi="仿宋" w:eastAsia="仿宋" w:cs="Times New Roman"/>
          <w:sz w:val="32"/>
          <w:szCs w:val="32"/>
          <w:lang w:val="en-US" w:eastAsia="zh-CN"/>
        </w:rPr>
        <w:t xml:space="preserve">（二）疾病控制 </w:t>
      </w:r>
      <w:r>
        <w:rPr>
          <w:rFonts w:hint="eastAsia" w:ascii="仿宋" w:hAnsi="仿宋" w:eastAsia="仿宋" w:cs="Times New Roman"/>
          <w:sz w:val="32"/>
          <w:szCs w:val="32"/>
          <w:lang w:eastAsia="zh-CN"/>
        </w:rPr>
        <w:t>我乡0-6岁儿童</w:t>
      </w:r>
      <w:r>
        <w:rPr>
          <w:rFonts w:hint="eastAsia" w:ascii="仿宋" w:hAnsi="仿宋" w:eastAsia="仿宋" w:cs="Times New Roman"/>
          <w:sz w:val="32"/>
          <w:szCs w:val="32"/>
          <w:lang w:val="en-US" w:eastAsia="zh-CN"/>
        </w:rPr>
        <w:t>304</w:t>
      </w:r>
      <w:r>
        <w:rPr>
          <w:rFonts w:hint="eastAsia" w:ascii="仿宋" w:hAnsi="仿宋" w:eastAsia="仿宋" w:cs="Times New Roman"/>
          <w:sz w:val="32"/>
          <w:szCs w:val="32"/>
          <w:lang w:eastAsia="zh-CN"/>
        </w:rPr>
        <w:t>人，五苗接种率100%，我院本年度为应种儿童接种</w:t>
      </w:r>
      <w:r>
        <w:rPr>
          <w:rFonts w:hint="eastAsia" w:ascii="仿宋" w:hAnsi="仿宋" w:eastAsia="仿宋" w:cs="Times New Roman"/>
          <w:sz w:val="32"/>
          <w:szCs w:val="32"/>
          <w:lang w:val="en-US" w:eastAsia="zh-CN"/>
        </w:rPr>
        <w:t>756</w:t>
      </w:r>
      <w:r>
        <w:rPr>
          <w:rFonts w:hint="eastAsia" w:ascii="仿宋" w:hAnsi="仿宋" w:eastAsia="仿宋" w:cs="Times New Roman"/>
          <w:sz w:val="32"/>
          <w:szCs w:val="32"/>
          <w:lang w:eastAsia="zh-CN"/>
        </w:rPr>
        <w:t>针次。开展了学校新生入托入学的接种证查验及补种补证工作，完成补种率100%。</w:t>
      </w:r>
    </w:p>
    <w:p>
      <w:pPr>
        <w:autoSpaceDE w:val="0"/>
        <w:autoSpaceDN w:val="0"/>
        <w:adjustRightInd w:val="0"/>
        <w:ind w:firstLine="570"/>
        <w:rPr>
          <w:rFonts w:hint="eastAsia" w:ascii="仿宋" w:hAnsi="仿宋" w:eastAsia="仿宋" w:cs="Times New Roman"/>
          <w:sz w:val="32"/>
          <w:szCs w:val="32"/>
          <w:lang w:eastAsia="zh-CN"/>
        </w:rPr>
      </w:pPr>
      <w:r>
        <w:rPr>
          <w:rFonts w:hint="eastAsia" w:ascii="仿宋" w:hAnsi="仿宋" w:eastAsia="仿宋" w:cs="Times New Roman"/>
          <w:sz w:val="32"/>
          <w:szCs w:val="32"/>
          <w:lang w:val="en-US" w:eastAsia="zh-CN"/>
        </w:rPr>
        <w:t xml:space="preserve">（三） </w:t>
      </w:r>
      <w:r>
        <w:rPr>
          <w:rFonts w:hint="eastAsia" w:ascii="仿宋" w:hAnsi="仿宋" w:eastAsia="仿宋" w:cs="Times New Roman"/>
          <w:sz w:val="32"/>
          <w:szCs w:val="32"/>
          <w:lang w:eastAsia="zh-CN"/>
        </w:rPr>
        <w:t>妇幼保健工作</w:t>
      </w:r>
      <w:r>
        <w:rPr>
          <w:rFonts w:hint="eastAsia" w:ascii="仿宋" w:hAnsi="仿宋" w:eastAsia="仿宋" w:cs="Times New Roman"/>
          <w:sz w:val="32"/>
          <w:szCs w:val="32"/>
          <w:lang w:val="en-US" w:eastAsia="zh-CN"/>
        </w:rPr>
        <w:t xml:space="preserve"> </w:t>
      </w:r>
      <w:r>
        <w:rPr>
          <w:rFonts w:hint="eastAsia" w:ascii="仿宋" w:hAnsi="仿宋" w:eastAsia="仿宋" w:cs="仿宋"/>
          <w:sz w:val="32"/>
          <w:szCs w:val="32"/>
        </w:rPr>
        <w:t>0至6岁儿童健康管理</w:t>
      </w:r>
      <w:r>
        <w:rPr>
          <w:rFonts w:hint="eastAsia" w:ascii="仿宋" w:hAnsi="仿宋" w:eastAsia="仿宋" w:cs="仿宋"/>
          <w:sz w:val="32"/>
          <w:szCs w:val="32"/>
          <w:lang w:val="en-US" w:eastAsia="zh-CN"/>
        </w:rPr>
        <w:t>304</w:t>
      </w:r>
      <w:r>
        <w:rPr>
          <w:rFonts w:hint="eastAsia" w:ascii="仿宋" w:hAnsi="仿宋" w:eastAsia="仿宋" w:cs="仿宋"/>
          <w:sz w:val="32"/>
          <w:szCs w:val="32"/>
        </w:rPr>
        <w:t>人；</w:t>
      </w:r>
      <w:r>
        <w:rPr>
          <w:rFonts w:hint="eastAsia" w:ascii="仿宋" w:hAnsi="仿宋" w:eastAsia="仿宋" w:cs="仿宋"/>
          <w:sz w:val="32"/>
          <w:szCs w:val="32"/>
          <w:lang w:val="en-US" w:eastAsia="zh-CN"/>
        </w:rPr>
        <w:t>0-3岁儿童中医药健康管理179人；</w:t>
      </w:r>
      <w:r>
        <w:rPr>
          <w:rFonts w:hint="eastAsia" w:ascii="仿宋" w:hAnsi="仿宋" w:eastAsia="仿宋" w:cs="仿宋"/>
          <w:sz w:val="32"/>
          <w:szCs w:val="32"/>
        </w:rPr>
        <w:t>孕产妇</w:t>
      </w:r>
      <w:r>
        <w:rPr>
          <w:rFonts w:hint="eastAsia" w:ascii="仿宋" w:hAnsi="仿宋" w:eastAsia="仿宋" w:cs="仿宋"/>
          <w:sz w:val="32"/>
          <w:szCs w:val="32"/>
          <w:lang w:val="en-US" w:eastAsia="zh-CN"/>
        </w:rPr>
        <w:t>早孕建卡及</w:t>
      </w:r>
      <w:r>
        <w:rPr>
          <w:rFonts w:hint="eastAsia" w:ascii="仿宋" w:hAnsi="仿宋" w:eastAsia="仿宋" w:cs="仿宋"/>
          <w:sz w:val="32"/>
          <w:szCs w:val="32"/>
        </w:rPr>
        <w:t>健康管理</w:t>
      </w:r>
      <w:r>
        <w:rPr>
          <w:rFonts w:hint="eastAsia" w:ascii="仿宋" w:hAnsi="仿宋" w:eastAsia="仿宋" w:cs="仿宋"/>
          <w:sz w:val="32"/>
          <w:szCs w:val="32"/>
          <w:lang w:val="en-US" w:eastAsia="zh-CN"/>
        </w:rPr>
        <w:t>50</w:t>
      </w:r>
      <w:r>
        <w:rPr>
          <w:rFonts w:hint="eastAsia" w:ascii="仿宋" w:hAnsi="仿宋" w:eastAsia="仿宋" w:cs="仿宋"/>
          <w:sz w:val="32"/>
          <w:szCs w:val="32"/>
        </w:rPr>
        <w:t>人；接受</w:t>
      </w:r>
      <w:r>
        <w:rPr>
          <w:rFonts w:hint="eastAsia" w:ascii="仿宋" w:hAnsi="仿宋" w:eastAsia="仿宋" w:cs="仿宋"/>
          <w:sz w:val="32"/>
          <w:szCs w:val="32"/>
          <w:lang w:eastAsia="zh-CN"/>
        </w:rPr>
        <w:t>保健</w:t>
      </w:r>
      <w:r>
        <w:rPr>
          <w:rFonts w:hint="eastAsia" w:ascii="仿宋" w:hAnsi="仿宋" w:eastAsia="仿宋" w:cs="仿宋"/>
          <w:sz w:val="32"/>
          <w:szCs w:val="32"/>
        </w:rPr>
        <w:t>健康教育人次</w:t>
      </w:r>
      <w:r>
        <w:rPr>
          <w:rFonts w:hint="eastAsia" w:ascii="仿宋" w:hAnsi="仿宋" w:eastAsia="仿宋" w:cs="仿宋"/>
          <w:sz w:val="32"/>
          <w:szCs w:val="32"/>
          <w:lang w:val="en-US" w:eastAsia="zh-CN"/>
        </w:rPr>
        <w:t>367</w:t>
      </w:r>
      <w:r>
        <w:rPr>
          <w:rFonts w:hint="eastAsia" w:ascii="仿宋" w:hAnsi="仿宋" w:eastAsia="仿宋" w:cs="仿宋"/>
          <w:sz w:val="32"/>
          <w:szCs w:val="32"/>
        </w:rPr>
        <w:t>人。</w:t>
      </w:r>
      <w:r>
        <w:rPr>
          <w:rFonts w:hint="eastAsia" w:ascii="仿宋" w:hAnsi="仿宋" w:eastAsia="仿宋" w:cs="Times New Roman"/>
          <w:sz w:val="32"/>
          <w:szCs w:val="32"/>
          <w:lang w:eastAsia="zh-CN"/>
        </w:rPr>
        <w:t>无孕产分娩死亡。</w:t>
      </w:r>
    </w:p>
    <w:p>
      <w:pPr>
        <w:autoSpaceDE w:val="0"/>
        <w:autoSpaceDN w:val="0"/>
        <w:adjustRightInd w:val="0"/>
        <w:ind w:firstLine="570"/>
        <w:rPr>
          <w:rFonts w:hint="eastAsia" w:ascii="仿宋" w:hAnsi="仿宋" w:eastAsia="仿宋" w:cs="仿宋"/>
          <w:sz w:val="32"/>
          <w:szCs w:val="32"/>
        </w:rPr>
      </w:pPr>
      <w:r>
        <w:rPr>
          <w:rFonts w:hint="eastAsia" w:ascii="仿宋" w:hAnsi="仿宋" w:eastAsia="仿宋" w:cs="Times New Roman"/>
          <w:sz w:val="32"/>
          <w:szCs w:val="32"/>
          <w:lang w:val="en-US" w:eastAsia="zh-CN"/>
        </w:rPr>
        <w:t>（四）</w:t>
      </w:r>
      <w:r>
        <w:rPr>
          <w:rFonts w:hint="eastAsia" w:ascii="仿宋" w:hAnsi="仿宋" w:eastAsia="仿宋" w:cs="Times New Roman"/>
          <w:sz w:val="32"/>
          <w:szCs w:val="32"/>
          <w:lang w:eastAsia="zh-CN"/>
        </w:rPr>
        <w:t>居民健康档案</w:t>
      </w:r>
      <w:r>
        <w:rPr>
          <w:rFonts w:hint="eastAsia" w:ascii="仿宋" w:hAnsi="仿宋" w:eastAsia="仿宋" w:cs="Times New Roman"/>
          <w:sz w:val="32"/>
          <w:szCs w:val="32"/>
          <w:lang w:val="en-US" w:eastAsia="zh-CN"/>
        </w:rPr>
        <w:t xml:space="preserve"> </w:t>
      </w:r>
      <w:r>
        <w:rPr>
          <w:rFonts w:hint="eastAsia" w:ascii="仿宋" w:hAnsi="仿宋" w:eastAsia="仿宋" w:cs="Times New Roman"/>
          <w:sz w:val="32"/>
          <w:szCs w:val="32"/>
          <w:lang w:eastAsia="zh-CN"/>
        </w:rPr>
        <w:t>202</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lang w:eastAsia="zh-CN"/>
        </w:rPr>
        <w:t>年全乡人口数</w:t>
      </w:r>
      <w:r>
        <w:rPr>
          <w:rFonts w:hint="eastAsia" w:ascii="仿宋" w:hAnsi="仿宋" w:eastAsia="仿宋" w:cs="Times New Roman"/>
          <w:sz w:val="32"/>
          <w:szCs w:val="32"/>
          <w:lang w:val="en-US" w:eastAsia="zh-CN"/>
        </w:rPr>
        <w:t>4863</w:t>
      </w:r>
      <w:r>
        <w:rPr>
          <w:rFonts w:hint="eastAsia" w:ascii="仿宋" w:hAnsi="仿宋" w:eastAsia="仿宋" w:cs="Times New Roman"/>
          <w:sz w:val="32"/>
          <w:szCs w:val="32"/>
          <w:lang w:eastAsia="zh-CN"/>
        </w:rPr>
        <w:t>人，全镇共建立健康档案数</w:t>
      </w:r>
      <w:r>
        <w:rPr>
          <w:rFonts w:hint="eastAsia" w:ascii="仿宋" w:hAnsi="仿宋" w:eastAsia="仿宋" w:cs="Times New Roman"/>
          <w:sz w:val="32"/>
          <w:szCs w:val="32"/>
          <w:lang w:val="en-US" w:eastAsia="zh-CN"/>
        </w:rPr>
        <w:t>4863</w:t>
      </w:r>
      <w:r>
        <w:rPr>
          <w:rFonts w:hint="eastAsia" w:ascii="仿宋" w:hAnsi="仿宋" w:eastAsia="仿宋" w:cs="Times New Roman"/>
          <w:sz w:val="32"/>
          <w:szCs w:val="32"/>
          <w:lang w:eastAsia="zh-CN"/>
        </w:rPr>
        <w:t>人，建档率</w:t>
      </w:r>
      <w:r>
        <w:rPr>
          <w:rFonts w:hint="eastAsia" w:ascii="仿宋" w:hAnsi="仿宋" w:eastAsia="仿宋" w:cs="Times New Roman"/>
          <w:sz w:val="32"/>
          <w:szCs w:val="32"/>
          <w:lang w:val="en-US" w:eastAsia="zh-CN"/>
        </w:rPr>
        <w:t>100%，</w:t>
      </w:r>
      <w:r>
        <w:rPr>
          <w:rFonts w:hint="eastAsia" w:ascii="仿宋" w:hAnsi="仿宋" w:eastAsia="仿宋" w:cs="Times New Roman"/>
          <w:sz w:val="32"/>
          <w:szCs w:val="32"/>
          <w:lang w:eastAsia="zh-CN"/>
        </w:rPr>
        <w:t>全乡高血压健康管理人数</w:t>
      </w:r>
      <w:r>
        <w:rPr>
          <w:rFonts w:hint="eastAsia" w:ascii="仿宋" w:hAnsi="仿宋" w:eastAsia="仿宋" w:cs="Times New Roman"/>
          <w:sz w:val="32"/>
          <w:szCs w:val="32"/>
          <w:lang w:val="en-US" w:eastAsia="zh-CN"/>
        </w:rPr>
        <w:t>186</w:t>
      </w:r>
      <w:r>
        <w:rPr>
          <w:rFonts w:hint="eastAsia" w:ascii="仿宋" w:hAnsi="仿宋" w:eastAsia="仿宋" w:cs="Times New Roman"/>
          <w:sz w:val="32"/>
          <w:szCs w:val="32"/>
          <w:lang w:eastAsia="zh-CN"/>
        </w:rPr>
        <w:t>人，糖尿病健康管理人数</w:t>
      </w:r>
      <w:r>
        <w:rPr>
          <w:rFonts w:hint="eastAsia" w:ascii="仿宋" w:hAnsi="仿宋" w:eastAsia="仿宋" w:cs="Times New Roman"/>
          <w:sz w:val="32"/>
          <w:szCs w:val="32"/>
          <w:lang w:val="en-US" w:eastAsia="zh-CN"/>
        </w:rPr>
        <w:t>50</w:t>
      </w:r>
      <w:r>
        <w:rPr>
          <w:rFonts w:hint="eastAsia" w:ascii="仿宋" w:hAnsi="仿宋" w:eastAsia="仿宋" w:cs="Times New Roman"/>
          <w:sz w:val="32"/>
          <w:szCs w:val="32"/>
          <w:lang w:eastAsia="zh-CN"/>
        </w:rPr>
        <w:t>人。重性精神疾病患者管理人数</w:t>
      </w:r>
      <w:r>
        <w:rPr>
          <w:rFonts w:hint="eastAsia" w:ascii="仿宋" w:hAnsi="仿宋" w:eastAsia="仿宋" w:cs="Times New Roman"/>
          <w:sz w:val="32"/>
          <w:szCs w:val="32"/>
          <w:lang w:val="en-US" w:eastAsia="zh-CN"/>
        </w:rPr>
        <w:t>21</w:t>
      </w:r>
      <w:r>
        <w:rPr>
          <w:rFonts w:hint="eastAsia" w:ascii="仿宋" w:hAnsi="仿宋" w:eastAsia="仿宋" w:cs="Times New Roman"/>
          <w:sz w:val="32"/>
          <w:szCs w:val="32"/>
          <w:lang w:eastAsia="zh-CN"/>
        </w:rPr>
        <w:t>人，</w:t>
      </w:r>
      <w:r>
        <w:rPr>
          <w:rFonts w:hint="eastAsia" w:ascii="仿宋" w:hAnsi="仿宋" w:eastAsia="仿宋" w:cs="仿宋"/>
          <w:sz w:val="32"/>
          <w:szCs w:val="32"/>
          <w:lang w:eastAsia="zh-CN"/>
        </w:rPr>
        <w:t>全年体检及随访人次</w:t>
      </w:r>
      <w:r>
        <w:rPr>
          <w:rFonts w:hint="eastAsia" w:ascii="仿宋" w:hAnsi="仿宋" w:eastAsia="仿宋" w:cs="仿宋"/>
          <w:sz w:val="32"/>
          <w:szCs w:val="32"/>
          <w:lang w:val="en-US" w:eastAsia="zh-CN"/>
        </w:rPr>
        <w:t>2942人</w:t>
      </w:r>
      <w:r>
        <w:rPr>
          <w:rFonts w:hint="eastAsia" w:ascii="仿宋" w:hAnsi="仿宋" w:eastAsia="仿宋" w:cs="仿宋"/>
          <w:sz w:val="32"/>
          <w:szCs w:val="32"/>
        </w:rPr>
        <w:t>。</w:t>
      </w:r>
    </w:p>
    <w:p>
      <w:pPr>
        <w:pStyle w:val="2"/>
        <w:adjustRightInd w:val="0"/>
        <w:snapToGrid w:val="0"/>
        <w:spacing w:before="93" w:line="600" w:lineRule="exact"/>
        <w:ind w:firstLine="672" w:firstLineChars="210"/>
        <w:outlineLvl w:val="2"/>
        <w:rPr>
          <w:rFonts w:hint="eastAsia" w:ascii="仿宋" w:hAnsi="仿宋" w:eastAsia="仿宋" w:cs="仿宋"/>
          <w:sz w:val="32"/>
          <w:szCs w:val="32"/>
          <w:lang w:val="en-US" w:eastAsia="zh-CN"/>
        </w:rPr>
      </w:pPr>
      <w:r>
        <w:rPr>
          <w:rFonts w:hint="eastAsia" w:ascii="仿宋" w:hAnsi="仿宋" w:eastAsia="仿宋" w:cs="仿宋"/>
          <w:sz w:val="32"/>
          <w:szCs w:val="32"/>
        </w:rPr>
        <w:t>（</w:t>
      </w:r>
      <w:r>
        <w:rPr>
          <w:rFonts w:hint="eastAsia" w:ascii="仿宋" w:hAnsi="仿宋" w:eastAsia="仿宋" w:cs="仿宋"/>
          <w:sz w:val="32"/>
          <w:szCs w:val="32"/>
          <w:lang w:eastAsia="zh-CN"/>
        </w:rPr>
        <w:t>五</w:t>
      </w:r>
      <w:r>
        <w:rPr>
          <w:rFonts w:hint="eastAsia" w:ascii="仿宋" w:hAnsi="仿宋" w:eastAsia="仿宋" w:cs="仿宋"/>
          <w:sz w:val="32"/>
          <w:szCs w:val="32"/>
        </w:rPr>
        <w:t>）20</w:t>
      </w:r>
      <w:r>
        <w:rPr>
          <w:rFonts w:hint="eastAsia" w:ascii="仿宋" w:hAnsi="仿宋" w:eastAsia="仿宋" w:cs="仿宋"/>
          <w:sz w:val="32"/>
          <w:szCs w:val="32"/>
          <w:lang w:val="en-US" w:eastAsia="zh-CN"/>
        </w:rPr>
        <w:t>21</w:t>
      </w:r>
      <w:r>
        <w:rPr>
          <w:rFonts w:hint="eastAsia" w:ascii="仿宋" w:hAnsi="仿宋" w:eastAsia="仿宋" w:cs="仿宋"/>
          <w:sz w:val="32"/>
          <w:szCs w:val="32"/>
        </w:rPr>
        <w:t>年度</w:t>
      </w:r>
      <w:r>
        <w:rPr>
          <w:rFonts w:hint="eastAsia" w:ascii="仿宋" w:hAnsi="仿宋" w:eastAsia="仿宋" w:cs="仿宋"/>
          <w:sz w:val="32"/>
          <w:szCs w:val="32"/>
          <w:lang w:eastAsia="zh-CN"/>
        </w:rPr>
        <w:t>家庭签约服务</w:t>
      </w:r>
      <w:r>
        <w:rPr>
          <w:rFonts w:hint="eastAsia" w:ascii="仿宋" w:hAnsi="仿宋" w:eastAsia="仿宋" w:cs="仿宋"/>
          <w:sz w:val="32"/>
          <w:szCs w:val="32"/>
          <w:lang w:val="en-US" w:eastAsia="zh-CN"/>
        </w:rPr>
        <w:t>2583人，其中重点人群签约1357人，精准扶贫签约率100％，一般人群签约1226人。</w:t>
      </w:r>
    </w:p>
    <w:p>
      <w:pPr>
        <w:pStyle w:val="2"/>
        <w:adjustRightInd w:val="0"/>
        <w:snapToGrid w:val="0"/>
        <w:spacing w:before="93" w:line="600" w:lineRule="exact"/>
        <w:ind w:firstLine="600" w:firstLineChars="200"/>
        <w:outlineLvl w:val="2"/>
        <w:rPr>
          <w:rStyle w:val="29"/>
          <w:rFonts w:hint="eastAsia" w:ascii="黑体" w:hAnsi="黑体" w:eastAsia="黑体"/>
          <w:b w:val="0"/>
          <w:bCs w:val="0"/>
        </w:rPr>
      </w:pPr>
      <w:r>
        <w:rPr>
          <w:rFonts w:hint="eastAsia" w:ascii="黑体" w:hAnsi="黑体" w:eastAsia="黑体"/>
          <w:b w:val="0"/>
          <w:color w:val="000000"/>
          <w:lang w:val="en-US" w:eastAsia="zh-CN"/>
        </w:rPr>
        <w:t>二、</w:t>
      </w:r>
      <w:r>
        <w:rPr>
          <w:rFonts w:hint="eastAsia" w:ascii="黑体" w:hAnsi="黑体" w:eastAsia="黑体"/>
          <w:b w:val="0"/>
          <w:color w:val="000000"/>
        </w:rPr>
        <w:t>机</w:t>
      </w:r>
      <w:r>
        <w:rPr>
          <w:rStyle w:val="29"/>
          <w:rFonts w:hint="eastAsia" w:ascii="黑体" w:hAnsi="黑体" w:eastAsia="黑体"/>
          <w:b w:val="0"/>
          <w:bCs w:val="0"/>
        </w:rPr>
        <w:t>构设置</w:t>
      </w:r>
    </w:p>
    <w:p>
      <w:pPr>
        <w:ind w:firstLine="640" w:firstLineChars="200"/>
        <w:rPr>
          <w:rFonts w:ascii="仿宋_GB2312" w:hAnsi="仿宋" w:eastAsia="仿宋_GB2312" w:cs="仿宋"/>
          <w:sz w:val="32"/>
          <w:lang w:val="zh-CN"/>
        </w:rPr>
      </w:pPr>
      <w:r>
        <w:rPr>
          <w:rFonts w:hint="eastAsia" w:ascii="仿宋_GB2312" w:hAnsi="仿宋" w:eastAsia="仿宋_GB2312" w:cs="仿宋"/>
          <w:sz w:val="32"/>
          <w:lang w:val="zh-CN"/>
        </w:rPr>
        <w:t>盐边县</w:t>
      </w:r>
      <w:r>
        <w:rPr>
          <w:rFonts w:hint="eastAsia" w:ascii="仿宋_GB2312" w:hAnsi="仿宋" w:eastAsia="仿宋_GB2312" w:cs="仿宋"/>
          <w:sz w:val="32"/>
          <w:lang w:val="zh-CN" w:eastAsia="zh-CN"/>
        </w:rPr>
        <w:t>红宝苗族彝族乡</w:t>
      </w:r>
      <w:r>
        <w:rPr>
          <w:rFonts w:hint="eastAsia" w:ascii="仿宋_GB2312" w:hAnsi="仿宋" w:eastAsia="仿宋_GB2312" w:cs="仿宋"/>
          <w:sz w:val="32"/>
          <w:lang w:val="zh-CN"/>
        </w:rPr>
        <w:t>卫生院</w:t>
      </w:r>
      <w:r>
        <w:rPr>
          <w:rFonts w:hint="eastAsia" w:ascii="仿宋_GB2312" w:eastAsia="仿宋_GB2312" w:cs="仿宋_GB2312"/>
          <w:sz w:val="32"/>
        </w:rPr>
        <w:t>是政府举办的公益性事业单位,</w:t>
      </w:r>
      <w:r>
        <w:rPr>
          <w:rFonts w:hint="eastAsia" w:ascii="仿宋_GB2312" w:hAnsi="仿宋" w:eastAsia="仿宋_GB2312"/>
          <w:sz w:val="32"/>
          <w:szCs w:val="32"/>
        </w:rPr>
        <w:t>下属二级单位0个，其中行政单位0个，参照公务员法管理的事业单位</w:t>
      </w:r>
      <w:r>
        <w:rPr>
          <w:rFonts w:hint="eastAsia" w:ascii="仿宋_GB2312" w:hAnsi="仿宋" w:eastAsia="仿宋_GB2312"/>
          <w:bCs/>
          <w:sz w:val="32"/>
          <w:szCs w:val="32"/>
        </w:rPr>
        <w:t>0</w:t>
      </w:r>
      <w:r>
        <w:rPr>
          <w:rFonts w:hint="eastAsia" w:ascii="仿宋_GB2312" w:hAnsi="仿宋" w:eastAsia="仿宋_GB2312"/>
          <w:sz w:val="32"/>
          <w:szCs w:val="32"/>
        </w:rPr>
        <w:t>个，其他事业单位0个。</w:t>
      </w:r>
      <w:r>
        <w:rPr>
          <w:rFonts w:hint="eastAsia" w:ascii="仿宋_GB2312" w:hAnsi="仿宋" w:eastAsia="仿宋_GB2312" w:cs="仿宋"/>
          <w:sz w:val="32"/>
          <w:lang w:val="zh-CN"/>
        </w:rPr>
        <w:t>所辖村卫生室</w:t>
      </w:r>
      <w:r>
        <w:rPr>
          <w:rFonts w:hint="eastAsia" w:ascii="仿宋_GB2312" w:hAnsi="仿宋" w:eastAsia="仿宋_GB2312" w:cs="仿宋"/>
          <w:sz w:val="32"/>
          <w:lang w:val="en-US" w:eastAsia="zh-CN"/>
        </w:rPr>
        <w:t>7</w:t>
      </w:r>
      <w:r>
        <w:rPr>
          <w:rFonts w:hint="eastAsia" w:ascii="仿宋_GB2312" w:hAnsi="仿宋" w:eastAsia="仿宋_GB2312" w:cs="仿宋"/>
          <w:sz w:val="32"/>
          <w:lang w:val="zh-CN"/>
        </w:rPr>
        <w:t>个，其中非营利性的</w:t>
      </w:r>
      <w:r>
        <w:rPr>
          <w:rFonts w:hint="eastAsia" w:ascii="仿宋_GB2312" w:hAnsi="仿宋" w:eastAsia="仿宋_GB2312" w:cs="仿宋"/>
          <w:sz w:val="32"/>
          <w:lang w:val="en-US" w:eastAsia="zh-CN"/>
        </w:rPr>
        <w:t>7</w:t>
      </w:r>
      <w:r>
        <w:rPr>
          <w:rFonts w:hint="eastAsia" w:ascii="仿宋_GB2312" w:hAnsi="仿宋" w:eastAsia="仿宋_GB2312" w:cs="仿宋"/>
          <w:sz w:val="32"/>
          <w:lang w:val="zh-CN"/>
        </w:rPr>
        <w:t>个。</w:t>
      </w:r>
    </w:p>
    <w:p>
      <w:pPr>
        <w:pStyle w:val="2"/>
        <w:adjustRightInd w:val="0"/>
        <w:snapToGrid w:val="0"/>
        <w:spacing w:before="93" w:line="600" w:lineRule="exact"/>
        <w:ind w:firstLine="672" w:firstLineChars="210"/>
        <w:outlineLvl w:val="2"/>
        <w:rPr>
          <w:rFonts w:hint="eastAsia" w:ascii="仿宋" w:hAnsi="仿宋" w:eastAsia="仿宋" w:cs="仿宋"/>
          <w:sz w:val="32"/>
          <w:szCs w:val="32"/>
          <w:lang w:val="en-US" w:eastAsia="zh-CN"/>
        </w:rPr>
      </w:pPr>
      <w:bookmarkStart w:id="105" w:name="_GoBack"/>
      <w:bookmarkEnd w:id="105"/>
    </w:p>
    <w:p>
      <w:pPr>
        <w:pStyle w:val="2"/>
        <w:adjustRightInd w:val="0"/>
        <w:snapToGrid w:val="0"/>
        <w:spacing w:before="93" w:line="600" w:lineRule="exact"/>
        <w:ind w:firstLine="672" w:firstLineChars="210"/>
        <w:outlineLvl w:val="2"/>
        <w:rPr>
          <w:rFonts w:hint="eastAsia" w:ascii="仿宋" w:hAnsi="仿宋" w:eastAsia="仿宋" w:cs="仿宋"/>
          <w:sz w:val="32"/>
          <w:szCs w:val="32"/>
          <w:lang w:val="en-US" w:eastAsia="zh-CN"/>
        </w:rPr>
      </w:pPr>
    </w:p>
    <w:p>
      <w:pPr>
        <w:ind w:firstLine="420" w:firstLineChars="200"/>
        <w:rPr>
          <w:rFonts w:hint="default" w:eastAsia="黑体"/>
          <w:lang w:val="en-US" w:eastAsia="zh-CN"/>
        </w:rPr>
      </w:pP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8"/>
          <w:rFonts w:ascii="黑体" w:hAnsi="黑体" w:eastAsia="黑体"/>
          <w:b w:val="0"/>
          <w:bCs/>
        </w:rPr>
      </w:pPr>
      <w:bookmarkStart w:id="22" w:name="_Toc15396602"/>
      <w:bookmarkStart w:id="23" w:name="_Toc9153"/>
      <w:bookmarkStart w:id="24" w:name="_Toc15377204"/>
      <w:r>
        <w:rPr>
          <w:rFonts w:hint="eastAsia" w:ascii="黑体" w:hAnsi="黑体" w:eastAsia="黑体"/>
          <w:b w:val="0"/>
        </w:rPr>
        <w:t>第二部分 2021年度</w:t>
      </w:r>
      <w:r>
        <w:rPr>
          <w:rStyle w:val="28"/>
          <w:rFonts w:hint="eastAsia" w:ascii="黑体" w:hAnsi="黑体" w:eastAsia="黑体"/>
          <w:b w:val="0"/>
          <w:bCs/>
        </w:rPr>
        <w:t>单位决算情况说明</w:t>
      </w:r>
      <w:bookmarkEnd w:id="22"/>
      <w:bookmarkEnd w:id="23"/>
      <w:bookmarkEnd w:id="24"/>
    </w:p>
    <w:p/>
    <w:p>
      <w:pPr>
        <w:pStyle w:val="17"/>
        <w:numPr>
          <w:ilvl w:val="0"/>
          <w:numId w:val="2"/>
        </w:numPr>
        <w:spacing w:line="600" w:lineRule="exact"/>
        <w:ind w:firstLineChars="0"/>
        <w:outlineLvl w:val="1"/>
        <w:rPr>
          <w:rStyle w:val="29"/>
          <w:rFonts w:ascii="黑体" w:hAnsi="黑体" w:eastAsia="黑体"/>
          <w:b w:val="0"/>
        </w:rPr>
      </w:pPr>
      <w:bookmarkStart w:id="25" w:name="_Toc15377205"/>
      <w:bookmarkStart w:id="26" w:name="_Toc15396603"/>
      <w:bookmarkStart w:id="27" w:name="_Toc4183"/>
      <w:r>
        <w:rPr>
          <w:rFonts w:hint="eastAsia" w:ascii="黑体" w:hAnsi="黑体" w:eastAsia="黑体"/>
          <w:sz w:val="32"/>
          <w:szCs w:val="32"/>
        </w:rPr>
        <w:t>收</w:t>
      </w:r>
      <w:r>
        <w:rPr>
          <w:rStyle w:val="29"/>
          <w:rFonts w:hint="eastAsia" w:ascii="黑体" w:hAnsi="黑体" w:eastAsia="黑体"/>
          <w:b w:val="0"/>
        </w:rPr>
        <w:t>入支出决算总体情况说明</w:t>
      </w:r>
      <w:bookmarkEnd w:id="25"/>
      <w:bookmarkEnd w:id="26"/>
      <w:bookmarkEnd w:id="27"/>
    </w:p>
    <w:p>
      <w:pPr>
        <w:spacing w:line="600" w:lineRule="exact"/>
        <w:ind w:firstLine="640" w:firstLineChars="200"/>
        <w:rPr>
          <w:rFonts w:hint="eastAsia" w:ascii="仿宋_GB2312" w:hAnsi="仿宋" w:eastAsia="仿宋_GB2312"/>
          <w:sz w:val="32"/>
          <w:szCs w:val="32"/>
          <w:lang w:val="en-US" w:eastAsia="zh-CN"/>
        </w:rPr>
      </w:pPr>
      <w:r>
        <w:rPr>
          <w:rFonts w:hint="eastAsia" w:ascii="仿宋" w:hAnsi="仿宋" w:eastAsia="仿宋"/>
          <w:sz w:val="32"/>
          <w:szCs w:val="32"/>
        </w:rPr>
        <w:t>2021年度</w:t>
      </w:r>
      <w:r>
        <w:rPr>
          <w:rFonts w:hint="eastAsia" w:ascii="仿宋" w:hAnsi="仿宋" w:eastAsia="仿宋"/>
          <w:sz w:val="32"/>
          <w:szCs w:val="32"/>
          <w:lang w:val="en-US" w:eastAsia="zh-CN"/>
        </w:rPr>
        <w:t>总收入169.32万元，与2020年144.46万元相比增加24.86万元，同比增长17.20%。2021年度总支出176.18万元，与2020年138.92万元相比增加37.26万元，同比增长26.82%。</w:t>
      </w:r>
      <w:r>
        <w:rPr>
          <w:rFonts w:hint="eastAsia" w:ascii="仿宋" w:hAnsi="仿宋" w:eastAsia="仿宋"/>
          <w:sz w:val="32"/>
          <w:szCs w:val="32"/>
        </w:rPr>
        <w:t>主要变动原因是</w:t>
      </w:r>
      <w:r>
        <w:rPr>
          <w:rFonts w:hint="eastAsia" w:ascii="仿宋" w:hAnsi="仿宋" w:eastAsia="仿宋"/>
          <w:sz w:val="32"/>
          <w:szCs w:val="32"/>
          <w:lang w:val="en-US" w:eastAsia="zh-CN"/>
        </w:rPr>
        <w:t>本年度收到</w:t>
      </w:r>
      <w:r>
        <w:rPr>
          <w:rFonts w:hint="eastAsia" w:ascii="仿宋_GB2312" w:hAnsi="仿宋" w:eastAsia="仿宋_GB2312"/>
          <w:sz w:val="32"/>
          <w:szCs w:val="32"/>
          <w:lang w:val="en-US" w:eastAsia="zh-CN"/>
        </w:rPr>
        <w:t>基本公共卫生经费在上年基础上增加。</w:t>
      </w:r>
    </w:p>
    <w:p>
      <w:pPr>
        <w:pStyle w:val="2"/>
        <w:jc w:val="center"/>
      </w:pPr>
      <w:r>
        <w:drawing>
          <wp:inline distT="0" distB="0" distL="114300" distR="114300">
            <wp:extent cx="4624070" cy="2798445"/>
            <wp:effectExtent l="4445" t="4445" r="19685" b="16510"/>
            <wp:docPr id="102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jc w:val="left"/>
        <w:rPr>
          <w:rFonts w:ascii="仿宋_GB2312" w:eastAsia="仿宋_GB2312"/>
          <w:sz w:val="32"/>
          <w:szCs w:val="32"/>
        </w:rPr>
      </w:pPr>
    </w:p>
    <w:p>
      <w:pPr>
        <w:pStyle w:val="17"/>
        <w:numPr>
          <w:ilvl w:val="0"/>
          <w:numId w:val="2"/>
        </w:numPr>
        <w:spacing w:line="600" w:lineRule="exact"/>
        <w:ind w:firstLineChars="0"/>
        <w:outlineLvl w:val="1"/>
        <w:rPr>
          <w:rStyle w:val="29"/>
          <w:rFonts w:ascii="黑体" w:hAnsi="黑体" w:eastAsia="黑体"/>
          <w:b w:val="0"/>
        </w:rPr>
      </w:pPr>
      <w:bookmarkStart w:id="28" w:name="_Toc15396604"/>
      <w:bookmarkStart w:id="29" w:name="_Toc15377206"/>
      <w:bookmarkStart w:id="30" w:name="_Toc20640"/>
      <w:r>
        <w:rPr>
          <w:rFonts w:hint="eastAsia" w:ascii="黑体" w:hAnsi="黑体" w:eastAsia="黑体"/>
          <w:sz w:val="32"/>
          <w:szCs w:val="32"/>
        </w:rPr>
        <w:t>收</w:t>
      </w:r>
      <w:r>
        <w:rPr>
          <w:rStyle w:val="29"/>
          <w:rFonts w:hint="eastAsia" w:ascii="黑体" w:hAnsi="黑体" w:eastAsia="黑体"/>
          <w:b w:val="0"/>
        </w:rPr>
        <w:t>入决算情况说明</w:t>
      </w:r>
      <w:bookmarkEnd w:id="28"/>
      <w:bookmarkEnd w:id="29"/>
      <w:bookmarkEnd w:id="30"/>
    </w:p>
    <w:p>
      <w:pPr>
        <w:spacing w:line="600" w:lineRule="exact"/>
        <w:ind w:firstLine="640" w:firstLineChars="200"/>
        <w:outlineLvl w:val="1"/>
        <w:rPr>
          <w:rFonts w:ascii="仿宋" w:hAnsi="仿宋" w:eastAsia="仿宋"/>
          <w:sz w:val="32"/>
          <w:szCs w:val="32"/>
        </w:rPr>
      </w:pPr>
      <w:bookmarkStart w:id="31" w:name="_Toc21015"/>
      <w:r>
        <w:rPr>
          <w:rFonts w:ascii="仿宋" w:hAnsi="仿宋" w:eastAsia="仿宋"/>
          <w:sz w:val="32"/>
          <w:szCs w:val="32"/>
        </w:rPr>
        <w:t>20</w:t>
      </w:r>
      <w:r>
        <w:rPr>
          <w:rFonts w:hint="eastAsia" w:ascii="仿宋" w:hAnsi="仿宋" w:eastAsia="仿宋"/>
          <w:sz w:val="32"/>
          <w:szCs w:val="32"/>
        </w:rPr>
        <w:t>21年本年收入合计</w:t>
      </w:r>
      <w:r>
        <w:rPr>
          <w:rFonts w:hint="eastAsia" w:ascii="仿宋" w:hAnsi="仿宋" w:eastAsia="仿宋"/>
          <w:sz w:val="32"/>
          <w:szCs w:val="32"/>
          <w:lang w:val="en-US" w:eastAsia="zh-CN"/>
        </w:rPr>
        <w:t>169.32</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150.47</w:t>
      </w:r>
      <w:r>
        <w:rPr>
          <w:rFonts w:hint="eastAsia" w:ascii="仿宋" w:hAnsi="仿宋" w:eastAsia="仿宋"/>
          <w:sz w:val="32"/>
          <w:szCs w:val="32"/>
        </w:rPr>
        <w:t>万元，占</w:t>
      </w:r>
      <w:r>
        <w:rPr>
          <w:rFonts w:hint="eastAsia" w:ascii="仿宋" w:hAnsi="仿宋" w:eastAsia="仿宋"/>
          <w:sz w:val="32"/>
          <w:szCs w:val="32"/>
          <w:lang w:val="en-US" w:eastAsia="zh-CN"/>
        </w:rPr>
        <w:t>88.86</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18.85</w:t>
      </w:r>
      <w:r>
        <w:rPr>
          <w:rFonts w:hint="eastAsia" w:ascii="仿宋" w:hAnsi="仿宋" w:eastAsia="仿宋"/>
          <w:sz w:val="32"/>
          <w:szCs w:val="32"/>
        </w:rPr>
        <w:t>万元，占</w:t>
      </w:r>
      <w:r>
        <w:rPr>
          <w:rFonts w:hint="eastAsia" w:ascii="仿宋" w:hAnsi="仿宋" w:eastAsia="仿宋"/>
          <w:sz w:val="32"/>
          <w:szCs w:val="32"/>
          <w:lang w:val="en-US" w:eastAsia="zh-CN"/>
        </w:rPr>
        <w:t>11.13</w:t>
      </w:r>
      <w:r>
        <w:rPr>
          <w:rFonts w:ascii="仿宋" w:hAnsi="仿宋" w:eastAsia="仿宋"/>
          <w:sz w:val="32"/>
          <w:szCs w:val="32"/>
        </w:rPr>
        <w:t>%</w:t>
      </w:r>
      <w:r>
        <w:rPr>
          <w:rFonts w:hint="eastAsia" w:ascii="仿宋" w:hAnsi="仿宋" w:eastAsia="仿宋"/>
          <w:sz w:val="32"/>
          <w:szCs w:val="32"/>
        </w:rPr>
        <w:t>。</w:t>
      </w:r>
      <w:bookmarkEnd w:id="31"/>
    </w:p>
    <w:p>
      <w:pPr>
        <w:pStyle w:val="2"/>
        <w:rPr>
          <w:rFonts w:ascii="仿宋" w:hAnsi="仿宋" w:eastAsia="仿宋"/>
          <w:sz w:val="32"/>
          <w:szCs w:val="32"/>
        </w:rPr>
      </w:pPr>
      <w:r>
        <w:drawing>
          <wp:inline distT="0" distB="0" distL="114300" distR="114300">
            <wp:extent cx="4624070" cy="2798445"/>
            <wp:effectExtent l="4445" t="4445" r="19685" b="1651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ind w:firstLine="640" w:firstLineChars="200"/>
        <w:rPr>
          <w:rFonts w:ascii="仿宋_GB2312" w:eastAsia="仿宋_GB2312"/>
          <w:sz w:val="32"/>
          <w:szCs w:val="32"/>
        </w:rPr>
      </w:pPr>
    </w:p>
    <w:p>
      <w:pPr>
        <w:pStyle w:val="17"/>
        <w:numPr>
          <w:ilvl w:val="0"/>
          <w:numId w:val="2"/>
        </w:numPr>
        <w:spacing w:line="600" w:lineRule="exact"/>
        <w:ind w:firstLineChars="0"/>
        <w:outlineLvl w:val="1"/>
        <w:rPr>
          <w:rStyle w:val="29"/>
          <w:rFonts w:ascii="黑体" w:hAnsi="黑体" w:eastAsia="黑体"/>
          <w:b w:val="0"/>
        </w:rPr>
      </w:pPr>
      <w:bookmarkStart w:id="32" w:name="_Toc15377207"/>
      <w:bookmarkStart w:id="33" w:name="_Toc26654"/>
      <w:bookmarkStart w:id="34" w:name="_Toc15396605"/>
      <w:r>
        <w:rPr>
          <w:rFonts w:hint="eastAsia" w:ascii="黑体" w:hAnsi="黑体" w:eastAsia="黑体"/>
          <w:sz w:val="32"/>
          <w:szCs w:val="32"/>
        </w:rPr>
        <w:t>支</w:t>
      </w:r>
      <w:r>
        <w:rPr>
          <w:rStyle w:val="29"/>
          <w:rFonts w:hint="eastAsia" w:ascii="黑体" w:hAnsi="黑体" w:eastAsia="黑体"/>
          <w:b w:val="0"/>
        </w:rPr>
        <w:t>出决算情况说明</w:t>
      </w:r>
      <w:bookmarkEnd w:id="32"/>
      <w:bookmarkEnd w:id="33"/>
      <w:bookmarkEnd w:id="34"/>
    </w:p>
    <w:p>
      <w:pPr>
        <w:spacing w:line="600" w:lineRule="exact"/>
        <w:ind w:firstLine="640" w:firstLineChars="200"/>
        <w:outlineLvl w:val="1"/>
        <w:rPr>
          <w:rFonts w:ascii="仿宋" w:hAnsi="仿宋" w:eastAsia="仿宋"/>
          <w:sz w:val="32"/>
          <w:szCs w:val="32"/>
          <w:shd w:val="pct10" w:color="auto" w:fill="FFFFFF"/>
        </w:rPr>
      </w:pPr>
      <w:bookmarkStart w:id="35" w:name="_Toc22040"/>
      <w:r>
        <w:rPr>
          <w:rFonts w:ascii="仿宋" w:hAnsi="仿宋" w:eastAsia="仿宋"/>
          <w:sz w:val="32"/>
          <w:szCs w:val="32"/>
        </w:rPr>
        <w:t>20</w:t>
      </w:r>
      <w:r>
        <w:rPr>
          <w:rFonts w:hint="eastAsia" w:ascii="仿宋" w:hAnsi="仿宋" w:eastAsia="仿宋"/>
          <w:sz w:val="32"/>
          <w:szCs w:val="32"/>
        </w:rPr>
        <w:t>21年本年支出合计</w:t>
      </w:r>
      <w:r>
        <w:rPr>
          <w:rFonts w:hint="eastAsia" w:ascii="仿宋" w:hAnsi="仿宋" w:eastAsia="仿宋"/>
          <w:sz w:val="32"/>
          <w:szCs w:val="32"/>
          <w:lang w:val="en-US" w:eastAsia="zh-CN"/>
        </w:rPr>
        <w:t>176.18</w:t>
      </w:r>
      <w:r>
        <w:rPr>
          <w:rFonts w:hint="eastAsia" w:ascii="仿宋" w:hAnsi="仿宋" w:eastAsia="仿宋"/>
          <w:sz w:val="32"/>
          <w:szCs w:val="32"/>
        </w:rPr>
        <w:t>万元，其中：基本支出</w:t>
      </w:r>
      <w:r>
        <w:rPr>
          <w:rFonts w:hint="eastAsia" w:ascii="仿宋" w:hAnsi="仿宋" w:eastAsia="仿宋"/>
          <w:sz w:val="32"/>
          <w:szCs w:val="32"/>
          <w:lang w:val="en-US" w:eastAsia="zh-CN"/>
        </w:rPr>
        <w:t>106.65</w:t>
      </w:r>
      <w:r>
        <w:rPr>
          <w:rFonts w:hint="eastAsia" w:ascii="仿宋" w:hAnsi="仿宋" w:eastAsia="仿宋"/>
          <w:sz w:val="32"/>
          <w:szCs w:val="32"/>
        </w:rPr>
        <w:t>万元，占</w:t>
      </w:r>
      <w:r>
        <w:rPr>
          <w:rFonts w:hint="eastAsia" w:ascii="仿宋" w:hAnsi="仿宋" w:eastAsia="仿宋"/>
          <w:sz w:val="32"/>
          <w:szCs w:val="32"/>
          <w:lang w:val="en-US" w:eastAsia="zh-CN"/>
        </w:rPr>
        <w:t>60.53</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69.54</w:t>
      </w:r>
      <w:r>
        <w:rPr>
          <w:rFonts w:hint="eastAsia" w:ascii="仿宋" w:hAnsi="仿宋" w:eastAsia="仿宋"/>
          <w:sz w:val="32"/>
          <w:szCs w:val="32"/>
        </w:rPr>
        <w:t>万元，占</w:t>
      </w:r>
      <w:r>
        <w:rPr>
          <w:rFonts w:hint="eastAsia" w:ascii="仿宋" w:hAnsi="仿宋" w:eastAsia="仿宋"/>
          <w:sz w:val="32"/>
          <w:szCs w:val="32"/>
          <w:lang w:val="en-US" w:eastAsia="zh-CN"/>
        </w:rPr>
        <w:t>39.47</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bookmarkEnd w:id="35"/>
    </w:p>
    <w:p>
      <w:pPr>
        <w:pStyle w:val="2"/>
        <w:rPr>
          <w:rFonts w:hint="eastAsia" w:ascii="仿宋" w:hAnsi="仿宋" w:eastAsia="仿宋"/>
          <w:sz w:val="32"/>
          <w:szCs w:val="32"/>
          <w:shd w:val="pct10" w:color="auto" w:fill="FFFFFF"/>
          <w:lang w:eastAsia="zh-CN"/>
        </w:rPr>
      </w:pPr>
      <w:r>
        <w:drawing>
          <wp:inline distT="0" distB="0" distL="114300" distR="114300">
            <wp:extent cx="4624070" cy="2798445"/>
            <wp:effectExtent l="4445" t="4445" r="19685" b="16510"/>
            <wp:docPr id="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outlineLvl w:val="1"/>
        <w:rPr>
          <w:rFonts w:hint="eastAsia" w:ascii="黑体" w:hAnsi="黑体" w:eastAsia="黑体"/>
          <w:sz w:val="32"/>
          <w:szCs w:val="32"/>
        </w:rPr>
      </w:pPr>
      <w:bookmarkStart w:id="36" w:name="_Toc15377208"/>
      <w:bookmarkStart w:id="37" w:name="_Toc15396606"/>
      <w:bookmarkStart w:id="38" w:name="_Toc17627"/>
    </w:p>
    <w:p>
      <w:pPr>
        <w:spacing w:line="600" w:lineRule="exact"/>
        <w:ind w:firstLine="640" w:firstLineChars="200"/>
        <w:outlineLvl w:val="1"/>
        <w:rPr>
          <w:rStyle w:val="29"/>
          <w:rFonts w:ascii="黑体" w:hAnsi="黑体" w:eastAsia="黑体"/>
          <w:b w:val="0"/>
        </w:rPr>
      </w:pPr>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36"/>
      <w:bookmarkEnd w:id="37"/>
      <w:bookmarkEnd w:id="38"/>
    </w:p>
    <w:p>
      <w:pPr>
        <w:spacing w:line="600" w:lineRule="exact"/>
        <w:ind w:firstLine="640"/>
        <w:rPr>
          <w:rFonts w:hint="eastAsia" w:ascii="仿宋" w:hAnsi="仿宋" w:eastAsia="仿宋"/>
          <w:sz w:val="32"/>
          <w:szCs w:val="32"/>
          <w:lang w:eastAsia="zh-CN"/>
        </w:rPr>
      </w:pPr>
      <w:r>
        <w:rPr>
          <w:rFonts w:ascii="仿宋" w:hAnsi="仿宋" w:eastAsia="仿宋"/>
          <w:sz w:val="32"/>
          <w:szCs w:val="32"/>
        </w:rPr>
        <w:t>20</w:t>
      </w:r>
      <w:r>
        <w:rPr>
          <w:rFonts w:hint="eastAsia" w:ascii="仿宋" w:hAnsi="仿宋" w:eastAsia="仿宋"/>
          <w:sz w:val="32"/>
          <w:szCs w:val="32"/>
        </w:rPr>
        <w:t>21年财政拨款收</w:t>
      </w:r>
      <w:r>
        <w:rPr>
          <w:rFonts w:hint="eastAsia" w:ascii="仿宋" w:hAnsi="仿宋" w:eastAsia="仿宋"/>
          <w:sz w:val="32"/>
          <w:szCs w:val="32"/>
          <w:lang w:val="en-US" w:eastAsia="zh-CN"/>
        </w:rPr>
        <w:t>入总计150.47万元，与2020年136.69万元增加13.78万元，增长10.08%。2021年财政拨款支出总计157.94万元，与2020年129.59万元增加28.35万元，增长21.87%。</w:t>
      </w:r>
      <w:r>
        <w:rPr>
          <w:rFonts w:hint="eastAsia" w:ascii="仿宋" w:hAnsi="仿宋" w:eastAsia="仿宋"/>
          <w:sz w:val="32"/>
          <w:szCs w:val="32"/>
        </w:rPr>
        <w:t>主要变动原因是</w:t>
      </w:r>
      <w:r>
        <w:rPr>
          <w:rFonts w:hint="eastAsia" w:ascii="仿宋" w:hAnsi="仿宋" w:eastAsia="仿宋"/>
          <w:sz w:val="32"/>
          <w:szCs w:val="32"/>
          <w:lang w:eastAsia="zh-CN"/>
        </w:rPr>
        <w:t>：</w:t>
      </w:r>
      <w:r>
        <w:rPr>
          <w:rFonts w:hint="eastAsia" w:ascii="仿宋" w:hAnsi="仿宋" w:eastAsia="仿宋"/>
          <w:sz w:val="32"/>
          <w:szCs w:val="32"/>
        </w:rPr>
        <w:t>主要变动原因是</w:t>
      </w:r>
      <w:r>
        <w:rPr>
          <w:rFonts w:hint="eastAsia" w:ascii="仿宋" w:hAnsi="仿宋" w:eastAsia="仿宋"/>
          <w:sz w:val="32"/>
          <w:szCs w:val="32"/>
          <w:lang w:val="en-US" w:eastAsia="zh-CN"/>
        </w:rPr>
        <w:t>本年度收到</w:t>
      </w:r>
      <w:r>
        <w:rPr>
          <w:rFonts w:hint="eastAsia" w:ascii="仿宋_GB2312" w:hAnsi="仿宋" w:eastAsia="仿宋_GB2312"/>
          <w:sz w:val="32"/>
          <w:szCs w:val="32"/>
          <w:lang w:val="en-US" w:eastAsia="zh-CN"/>
        </w:rPr>
        <w:t>基本公共卫生经费在上年基础上增加。</w:t>
      </w:r>
    </w:p>
    <w:p>
      <w:pPr>
        <w:pStyle w:val="2"/>
        <w:rPr>
          <w:rFonts w:ascii="仿宋" w:hAnsi="仿宋" w:eastAsia="仿宋"/>
          <w:sz w:val="32"/>
          <w:szCs w:val="32"/>
        </w:rPr>
      </w:pPr>
      <w:r>
        <w:drawing>
          <wp:inline distT="0" distB="0" distL="114300" distR="114300">
            <wp:extent cx="4624070" cy="2798445"/>
            <wp:effectExtent l="4445" t="4445" r="19685" b="16510"/>
            <wp:docPr id="4"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rPr>
          <w:rFonts w:ascii="仿宋" w:hAnsi="仿宋" w:eastAsia="仿宋"/>
          <w:b/>
          <w:sz w:val="32"/>
          <w:szCs w:val="32"/>
        </w:rPr>
      </w:pPr>
    </w:p>
    <w:p>
      <w:pPr>
        <w:spacing w:line="600" w:lineRule="exact"/>
        <w:ind w:firstLine="640" w:firstLineChars="200"/>
        <w:outlineLvl w:val="1"/>
        <w:rPr>
          <w:rStyle w:val="29"/>
          <w:rFonts w:ascii="黑体" w:hAnsi="黑体" w:eastAsia="黑体"/>
          <w:b w:val="0"/>
        </w:rPr>
      </w:pPr>
      <w:bookmarkStart w:id="39" w:name="_Toc28910"/>
      <w:bookmarkStart w:id="40" w:name="_Toc15377209"/>
      <w:bookmarkStart w:id="41" w:name="_Toc15396607"/>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39"/>
      <w:bookmarkEnd w:id="40"/>
      <w:bookmarkEnd w:id="41"/>
    </w:p>
    <w:p>
      <w:pPr>
        <w:spacing w:line="600" w:lineRule="exact"/>
        <w:ind w:firstLine="643" w:firstLineChars="200"/>
        <w:outlineLvl w:val="2"/>
        <w:rPr>
          <w:rFonts w:ascii="仿宋" w:hAnsi="仿宋" w:eastAsia="仿宋"/>
          <w:b/>
          <w:sz w:val="32"/>
          <w:szCs w:val="32"/>
        </w:rPr>
      </w:pPr>
      <w:bookmarkStart w:id="42" w:name="_Toc15377210"/>
      <w:r>
        <w:rPr>
          <w:rFonts w:hint="eastAsia" w:ascii="仿宋" w:hAnsi="仿宋" w:eastAsia="仿宋"/>
          <w:b/>
          <w:sz w:val="32"/>
          <w:szCs w:val="32"/>
        </w:rPr>
        <w:t>（一）一般公共预算财政拨款支出决算总体情况</w:t>
      </w:r>
      <w:bookmarkEnd w:id="42"/>
    </w:p>
    <w:p>
      <w:pPr>
        <w:spacing w:line="600" w:lineRule="exact"/>
        <w:ind w:firstLine="640"/>
        <w:rPr>
          <w:rFonts w:hint="eastAsia" w:ascii="仿宋" w:hAnsi="仿宋" w:eastAsia="仿宋"/>
          <w:sz w:val="32"/>
          <w:szCs w:val="32"/>
          <w:lang w:eastAsia="zh-CN"/>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157.94</w:t>
      </w:r>
      <w:r>
        <w:rPr>
          <w:rFonts w:hint="eastAsia" w:ascii="仿宋" w:hAnsi="仿宋" w:eastAsia="仿宋"/>
          <w:sz w:val="32"/>
          <w:szCs w:val="32"/>
        </w:rPr>
        <w:t>万元，占本年支出合计的</w:t>
      </w:r>
      <w:r>
        <w:rPr>
          <w:rFonts w:hint="eastAsia" w:ascii="仿宋" w:hAnsi="仿宋" w:eastAsia="仿宋"/>
          <w:sz w:val="32"/>
          <w:szCs w:val="32"/>
          <w:lang w:val="en-US" w:eastAsia="zh-CN"/>
        </w:rPr>
        <w:t>89.64</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w:t>
      </w:r>
      <w:r>
        <w:rPr>
          <w:rFonts w:hint="eastAsia" w:ascii="仿宋" w:hAnsi="仿宋" w:eastAsia="仿宋"/>
          <w:sz w:val="32"/>
          <w:szCs w:val="32"/>
          <w:lang w:val="en-US" w:eastAsia="zh-CN"/>
        </w:rPr>
        <w:t>129.59万元</w:t>
      </w:r>
      <w:r>
        <w:rPr>
          <w:rFonts w:hint="eastAsia" w:ascii="仿宋" w:hAnsi="仿宋" w:eastAsia="仿宋"/>
          <w:sz w:val="32"/>
          <w:szCs w:val="32"/>
        </w:rPr>
        <w:t>相比，一般公共预算财政拨款支出增加</w:t>
      </w:r>
      <w:r>
        <w:rPr>
          <w:rFonts w:hint="eastAsia" w:ascii="仿宋" w:hAnsi="仿宋" w:eastAsia="仿宋"/>
          <w:sz w:val="32"/>
          <w:szCs w:val="32"/>
          <w:lang w:val="en-US" w:eastAsia="zh-CN"/>
        </w:rPr>
        <w:t>28.35</w:t>
      </w:r>
      <w:r>
        <w:rPr>
          <w:rFonts w:hint="eastAsia" w:ascii="仿宋" w:hAnsi="仿宋" w:eastAsia="仿宋"/>
          <w:sz w:val="32"/>
          <w:szCs w:val="32"/>
        </w:rPr>
        <w:t>万元，增长</w:t>
      </w:r>
      <w:r>
        <w:rPr>
          <w:rFonts w:hint="eastAsia" w:ascii="仿宋" w:hAnsi="仿宋" w:eastAsia="仿宋"/>
          <w:sz w:val="32"/>
          <w:szCs w:val="32"/>
          <w:lang w:val="en-US" w:eastAsia="zh-CN"/>
        </w:rPr>
        <w:t>21.87</w:t>
      </w:r>
      <w:r>
        <w:rPr>
          <w:rFonts w:ascii="仿宋" w:hAnsi="仿宋" w:eastAsia="仿宋"/>
          <w:sz w:val="32"/>
          <w:szCs w:val="32"/>
        </w:rPr>
        <w:t>%</w:t>
      </w:r>
      <w:r>
        <w:rPr>
          <w:rFonts w:hint="eastAsia" w:ascii="仿宋" w:hAnsi="仿宋" w:eastAsia="仿宋"/>
          <w:sz w:val="32"/>
          <w:szCs w:val="32"/>
        </w:rPr>
        <w:t>。主要变动原因是主要变动原因是</w:t>
      </w:r>
      <w:r>
        <w:rPr>
          <w:rFonts w:hint="eastAsia" w:ascii="仿宋" w:hAnsi="仿宋" w:eastAsia="仿宋"/>
          <w:sz w:val="32"/>
          <w:szCs w:val="32"/>
          <w:lang w:val="en-US" w:eastAsia="zh-CN"/>
        </w:rPr>
        <w:t>本年度收到</w:t>
      </w:r>
      <w:r>
        <w:rPr>
          <w:rFonts w:hint="eastAsia" w:ascii="仿宋_GB2312" w:hAnsi="仿宋" w:eastAsia="仿宋_GB2312"/>
          <w:sz w:val="32"/>
          <w:szCs w:val="32"/>
          <w:lang w:val="en-US" w:eastAsia="zh-CN"/>
        </w:rPr>
        <w:t>基本公共卫生经费在上年基础上增加。</w:t>
      </w:r>
    </w:p>
    <w:p>
      <w:pPr>
        <w:spacing w:line="600" w:lineRule="exact"/>
        <w:ind w:firstLine="420" w:firstLineChars="200"/>
        <w:rPr>
          <w:rFonts w:hint="default"/>
          <w:lang w:val="en-US"/>
        </w:rPr>
      </w:pPr>
    </w:p>
    <w:p>
      <w:pPr>
        <w:pStyle w:val="2"/>
        <w:rPr>
          <w:rFonts w:hint="default"/>
          <w:lang w:val="en-US"/>
        </w:rPr>
      </w:pPr>
      <w:r>
        <w:drawing>
          <wp:inline distT="0" distB="0" distL="114300" distR="114300">
            <wp:extent cx="4624070" cy="2798445"/>
            <wp:effectExtent l="4445" t="4445" r="19685" b="16510"/>
            <wp:docPr id="7"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43" w:name="_Toc15377211"/>
      <w:r>
        <w:rPr>
          <w:rFonts w:hint="eastAsia" w:ascii="仿宋" w:hAnsi="仿宋" w:eastAsia="仿宋"/>
          <w:b/>
          <w:sz w:val="32"/>
          <w:szCs w:val="32"/>
        </w:rPr>
        <w:t>（二）一般公共预算财政拨款支出决算结构情况</w:t>
      </w:r>
      <w:bookmarkEnd w:id="43"/>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157.94</w:t>
      </w:r>
      <w:r>
        <w:rPr>
          <w:rFonts w:hint="eastAsia" w:ascii="仿宋" w:hAnsi="仿宋" w:eastAsia="仿宋"/>
          <w:sz w:val="32"/>
          <w:szCs w:val="32"/>
        </w:rPr>
        <w:t>万元，主要用于以下方</w:t>
      </w:r>
      <w:r>
        <w:rPr>
          <w:rFonts w:hint="eastAsia" w:ascii="仿宋" w:hAnsi="仿宋" w:eastAsia="仿宋" w:cs="Times New Roman"/>
          <w:sz w:val="32"/>
          <w:szCs w:val="32"/>
        </w:rPr>
        <w:t>面:一般公共服务（类）支出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%；教育支出（类）</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%；科学技术（类）支出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%；文化旅游体育与传媒（类）支出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%；社会保障和就业（类）支出</w:t>
      </w:r>
      <w:r>
        <w:rPr>
          <w:rFonts w:hint="eastAsia" w:ascii="仿宋" w:hAnsi="仿宋" w:eastAsia="仿宋" w:cs="Times New Roman"/>
          <w:sz w:val="32"/>
          <w:szCs w:val="32"/>
          <w:lang w:val="en-US" w:eastAsia="zh-CN"/>
        </w:rPr>
        <w:t>10.14</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6.42</w:t>
      </w:r>
      <w:r>
        <w:rPr>
          <w:rFonts w:hint="eastAsia" w:ascii="仿宋" w:hAnsi="仿宋" w:eastAsia="仿宋" w:cs="Times New Roman"/>
          <w:sz w:val="32"/>
          <w:szCs w:val="32"/>
        </w:rPr>
        <w:t>%；卫生健康支出</w:t>
      </w:r>
      <w:r>
        <w:rPr>
          <w:rFonts w:hint="eastAsia" w:ascii="仿宋" w:hAnsi="仿宋" w:eastAsia="仿宋" w:cs="Times New Roman"/>
          <w:sz w:val="32"/>
          <w:szCs w:val="32"/>
          <w:lang w:val="en-US" w:eastAsia="zh-CN"/>
        </w:rPr>
        <w:t>137.90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87.31</w:t>
      </w:r>
      <w:r>
        <w:rPr>
          <w:rFonts w:hint="eastAsia" w:ascii="仿宋" w:hAnsi="仿宋" w:eastAsia="仿宋" w:cs="Times New Roman"/>
          <w:sz w:val="32"/>
          <w:szCs w:val="32"/>
        </w:rPr>
        <w:t>%；住房保障支出</w:t>
      </w:r>
      <w:r>
        <w:rPr>
          <w:rFonts w:hint="eastAsia" w:ascii="仿宋" w:hAnsi="仿宋" w:eastAsia="仿宋" w:cs="Times New Roman"/>
          <w:sz w:val="32"/>
          <w:szCs w:val="32"/>
          <w:lang w:val="en-US" w:eastAsia="zh-CN"/>
        </w:rPr>
        <w:t>9.89</w:t>
      </w:r>
      <w:r>
        <w:rPr>
          <w:rFonts w:hint="eastAsia" w:ascii="仿宋" w:hAnsi="仿宋" w:eastAsia="仿宋" w:cs="Times New Roman"/>
          <w:sz w:val="32"/>
          <w:szCs w:val="32"/>
        </w:rPr>
        <w:t>万元，</w:t>
      </w:r>
      <w:r>
        <w:rPr>
          <w:rFonts w:hint="eastAsia" w:ascii="仿宋" w:hAnsi="仿宋" w:eastAsia="仿宋"/>
          <w:sz w:val="32"/>
          <w:szCs w:val="32"/>
        </w:rPr>
        <w:t>占</w:t>
      </w:r>
      <w:r>
        <w:rPr>
          <w:rFonts w:hint="eastAsia" w:ascii="仿宋" w:hAnsi="仿宋" w:eastAsia="仿宋"/>
          <w:sz w:val="32"/>
          <w:szCs w:val="32"/>
          <w:lang w:val="en-US" w:eastAsia="zh-CN"/>
        </w:rPr>
        <w:t>6.26</w:t>
      </w:r>
      <w:r>
        <w:rPr>
          <w:rFonts w:ascii="仿宋" w:hAnsi="仿宋" w:eastAsia="仿宋"/>
          <w:sz w:val="32"/>
          <w:szCs w:val="32"/>
        </w:rPr>
        <w:t>%</w:t>
      </w:r>
      <w:r>
        <w:rPr>
          <w:rFonts w:hint="eastAsia" w:ascii="仿宋" w:hAnsi="仿宋" w:eastAsia="仿宋"/>
          <w:sz w:val="32"/>
          <w:szCs w:val="32"/>
        </w:rPr>
        <w:t>。</w:t>
      </w:r>
    </w:p>
    <w:p>
      <w:pPr>
        <w:pStyle w:val="2"/>
        <w:jc w:val="center"/>
        <w:rPr>
          <w:rFonts w:ascii="仿宋" w:hAnsi="仿宋" w:eastAsia="仿宋"/>
          <w:sz w:val="32"/>
          <w:szCs w:val="32"/>
        </w:rPr>
      </w:pPr>
      <w:r>
        <w:drawing>
          <wp:inline distT="0" distB="0" distL="114300" distR="114300">
            <wp:extent cx="4624070" cy="2798445"/>
            <wp:effectExtent l="4445" t="4445" r="19685" b="16510"/>
            <wp:docPr id="8"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hint="eastAsia"/>
          <w:lang w:val="en-US" w:eastAsia="zh-CN"/>
        </w:rPr>
        <w:t xml:space="preserve">    </w:t>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44" w:name="_Toc15377212"/>
      <w:r>
        <w:rPr>
          <w:rFonts w:hint="eastAsia" w:ascii="仿宋" w:hAnsi="仿宋" w:eastAsia="仿宋"/>
          <w:b/>
          <w:sz w:val="32"/>
          <w:szCs w:val="32"/>
        </w:rPr>
        <w:t>（三）一般公共预算财政拨款支出决算具体情况</w:t>
      </w:r>
      <w:bookmarkEnd w:id="44"/>
    </w:p>
    <w:p>
      <w:pPr>
        <w:spacing w:line="600" w:lineRule="exact"/>
        <w:ind w:firstLine="643" w:firstLineChars="200"/>
        <w:outlineLvl w:val="2"/>
        <w:rPr>
          <w:rFonts w:ascii="仿宋" w:hAnsi="仿宋" w:eastAsia="仿宋"/>
          <w:sz w:val="32"/>
          <w:szCs w:val="32"/>
        </w:rPr>
      </w:pPr>
      <w:bookmarkStart w:id="45" w:name="_Toc15377213"/>
      <w:bookmarkStart w:id="46" w:name="_Toc15378460"/>
      <w:bookmarkStart w:id="47" w:name="_Toc15377444"/>
      <w:r>
        <w:rPr>
          <w:rFonts w:hint="eastAsia" w:ascii="仿宋" w:hAnsi="仿宋" w:eastAsia="仿宋"/>
          <w:b/>
          <w:sz w:val="32"/>
          <w:szCs w:val="32"/>
        </w:rPr>
        <w:t>2021年一般公共预算支出决算数为</w:t>
      </w:r>
      <w:r>
        <w:rPr>
          <w:rFonts w:hint="eastAsia" w:ascii="仿宋" w:hAnsi="仿宋" w:eastAsia="仿宋"/>
          <w:b/>
          <w:sz w:val="32"/>
          <w:szCs w:val="32"/>
          <w:lang w:val="en-US" w:eastAsia="zh-CN"/>
        </w:rPr>
        <w:t>157.94</w:t>
      </w:r>
      <w:r>
        <w:rPr>
          <w:rFonts w:hint="eastAsia" w:ascii="仿宋" w:hAnsi="仿宋" w:eastAsia="仿宋"/>
          <w:sz w:val="32"/>
          <w:szCs w:val="32"/>
        </w:rPr>
        <w:t>，</w:t>
      </w:r>
      <w:r>
        <w:rPr>
          <w:rStyle w:val="14"/>
          <w:rFonts w:hint="eastAsia" w:ascii="仿宋" w:hAnsi="仿宋" w:eastAsia="仿宋"/>
          <w:bCs/>
          <w:sz w:val="32"/>
          <w:szCs w:val="32"/>
        </w:rPr>
        <w:t>完成预算</w:t>
      </w:r>
      <w:r>
        <w:rPr>
          <w:rStyle w:val="14"/>
          <w:rFonts w:hint="eastAsia" w:ascii="仿宋" w:hAnsi="仿宋" w:eastAsia="仿宋"/>
          <w:bCs/>
          <w:sz w:val="32"/>
          <w:szCs w:val="32"/>
          <w:lang w:val="en-US" w:eastAsia="zh-CN"/>
        </w:rPr>
        <w:t>100</w:t>
      </w:r>
      <w:r>
        <w:rPr>
          <w:rStyle w:val="14"/>
          <w:rFonts w:ascii="仿宋" w:hAnsi="仿宋" w:eastAsia="仿宋"/>
          <w:bCs/>
          <w:sz w:val="32"/>
          <w:szCs w:val="32"/>
        </w:rPr>
        <w:t>%</w:t>
      </w:r>
      <w:r>
        <w:rPr>
          <w:rStyle w:val="14"/>
          <w:rFonts w:hint="eastAsia" w:ascii="仿宋" w:hAnsi="仿宋" w:eastAsia="仿宋"/>
          <w:bCs/>
          <w:sz w:val="32"/>
          <w:szCs w:val="32"/>
        </w:rPr>
        <w:t>。其中：</w:t>
      </w:r>
      <w:bookmarkEnd w:id="45"/>
      <w:bookmarkEnd w:id="46"/>
      <w:bookmarkEnd w:id="47"/>
    </w:p>
    <w:p>
      <w:pPr>
        <w:spacing w:line="600" w:lineRule="exact"/>
        <w:ind w:firstLine="640" w:firstLineChars="200"/>
        <w:rPr>
          <w:rStyle w:val="14"/>
          <w:rFonts w:hint="eastAsia" w:ascii="仿宋" w:hAnsi="仿宋" w:eastAsia="仿宋" w:cs="黑体"/>
          <w:b w:val="0"/>
          <w:bCs/>
          <w:sz w:val="32"/>
          <w:szCs w:val="32"/>
        </w:rPr>
      </w:pPr>
      <w:r>
        <w:rPr>
          <w:rStyle w:val="14"/>
          <w:rFonts w:hint="eastAsia" w:ascii="仿宋" w:hAnsi="仿宋" w:eastAsia="仿宋" w:cs="黑体"/>
          <w:b w:val="0"/>
          <w:bCs/>
          <w:sz w:val="32"/>
          <w:szCs w:val="32"/>
        </w:rPr>
        <w:t>1.社会保障和就业支出（类）行政事业单位养老支出（款）机关事业单位基本养老保险缴费支出（项）:支出决算为</w:t>
      </w:r>
      <w:r>
        <w:rPr>
          <w:rStyle w:val="14"/>
          <w:rFonts w:hint="eastAsia" w:ascii="仿宋" w:hAnsi="仿宋" w:eastAsia="仿宋" w:cs="黑体"/>
          <w:b w:val="0"/>
          <w:bCs/>
          <w:sz w:val="32"/>
          <w:szCs w:val="32"/>
          <w:lang w:val="en-US" w:eastAsia="zh-CN"/>
        </w:rPr>
        <w:t>10.14</w:t>
      </w:r>
      <w:r>
        <w:rPr>
          <w:rStyle w:val="14"/>
          <w:rFonts w:hint="eastAsia" w:ascii="仿宋" w:hAnsi="仿宋" w:eastAsia="仿宋" w:cs="黑体"/>
          <w:b w:val="0"/>
          <w:bCs/>
          <w:sz w:val="32"/>
          <w:szCs w:val="32"/>
        </w:rPr>
        <w:t>万元，完成预算</w:t>
      </w:r>
      <w:r>
        <w:rPr>
          <w:rStyle w:val="14"/>
          <w:rFonts w:hint="eastAsia" w:ascii="仿宋" w:hAnsi="仿宋" w:eastAsia="仿宋" w:cs="黑体"/>
          <w:b w:val="0"/>
          <w:bCs/>
          <w:sz w:val="32"/>
          <w:szCs w:val="32"/>
          <w:lang w:val="en-US" w:eastAsia="zh-CN"/>
        </w:rPr>
        <w:t>100</w:t>
      </w:r>
      <w:r>
        <w:rPr>
          <w:rStyle w:val="14"/>
          <w:rFonts w:hint="eastAsia" w:ascii="仿宋" w:hAnsi="仿宋" w:eastAsia="仿宋" w:cs="黑体"/>
          <w:b w:val="0"/>
          <w:bCs/>
          <w:sz w:val="32"/>
          <w:szCs w:val="32"/>
        </w:rPr>
        <w:t>%，决算数等于预算数。</w:t>
      </w:r>
    </w:p>
    <w:p>
      <w:pPr>
        <w:spacing w:line="600" w:lineRule="exact"/>
        <w:ind w:firstLine="640" w:firstLineChars="200"/>
        <w:rPr>
          <w:rStyle w:val="14"/>
          <w:rFonts w:hint="eastAsia" w:ascii="仿宋" w:hAnsi="仿宋" w:eastAsia="仿宋" w:cs="黑体"/>
          <w:b w:val="0"/>
          <w:bCs/>
          <w:sz w:val="32"/>
          <w:szCs w:val="32"/>
        </w:rPr>
      </w:pPr>
      <w:r>
        <w:rPr>
          <w:rStyle w:val="14"/>
          <w:rFonts w:hint="eastAsia" w:ascii="仿宋" w:hAnsi="仿宋" w:eastAsia="仿宋" w:cs="黑体"/>
          <w:b w:val="0"/>
          <w:bCs/>
          <w:sz w:val="32"/>
          <w:szCs w:val="32"/>
        </w:rPr>
        <w:t>2.卫生健康支出（类）基层医疗卫生机构（款）乡镇卫生院（项）:支出决算为</w:t>
      </w:r>
      <w:r>
        <w:rPr>
          <w:rStyle w:val="14"/>
          <w:rFonts w:hint="eastAsia" w:ascii="仿宋" w:hAnsi="仿宋" w:eastAsia="仿宋" w:cs="黑体"/>
          <w:b w:val="0"/>
          <w:bCs/>
          <w:sz w:val="32"/>
          <w:szCs w:val="32"/>
          <w:lang w:val="en-US" w:eastAsia="zh-CN"/>
        </w:rPr>
        <w:t>87.23</w:t>
      </w:r>
      <w:r>
        <w:rPr>
          <w:rStyle w:val="14"/>
          <w:rFonts w:hint="eastAsia" w:ascii="仿宋" w:hAnsi="仿宋" w:eastAsia="仿宋" w:cs="黑体"/>
          <w:b w:val="0"/>
          <w:bCs/>
          <w:sz w:val="32"/>
          <w:szCs w:val="32"/>
        </w:rPr>
        <w:t>万元，完成预算</w:t>
      </w:r>
      <w:r>
        <w:rPr>
          <w:rStyle w:val="14"/>
          <w:rFonts w:hint="eastAsia" w:ascii="仿宋" w:hAnsi="仿宋" w:eastAsia="仿宋" w:cs="黑体"/>
          <w:b w:val="0"/>
          <w:bCs/>
          <w:sz w:val="32"/>
          <w:szCs w:val="32"/>
          <w:lang w:val="en-US" w:eastAsia="zh-CN"/>
        </w:rPr>
        <w:t>100</w:t>
      </w:r>
      <w:r>
        <w:rPr>
          <w:rStyle w:val="14"/>
          <w:rFonts w:hint="eastAsia" w:ascii="仿宋" w:hAnsi="仿宋" w:eastAsia="仿宋" w:cs="黑体"/>
          <w:b w:val="0"/>
          <w:bCs/>
          <w:sz w:val="32"/>
          <w:szCs w:val="32"/>
        </w:rPr>
        <w:t>%，决算数等于预算数。</w:t>
      </w:r>
    </w:p>
    <w:p>
      <w:pPr>
        <w:spacing w:line="600" w:lineRule="exact"/>
        <w:ind w:firstLine="640" w:firstLineChars="200"/>
        <w:rPr>
          <w:rStyle w:val="14"/>
          <w:rFonts w:hint="eastAsia" w:ascii="仿宋" w:hAnsi="仿宋" w:eastAsia="仿宋" w:cs="黑体"/>
          <w:b w:val="0"/>
          <w:bCs/>
          <w:sz w:val="32"/>
          <w:szCs w:val="32"/>
        </w:rPr>
      </w:pPr>
      <w:r>
        <w:rPr>
          <w:rStyle w:val="14"/>
          <w:rFonts w:hint="eastAsia" w:ascii="仿宋" w:hAnsi="仿宋" w:eastAsia="仿宋" w:cs="黑体"/>
          <w:b w:val="0"/>
          <w:bCs/>
          <w:sz w:val="32"/>
          <w:szCs w:val="32"/>
        </w:rPr>
        <w:t>3.卫生健康支出（类）基层医疗卫生机构（款）其他基层医疗卫生机构支出（项）:支出决算为</w:t>
      </w:r>
      <w:r>
        <w:rPr>
          <w:rStyle w:val="14"/>
          <w:rFonts w:hint="eastAsia" w:ascii="仿宋" w:hAnsi="仿宋" w:eastAsia="仿宋" w:cs="黑体"/>
          <w:b w:val="0"/>
          <w:bCs/>
          <w:sz w:val="32"/>
          <w:szCs w:val="32"/>
          <w:lang w:val="en-US" w:eastAsia="zh-CN"/>
        </w:rPr>
        <w:t>10.5</w:t>
      </w:r>
      <w:r>
        <w:rPr>
          <w:rStyle w:val="14"/>
          <w:rFonts w:hint="eastAsia" w:ascii="仿宋" w:hAnsi="仿宋" w:eastAsia="仿宋" w:cs="黑体"/>
          <w:b w:val="0"/>
          <w:bCs/>
          <w:sz w:val="32"/>
          <w:szCs w:val="32"/>
        </w:rPr>
        <w:t>万元，完成预算</w:t>
      </w:r>
      <w:r>
        <w:rPr>
          <w:rStyle w:val="14"/>
          <w:rFonts w:hint="eastAsia" w:ascii="仿宋" w:hAnsi="仿宋" w:eastAsia="仿宋" w:cs="黑体"/>
          <w:b w:val="0"/>
          <w:bCs/>
          <w:sz w:val="32"/>
          <w:szCs w:val="32"/>
          <w:lang w:val="en-US" w:eastAsia="zh-CN"/>
        </w:rPr>
        <w:t>100</w:t>
      </w:r>
      <w:r>
        <w:rPr>
          <w:rStyle w:val="14"/>
          <w:rFonts w:hint="eastAsia" w:ascii="仿宋" w:hAnsi="仿宋" w:eastAsia="仿宋" w:cs="黑体"/>
          <w:b w:val="0"/>
          <w:bCs/>
          <w:sz w:val="32"/>
          <w:szCs w:val="32"/>
        </w:rPr>
        <w:t>%，决算数等于预算数。</w:t>
      </w:r>
    </w:p>
    <w:p>
      <w:pPr>
        <w:spacing w:line="600" w:lineRule="exact"/>
        <w:ind w:firstLine="640" w:firstLineChars="200"/>
        <w:rPr>
          <w:rStyle w:val="14"/>
          <w:rFonts w:hint="eastAsia" w:ascii="仿宋" w:hAnsi="仿宋" w:eastAsia="仿宋" w:cs="黑体"/>
          <w:b w:val="0"/>
          <w:bCs/>
          <w:sz w:val="32"/>
          <w:szCs w:val="32"/>
        </w:rPr>
      </w:pPr>
      <w:r>
        <w:rPr>
          <w:rStyle w:val="14"/>
          <w:rFonts w:hint="eastAsia" w:ascii="仿宋" w:hAnsi="仿宋" w:eastAsia="仿宋" w:cs="黑体"/>
          <w:b w:val="0"/>
          <w:bCs/>
          <w:sz w:val="32"/>
          <w:szCs w:val="32"/>
        </w:rPr>
        <w:t>4.卫生健康支出（类）公共卫生（款）基本公共卫生服务（项）:支出决算为</w:t>
      </w:r>
      <w:r>
        <w:rPr>
          <w:rStyle w:val="14"/>
          <w:rFonts w:hint="eastAsia" w:ascii="仿宋" w:hAnsi="仿宋" w:eastAsia="仿宋" w:cs="黑体"/>
          <w:b w:val="0"/>
          <w:bCs/>
          <w:sz w:val="32"/>
          <w:szCs w:val="32"/>
          <w:lang w:val="en-US" w:eastAsia="zh-CN"/>
        </w:rPr>
        <w:t>39.00</w:t>
      </w:r>
      <w:r>
        <w:rPr>
          <w:rStyle w:val="14"/>
          <w:rFonts w:hint="eastAsia" w:ascii="仿宋" w:hAnsi="仿宋" w:eastAsia="仿宋" w:cs="黑体"/>
          <w:b w:val="0"/>
          <w:bCs/>
          <w:sz w:val="32"/>
          <w:szCs w:val="32"/>
        </w:rPr>
        <w:t>万元，完成预算</w:t>
      </w:r>
      <w:r>
        <w:rPr>
          <w:rStyle w:val="14"/>
          <w:rFonts w:hint="eastAsia" w:ascii="仿宋" w:hAnsi="仿宋" w:eastAsia="仿宋" w:cs="黑体"/>
          <w:b w:val="0"/>
          <w:bCs/>
          <w:sz w:val="32"/>
          <w:szCs w:val="32"/>
          <w:lang w:val="en-US" w:eastAsia="zh-CN"/>
        </w:rPr>
        <w:t>100</w:t>
      </w:r>
      <w:r>
        <w:rPr>
          <w:rStyle w:val="14"/>
          <w:rFonts w:hint="eastAsia" w:ascii="仿宋" w:hAnsi="仿宋" w:eastAsia="仿宋" w:cs="黑体"/>
          <w:b w:val="0"/>
          <w:bCs/>
          <w:sz w:val="32"/>
          <w:szCs w:val="32"/>
        </w:rPr>
        <w:t>%，决算数等于预算数。</w:t>
      </w:r>
    </w:p>
    <w:p>
      <w:pPr>
        <w:spacing w:line="600" w:lineRule="exact"/>
        <w:ind w:firstLine="640" w:firstLineChars="200"/>
        <w:rPr>
          <w:rStyle w:val="14"/>
          <w:rFonts w:hint="eastAsia" w:ascii="仿宋" w:hAnsi="仿宋" w:eastAsia="仿宋" w:cs="黑体"/>
          <w:b w:val="0"/>
          <w:bCs/>
          <w:sz w:val="32"/>
          <w:szCs w:val="32"/>
        </w:rPr>
      </w:pPr>
      <w:r>
        <w:rPr>
          <w:rStyle w:val="14"/>
          <w:rFonts w:hint="eastAsia" w:ascii="仿宋" w:hAnsi="仿宋" w:eastAsia="仿宋" w:cs="黑体"/>
          <w:b w:val="0"/>
          <w:bCs/>
          <w:sz w:val="32"/>
          <w:szCs w:val="32"/>
        </w:rPr>
        <w:t>5.卫生健康支出（类）公共卫生（款）重大公共卫生服务（项）:支出决算为</w:t>
      </w:r>
      <w:r>
        <w:rPr>
          <w:rStyle w:val="14"/>
          <w:rFonts w:hint="eastAsia" w:ascii="仿宋" w:hAnsi="仿宋" w:eastAsia="仿宋" w:cs="黑体"/>
          <w:b w:val="0"/>
          <w:bCs/>
          <w:sz w:val="32"/>
          <w:szCs w:val="32"/>
          <w:lang w:val="en-US" w:eastAsia="zh-CN"/>
        </w:rPr>
        <w:t>2.63</w:t>
      </w:r>
      <w:r>
        <w:rPr>
          <w:rStyle w:val="14"/>
          <w:rFonts w:hint="eastAsia" w:ascii="仿宋" w:hAnsi="仿宋" w:eastAsia="仿宋" w:cs="黑体"/>
          <w:b w:val="0"/>
          <w:bCs/>
          <w:sz w:val="32"/>
          <w:szCs w:val="32"/>
        </w:rPr>
        <w:t>万元，完成预算</w:t>
      </w:r>
      <w:r>
        <w:rPr>
          <w:rStyle w:val="14"/>
          <w:rFonts w:hint="eastAsia" w:ascii="仿宋" w:hAnsi="仿宋" w:eastAsia="仿宋" w:cs="黑体"/>
          <w:b w:val="0"/>
          <w:bCs/>
          <w:sz w:val="32"/>
          <w:szCs w:val="32"/>
          <w:lang w:val="en-US" w:eastAsia="zh-CN"/>
        </w:rPr>
        <w:t>100</w:t>
      </w:r>
      <w:r>
        <w:rPr>
          <w:rStyle w:val="14"/>
          <w:rFonts w:hint="eastAsia" w:ascii="仿宋" w:hAnsi="仿宋" w:eastAsia="仿宋" w:cs="黑体"/>
          <w:b w:val="0"/>
          <w:bCs/>
          <w:sz w:val="32"/>
          <w:szCs w:val="32"/>
        </w:rPr>
        <w:t>%，决算数等于预算数。</w:t>
      </w:r>
    </w:p>
    <w:p>
      <w:pPr>
        <w:spacing w:line="600" w:lineRule="exact"/>
        <w:ind w:firstLine="640" w:firstLineChars="200"/>
        <w:rPr>
          <w:rStyle w:val="14"/>
          <w:rFonts w:hint="eastAsia" w:ascii="仿宋" w:hAnsi="仿宋" w:eastAsia="仿宋" w:cs="黑体"/>
          <w:b w:val="0"/>
          <w:bCs/>
          <w:sz w:val="32"/>
          <w:szCs w:val="32"/>
        </w:rPr>
      </w:pPr>
      <w:r>
        <w:rPr>
          <w:rStyle w:val="14"/>
          <w:rFonts w:hint="eastAsia" w:ascii="仿宋" w:hAnsi="仿宋" w:eastAsia="仿宋" w:cs="黑体"/>
          <w:b w:val="0"/>
          <w:bCs/>
          <w:sz w:val="32"/>
          <w:szCs w:val="32"/>
          <w:lang w:val="en-US" w:eastAsia="zh-CN"/>
        </w:rPr>
        <w:t>6</w:t>
      </w:r>
      <w:r>
        <w:rPr>
          <w:rStyle w:val="14"/>
          <w:rFonts w:hint="eastAsia" w:ascii="仿宋" w:hAnsi="仿宋" w:eastAsia="仿宋" w:cs="黑体"/>
          <w:b w:val="0"/>
          <w:bCs/>
          <w:sz w:val="32"/>
          <w:szCs w:val="32"/>
        </w:rPr>
        <w:t>.卫生健康支出（类）行政事业单位医疗（款）事业单位医疗（项）:支出决算为</w:t>
      </w:r>
      <w:r>
        <w:rPr>
          <w:rStyle w:val="14"/>
          <w:rFonts w:hint="eastAsia" w:ascii="仿宋" w:hAnsi="仿宋" w:eastAsia="仿宋" w:cs="黑体"/>
          <w:b w:val="0"/>
          <w:bCs/>
          <w:sz w:val="32"/>
          <w:szCs w:val="32"/>
          <w:lang w:val="en-US" w:eastAsia="zh-CN"/>
        </w:rPr>
        <w:t>5.24</w:t>
      </w:r>
      <w:r>
        <w:rPr>
          <w:rStyle w:val="14"/>
          <w:rFonts w:hint="eastAsia" w:ascii="仿宋" w:hAnsi="仿宋" w:eastAsia="仿宋" w:cs="黑体"/>
          <w:b w:val="0"/>
          <w:bCs/>
          <w:sz w:val="32"/>
          <w:szCs w:val="32"/>
        </w:rPr>
        <w:t>万元，完成预算</w:t>
      </w:r>
      <w:r>
        <w:rPr>
          <w:rStyle w:val="14"/>
          <w:rFonts w:hint="eastAsia" w:ascii="仿宋" w:hAnsi="仿宋" w:eastAsia="仿宋" w:cs="黑体"/>
          <w:b w:val="0"/>
          <w:bCs/>
          <w:sz w:val="32"/>
          <w:szCs w:val="32"/>
          <w:lang w:val="en-US" w:eastAsia="zh-CN"/>
        </w:rPr>
        <w:t>100</w:t>
      </w:r>
      <w:r>
        <w:rPr>
          <w:rStyle w:val="14"/>
          <w:rFonts w:hint="eastAsia" w:ascii="仿宋" w:hAnsi="仿宋" w:eastAsia="仿宋" w:cs="黑体"/>
          <w:b w:val="0"/>
          <w:bCs/>
          <w:sz w:val="32"/>
          <w:szCs w:val="32"/>
        </w:rPr>
        <w:t>%，决算数等于预算数。</w:t>
      </w:r>
    </w:p>
    <w:p>
      <w:pPr>
        <w:spacing w:line="600" w:lineRule="exact"/>
        <w:ind w:firstLine="640" w:firstLineChars="200"/>
        <w:rPr>
          <w:rStyle w:val="14"/>
          <w:rFonts w:hint="eastAsia" w:ascii="仿宋" w:hAnsi="仿宋" w:eastAsia="仿宋" w:cs="黑体"/>
          <w:b w:val="0"/>
          <w:bCs/>
          <w:sz w:val="32"/>
          <w:szCs w:val="32"/>
        </w:rPr>
      </w:pPr>
      <w:r>
        <w:rPr>
          <w:rStyle w:val="14"/>
          <w:rFonts w:hint="eastAsia" w:ascii="仿宋" w:hAnsi="仿宋" w:eastAsia="仿宋" w:cs="黑体"/>
          <w:b w:val="0"/>
          <w:bCs/>
          <w:sz w:val="32"/>
          <w:szCs w:val="32"/>
          <w:lang w:val="en-US" w:eastAsia="zh-CN"/>
        </w:rPr>
        <w:t>7</w:t>
      </w:r>
      <w:r>
        <w:rPr>
          <w:rStyle w:val="14"/>
          <w:rFonts w:hint="eastAsia" w:ascii="仿宋" w:hAnsi="仿宋" w:eastAsia="仿宋" w:cs="黑体"/>
          <w:b w:val="0"/>
          <w:bCs/>
          <w:sz w:val="32"/>
          <w:szCs w:val="32"/>
        </w:rPr>
        <w:t>.卫生健康支出（类）行政事业单位医疗（款）公务员医疗补助（项）:支出决算为</w:t>
      </w:r>
      <w:r>
        <w:rPr>
          <w:rStyle w:val="14"/>
          <w:rFonts w:hint="eastAsia" w:ascii="仿宋" w:hAnsi="仿宋" w:eastAsia="仿宋" w:cs="黑体"/>
          <w:b w:val="0"/>
          <w:bCs/>
          <w:sz w:val="32"/>
          <w:szCs w:val="32"/>
          <w:lang w:val="en-US" w:eastAsia="zh-CN"/>
        </w:rPr>
        <w:t>0.87</w:t>
      </w:r>
      <w:r>
        <w:rPr>
          <w:rStyle w:val="14"/>
          <w:rFonts w:hint="eastAsia" w:ascii="仿宋" w:hAnsi="仿宋" w:eastAsia="仿宋" w:cs="黑体"/>
          <w:b w:val="0"/>
          <w:bCs/>
          <w:sz w:val="32"/>
          <w:szCs w:val="32"/>
        </w:rPr>
        <w:t>万元，完成预算</w:t>
      </w:r>
      <w:r>
        <w:rPr>
          <w:rStyle w:val="14"/>
          <w:rFonts w:hint="eastAsia" w:ascii="仿宋" w:hAnsi="仿宋" w:eastAsia="仿宋" w:cs="黑体"/>
          <w:b w:val="0"/>
          <w:bCs/>
          <w:sz w:val="32"/>
          <w:szCs w:val="32"/>
          <w:lang w:val="en-US" w:eastAsia="zh-CN"/>
        </w:rPr>
        <w:t>100</w:t>
      </w:r>
      <w:r>
        <w:rPr>
          <w:rStyle w:val="14"/>
          <w:rFonts w:hint="eastAsia" w:ascii="仿宋" w:hAnsi="仿宋" w:eastAsia="仿宋" w:cs="黑体"/>
          <w:b w:val="0"/>
          <w:bCs/>
          <w:sz w:val="32"/>
          <w:szCs w:val="32"/>
        </w:rPr>
        <w:t>%，决算数等于预算数。</w:t>
      </w:r>
    </w:p>
    <w:p>
      <w:pPr>
        <w:spacing w:line="600" w:lineRule="exact"/>
        <w:ind w:firstLine="640" w:firstLineChars="200"/>
        <w:rPr>
          <w:rStyle w:val="14"/>
          <w:rFonts w:hint="eastAsia" w:ascii="仿宋" w:hAnsi="仿宋" w:eastAsia="仿宋" w:cs="黑体"/>
          <w:b w:val="0"/>
          <w:bCs/>
          <w:sz w:val="32"/>
          <w:szCs w:val="32"/>
        </w:rPr>
      </w:pPr>
      <w:r>
        <w:rPr>
          <w:rStyle w:val="14"/>
          <w:rFonts w:hint="eastAsia" w:ascii="仿宋" w:hAnsi="仿宋" w:eastAsia="仿宋" w:cs="黑体"/>
          <w:b w:val="0"/>
          <w:bCs/>
          <w:sz w:val="32"/>
          <w:szCs w:val="32"/>
          <w:lang w:val="en-US" w:eastAsia="zh-CN"/>
        </w:rPr>
        <w:t>8</w:t>
      </w:r>
      <w:r>
        <w:rPr>
          <w:rStyle w:val="14"/>
          <w:rFonts w:hint="eastAsia" w:ascii="仿宋" w:hAnsi="仿宋" w:eastAsia="仿宋" w:cs="黑体"/>
          <w:b w:val="0"/>
          <w:bCs/>
          <w:sz w:val="32"/>
          <w:szCs w:val="32"/>
        </w:rPr>
        <w:t>.卫生健康支出（类）其他卫生健康支出（款）其他卫生健康支出（项）:支出决算为</w:t>
      </w:r>
      <w:r>
        <w:rPr>
          <w:rStyle w:val="14"/>
          <w:rFonts w:hint="eastAsia" w:ascii="仿宋" w:hAnsi="仿宋" w:eastAsia="仿宋" w:cs="黑体"/>
          <w:b w:val="0"/>
          <w:bCs/>
          <w:sz w:val="32"/>
          <w:szCs w:val="32"/>
          <w:lang w:val="en-US" w:eastAsia="zh-CN"/>
        </w:rPr>
        <w:t>0.5</w:t>
      </w:r>
      <w:r>
        <w:rPr>
          <w:rStyle w:val="14"/>
          <w:rFonts w:hint="eastAsia" w:ascii="仿宋" w:hAnsi="仿宋" w:eastAsia="仿宋" w:cs="黑体"/>
          <w:b w:val="0"/>
          <w:bCs/>
          <w:sz w:val="32"/>
          <w:szCs w:val="32"/>
        </w:rPr>
        <w:t>万元，完成预算</w:t>
      </w:r>
      <w:r>
        <w:rPr>
          <w:rStyle w:val="14"/>
          <w:rFonts w:hint="eastAsia" w:ascii="仿宋" w:hAnsi="仿宋" w:eastAsia="仿宋" w:cs="黑体"/>
          <w:b w:val="0"/>
          <w:bCs/>
          <w:sz w:val="32"/>
          <w:szCs w:val="32"/>
          <w:lang w:val="en-US" w:eastAsia="zh-CN"/>
        </w:rPr>
        <w:t>100</w:t>
      </w:r>
      <w:r>
        <w:rPr>
          <w:rStyle w:val="14"/>
          <w:rFonts w:hint="eastAsia" w:ascii="仿宋" w:hAnsi="仿宋" w:eastAsia="仿宋" w:cs="黑体"/>
          <w:b w:val="0"/>
          <w:bCs/>
          <w:sz w:val="32"/>
          <w:szCs w:val="32"/>
        </w:rPr>
        <w:t>%，决算数等于预算数。</w:t>
      </w:r>
    </w:p>
    <w:p>
      <w:pPr>
        <w:spacing w:line="600" w:lineRule="exact"/>
        <w:ind w:firstLine="640" w:firstLineChars="200"/>
        <w:rPr>
          <w:rStyle w:val="14"/>
          <w:rFonts w:hint="eastAsia" w:ascii="仿宋" w:hAnsi="仿宋" w:eastAsia="仿宋" w:cs="黑体"/>
          <w:b w:val="0"/>
          <w:bCs/>
          <w:sz w:val="32"/>
          <w:szCs w:val="32"/>
        </w:rPr>
      </w:pPr>
      <w:r>
        <w:rPr>
          <w:rStyle w:val="14"/>
          <w:rFonts w:hint="eastAsia" w:ascii="仿宋" w:hAnsi="仿宋" w:eastAsia="仿宋" w:cs="黑体"/>
          <w:b w:val="0"/>
          <w:bCs/>
          <w:sz w:val="32"/>
          <w:szCs w:val="32"/>
          <w:lang w:val="en-US" w:eastAsia="zh-CN"/>
        </w:rPr>
        <w:t>9</w:t>
      </w:r>
      <w:r>
        <w:rPr>
          <w:rStyle w:val="14"/>
          <w:rFonts w:hint="eastAsia" w:ascii="仿宋" w:hAnsi="仿宋" w:eastAsia="仿宋" w:cs="黑体"/>
          <w:b w:val="0"/>
          <w:bCs/>
          <w:sz w:val="32"/>
          <w:szCs w:val="32"/>
        </w:rPr>
        <w:t>.住房保障支出（类）住房改革支出（款）住房公积金（项）:支出决算为</w:t>
      </w:r>
      <w:r>
        <w:rPr>
          <w:rStyle w:val="14"/>
          <w:rFonts w:hint="eastAsia" w:ascii="仿宋" w:hAnsi="仿宋" w:eastAsia="仿宋" w:cs="黑体"/>
          <w:b w:val="0"/>
          <w:bCs/>
          <w:sz w:val="32"/>
          <w:szCs w:val="32"/>
          <w:lang w:val="en-US" w:eastAsia="zh-CN"/>
        </w:rPr>
        <w:t>9.89</w:t>
      </w:r>
      <w:r>
        <w:rPr>
          <w:rStyle w:val="14"/>
          <w:rFonts w:hint="eastAsia" w:ascii="仿宋" w:hAnsi="仿宋" w:eastAsia="仿宋" w:cs="黑体"/>
          <w:b w:val="0"/>
          <w:bCs/>
          <w:sz w:val="32"/>
          <w:szCs w:val="32"/>
        </w:rPr>
        <w:t>万元，完成预算</w:t>
      </w:r>
      <w:r>
        <w:rPr>
          <w:rStyle w:val="14"/>
          <w:rFonts w:hint="eastAsia" w:ascii="仿宋" w:hAnsi="仿宋" w:eastAsia="仿宋" w:cs="黑体"/>
          <w:b w:val="0"/>
          <w:bCs/>
          <w:sz w:val="32"/>
          <w:szCs w:val="32"/>
          <w:lang w:val="en-US" w:eastAsia="zh-CN"/>
        </w:rPr>
        <w:t>100</w:t>
      </w:r>
      <w:r>
        <w:rPr>
          <w:rStyle w:val="14"/>
          <w:rFonts w:hint="eastAsia" w:ascii="仿宋" w:hAnsi="仿宋" w:eastAsia="仿宋" w:cs="黑体"/>
          <w:b w:val="0"/>
          <w:bCs/>
          <w:sz w:val="32"/>
          <w:szCs w:val="32"/>
        </w:rPr>
        <w:t>%，决算数等于预算数。</w:t>
      </w:r>
    </w:p>
    <w:p>
      <w:pPr>
        <w:spacing w:line="600" w:lineRule="exact"/>
        <w:rPr>
          <w:rFonts w:ascii="仿宋" w:hAnsi="仿宋" w:eastAsia="仿宋"/>
          <w:b/>
          <w:sz w:val="32"/>
          <w:szCs w:val="32"/>
        </w:rPr>
      </w:pPr>
    </w:p>
    <w:p>
      <w:pPr>
        <w:tabs>
          <w:tab w:val="right" w:pos="8306"/>
        </w:tabs>
        <w:spacing w:line="600" w:lineRule="exact"/>
        <w:ind w:firstLine="640"/>
        <w:outlineLvl w:val="1"/>
        <w:rPr>
          <w:rStyle w:val="29"/>
        </w:rPr>
      </w:pPr>
      <w:bookmarkStart w:id="48" w:name="_Toc15396608"/>
      <w:bookmarkStart w:id="49" w:name="_Toc30132"/>
      <w:bookmarkStart w:id="50"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48"/>
      <w:bookmarkEnd w:id="49"/>
      <w:bookmarkEnd w:id="50"/>
      <w:r>
        <w:rPr>
          <w:rStyle w:val="29"/>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w:t>
      </w:r>
      <w:r>
        <w:rPr>
          <w:rFonts w:hint="eastAsia" w:ascii="仿宋" w:hAnsi="仿宋" w:eastAsia="仿宋"/>
          <w:sz w:val="32"/>
          <w:szCs w:val="32"/>
          <w:lang w:val="en-US" w:eastAsia="zh-CN"/>
        </w:rPr>
        <w:t>105.85</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105.85</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 w:hAnsi="仿宋" w:eastAsia="仿宋"/>
          <w:sz w:val="32"/>
          <w:szCs w:val="32"/>
          <w:lang w:val="en-US" w:eastAsia="zh-CN"/>
        </w:rPr>
        <w:t>0</w:t>
      </w:r>
      <w:r>
        <w:rPr>
          <w:rFonts w:hint="eastAsia" w:ascii="仿宋" w:hAnsi="仿宋" w:eastAsia="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rPr>
          <w:rFonts w:ascii="仿宋" w:hAnsi="仿宋" w:eastAsia="仿宋"/>
          <w:b/>
          <w:sz w:val="32"/>
          <w:szCs w:val="32"/>
        </w:rPr>
      </w:pPr>
    </w:p>
    <w:p>
      <w:pPr>
        <w:spacing w:line="600" w:lineRule="exact"/>
        <w:ind w:firstLine="640"/>
        <w:outlineLvl w:val="1"/>
        <w:rPr>
          <w:rStyle w:val="29"/>
          <w:rFonts w:ascii="黑体" w:hAnsi="黑体" w:eastAsia="黑体"/>
          <w:b w:val="0"/>
        </w:rPr>
      </w:pPr>
      <w:bookmarkStart w:id="51" w:name="_Toc15377215"/>
      <w:bookmarkStart w:id="52" w:name="_Toc15396609"/>
      <w:bookmarkStart w:id="53" w:name="_Toc22225"/>
      <w:r>
        <w:rPr>
          <w:rFonts w:hint="eastAsia" w:ascii="黑体" w:eastAsia="黑体"/>
          <w:sz w:val="32"/>
          <w:szCs w:val="32"/>
        </w:rPr>
        <w:t>七、</w:t>
      </w:r>
      <w:r>
        <w:rPr>
          <w:rStyle w:val="29"/>
          <w:rFonts w:hint="eastAsia" w:ascii="黑体" w:hAnsi="黑体" w:eastAsia="黑体"/>
        </w:rPr>
        <w:t>“</w:t>
      </w:r>
      <w:r>
        <w:rPr>
          <w:rStyle w:val="29"/>
          <w:rFonts w:hint="eastAsia" w:ascii="黑体" w:hAnsi="黑体" w:eastAsia="黑体"/>
          <w:b w:val="0"/>
        </w:rPr>
        <w:t>三公”经费财政拨款支出决算情况说明</w:t>
      </w:r>
      <w:bookmarkEnd w:id="51"/>
      <w:bookmarkEnd w:id="52"/>
      <w:bookmarkEnd w:id="53"/>
    </w:p>
    <w:p>
      <w:pPr>
        <w:spacing w:line="600" w:lineRule="exact"/>
        <w:ind w:firstLine="640"/>
        <w:outlineLvl w:val="2"/>
        <w:rPr>
          <w:rFonts w:ascii="仿宋" w:hAnsi="仿宋" w:eastAsia="仿宋"/>
          <w:b/>
          <w:sz w:val="32"/>
          <w:szCs w:val="32"/>
        </w:rPr>
      </w:pPr>
      <w:bookmarkStart w:id="54" w:name="_Toc15377216"/>
      <w:r>
        <w:rPr>
          <w:rFonts w:hint="eastAsia" w:ascii="仿宋" w:hAnsi="仿宋" w:eastAsia="仿宋"/>
          <w:b/>
          <w:sz w:val="32"/>
          <w:szCs w:val="32"/>
        </w:rPr>
        <w:t>（一）“三公”经费财政拨款支出决算总体情况说明</w:t>
      </w:r>
      <w:bookmarkEnd w:id="54"/>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w:t>
      </w:r>
      <w:r>
        <w:rPr>
          <w:rFonts w:hint="eastAsia" w:ascii="仿宋" w:hAnsi="仿宋" w:eastAsia="仿宋"/>
          <w:sz w:val="32"/>
          <w:szCs w:val="32"/>
          <w:lang w:val="en-US" w:eastAsia="zh-CN"/>
        </w:rPr>
        <w:t>0.34</w:t>
      </w:r>
      <w:r>
        <w:rPr>
          <w:rFonts w:hint="eastAsia" w:ascii="仿宋" w:hAnsi="仿宋" w:eastAsia="仿宋"/>
          <w:sz w:val="32"/>
          <w:szCs w:val="32"/>
        </w:rPr>
        <w:t>万元，完成预算</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，决算数与预算数持平。</w:t>
      </w:r>
    </w:p>
    <w:p>
      <w:pPr>
        <w:spacing w:line="600" w:lineRule="exact"/>
        <w:ind w:firstLine="640"/>
        <w:outlineLvl w:val="2"/>
        <w:rPr>
          <w:rFonts w:ascii="仿宋" w:hAnsi="仿宋" w:eastAsia="仿宋"/>
          <w:b/>
          <w:sz w:val="32"/>
          <w:szCs w:val="32"/>
        </w:rPr>
      </w:pPr>
      <w:bookmarkStart w:id="55" w:name="_Toc15377217"/>
      <w:r>
        <w:rPr>
          <w:rFonts w:hint="eastAsia" w:ascii="仿宋" w:hAnsi="仿宋" w:eastAsia="仿宋"/>
          <w:b/>
          <w:sz w:val="32"/>
          <w:szCs w:val="32"/>
        </w:rPr>
        <w:t>（二）“三公”经费财政拨款支出决算具体情况说明</w:t>
      </w:r>
      <w:bookmarkEnd w:id="55"/>
    </w:p>
    <w:p>
      <w:pPr>
        <w:spacing w:line="600" w:lineRule="exact"/>
        <w:ind w:firstLine="640"/>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0.18</w:t>
      </w:r>
      <w:r>
        <w:rPr>
          <w:rFonts w:hint="eastAsia" w:ascii="仿宋" w:hAnsi="仿宋" w:eastAsia="仿宋"/>
          <w:sz w:val="32"/>
          <w:szCs w:val="32"/>
        </w:rPr>
        <w:t>万元，占</w:t>
      </w:r>
      <w:r>
        <w:rPr>
          <w:rFonts w:hint="eastAsia" w:ascii="仿宋" w:hAnsi="仿宋" w:eastAsia="仿宋"/>
          <w:sz w:val="32"/>
          <w:szCs w:val="32"/>
          <w:lang w:val="en-US" w:eastAsia="zh-CN"/>
        </w:rPr>
        <w:t>52.94</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0.15</w:t>
      </w:r>
      <w:r>
        <w:rPr>
          <w:rFonts w:hint="eastAsia" w:ascii="仿宋" w:hAnsi="仿宋" w:eastAsia="仿宋"/>
          <w:sz w:val="32"/>
          <w:szCs w:val="32"/>
        </w:rPr>
        <w:t>万元，占</w:t>
      </w:r>
      <w:r>
        <w:rPr>
          <w:rFonts w:hint="eastAsia" w:ascii="仿宋" w:hAnsi="仿宋" w:eastAsia="仿宋"/>
          <w:sz w:val="32"/>
          <w:szCs w:val="32"/>
          <w:lang w:val="en-US" w:eastAsia="zh-CN"/>
        </w:rPr>
        <w:t>44.11</w:t>
      </w:r>
      <w:r>
        <w:rPr>
          <w:rFonts w:ascii="仿宋" w:hAnsi="仿宋" w:eastAsia="仿宋"/>
          <w:sz w:val="32"/>
          <w:szCs w:val="32"/>
        </w:rPr>
        <w:t>%</w:t>
      </w:r>
      <w:r>
        <w:rPr>
          <w:rFonts w:hint="eastAsia" w:ascii="仿宋" w:hAnsi="仿宋" w:eastAsia="仿宋"/>
          <w:sz w:val="32"/>
          <w:szCs w:val="32"/>
        </w:rPr>
        <w:t>。具体情况如下：</w:t>
      </w:r>
    </w:p>
    <w:p>
      <w:pPr>
        <w:pStyle w:val="2"/>
        <w:rPr>
          <w:rFonts w:hint="eastAsia" w:eastAsia="仿宋_GB2312"/>
          <w:lang w:eastAsia="zh-CN"/>
        </w:rPr>
      </w:pPr>
      <w:r>
        <w:drawing>
          <wp:inline distT="0" distB="0" distL="114300" distR="114300">
            <wp:extent cx="4624070" cy="2798445"/>
            <wp:effectExtent l="4445" t="4445" r="19685" b="16510"/>
            <wp:docPr id="9"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w:t>
      </w:r>
      <w:r>
        <w:rPr>
          <w:rFonts w:hint="eastAsia" w:ascii="仿宋_GB2312" w:eastAsia="仿宋_GB2312"/>
          <w:sz w:val="32"/>
          <w:szCs w:val="32"/>
          <w:lang w:val="en-US" w:eastAsia="zh-CN"/>
        </w:rPr>
        <w:t>与</w:t>
      </w:r>
      <w:r>
        <w:rPr>
          <w:rFonts w:ascii="仿宋_GB2312" w:eastAsia="仿宋_GB2312"/>
          <w:sz w:val="32"/>
          <w:szCs w:val="32"/>
        </w:rPr>
        <w:t>20</w:t>
      </w:r>
      <w:r>
        <w:rPr>
          <w:rFonts w:hint="eastAsia" w:ascii="仿宋_GB2312" w:eastAsia="仿宋_GB2312"/>
          <w:sz w:val="32"/>
          <w:szCs w:val="32"/>
        </w:rPr>
        <w:t>20年</w:t>
      </w:r>
      <w:r>
        <w:rPr>
          <w:rFonts w:hint="eastAsia" w:ascii="仿宋_GB2312" w:eastAsia="仿宋_GB2312"/>
          <w:sz w:val="32"/>
          <w:szCs w:val="32"/>
          <w:lang w:val="en-US" w:eastAsia="zh-CN"/>
        </w:rPr>
        <w:t>相比无变化</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0.18</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100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w:t>
      </w:r>
      <w:r>
        <w:rPr>
          <w:rFonts w:hint="eastAsia" w:ascii="仿宋_GB2312" w:eastAsia="仿宋_GB2312"/>
          <w:sz w:val="32"/>
          <w:szCs w:val="32"/>
          <w:lang w:val="en-US" w:eastAsia="zh-CN"/>
        </w:rPr>
        <w:t>0.32万元</w:t>
      </w:r>
      <w:r>
        <w:rPr>
          <w:rFonts w:hint="eastAsia" w:ascii="仿宋_GB2312" w:eastAsia="仿宋_GB2312"/>
          <w:sz w:val="32"/>
          <w:szCs w:val="32"/>
        </w:rPr>
        <w:t>减少</w:t>
      </w:r>
      <w:r>
        <w:rPr>
          <w:rFonts w:hint="eastAsia" w:ascii="仿宋_GB2312" w:eastAsia="仿宋_GB2312"/>
          <w:sz w:val="32"/>
          <w:szCs w:val="32"/>
          <w:lang w:val="en-US" w:eastAsia="zh-CN"/>
        </w:rPr>
        <w:t>0.14</w:t>
      </w:r>
      <w:r>
        <w:rPr>
          <w:rFonts w:hint="eastAsia" w:ascii="仿宋_GB2312" w:eastAsia="仿宋_GB2312"/>
          <w:sz w:val="32"/>
          <w:szCs w:val="32"/>
        </w:rPr>
        <w:t>万元，下降</w:t>
      </w:r>
      <w:r>
        <w:rPr>
          <w:rFonts w:hint="eastAsia" w:ascii="仿宋_GB2312" w:eastAsia="仿宋_GB2312"/>
          <w:sz w:val="32"/>
          <w:szCs w:val="32"/>
          <w:lang w:val="en-US" w:eastAsia="zh-CN"/>
        </w:rPr>
        <w:t>77.77</w:t>
      </w:r>
      <w:r>
        <w:rPr>
          <w:rFonts w:ascii="仿宋_GB2312" w:eastAsia="仿宋_GB2312"/>
          <w:sz w:val="32"/>
          <w:szCs w:val="32"/>
        </w:rPr>
        <w:t>%</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lang w:val="en-US" w:eastAsia="zh-CN"/>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val="en-US" w:eastAsia="zh-CN"/>
        </w:rPr>
        <w:t>0</w:t>
      </w: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1</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r>
        <w:rPr>
          <w:rFonts w:hint="eastAsia" w:ascii="仿宋_GB2312" w:eastAsia="仿宋_GB2312"/>
          <w:sz w:val="32"/>
          <w:szCs w:val="32"/>
          <w:lang w:eastAsia="zh-CN"/>
        </w:rPr>
        <w:t>、</w:t>
      </w:r>
      <w:r>
        <w:rPr>
          <w:rFonts w:hint="eastAsia" w:ascii="仿宋_GB2312" w:eastAsia="仿宋_GB2312"/>
          <w:sz w:val="32"/>
          <w:szCs w:val="32"/>
          <w:lang w:val="en-US" w:eastAsia="zh-CN"/>
        </w:rPr>
        <w:t>特种专业技术用车（救护车）1辆</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lang w:val="en-US" w:eastAsia="zh-CN"/>
        </w:rPr>
        <w:t>0.18</w:t>
      </w:r>
      <w:r>
        <w:rPr>
          <w:rFonts w:hint="eastAsia" w:ascii="仿宋_GB2312" w:eastAsia="仿宋_GB2312"/>
          <w:sz w:val="32"/>
          <w:szCs w:val="32"/>
        </w:rPr>
        <w:t>万元。主要用于</w:t>
      </w:r>
      <w:r>
        <w:rPr>
          <w:rFonts w:hint="eastAsia" w:ascii="仿宋_GB2312" w:eastAsia="仿宋_GB2312"/>
          <w:sz w:val="32"/>
          <w:szCs w:val="32"/>
          <w:lang w:val="en-US" w:eastAsia="zh-CN"/>
        </w:rPr>
        <w:t>救护车下乡</w:t>
      </w:r>
      <w:r>
        <w:rPr>
          <w:rFonts w:hint="eastAsia" w:ascii="仿宋_GB2312" w:eastAsia="仿宋_GB2312"/>
          <w:sz w:val="32"/>
          <w:szCs w:val="32"/>
        </w:rPr>
        <w:t>等所需的公务用车燃料费、维修费、保险费等支出。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0.15</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100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w:t>
      </w:r>
      <w:r>
        <w:rPr>
          <w:rFonts w:hint="eastAsia" w:ascii="仿宋_GB2312" w:eastAsia="仿宋_GB2312"/>
          <w:sz w:val="32"/>
          <w:szCs w:val="32"/>
          <w:lang w:val="en-US" w:eastAsia="zh-CN"/>
        </w:rPr>
        <w:t>0万元增加0.15</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主要原因是</w:t>
      </w:r>
      <w:r>
        <w:rPr>
          <w:rFonts w:hint="eastAsia" w:ascii="仿宋_GB2312" w:eastAsia="仿宋_GB2312"/>
          <w:sz w:val="32"/>
          <w:szCs w:val="32"/>
          <w:lang w:val="en-US" w:eastAsia="zh-CN"/>
        </w:rPr>
        <w:t>2021年接受检查接待次数较2020年增加</w:t>
      </w:r>
      <w:r>
        <w:rPr>
          <w:rFonts w:hint="eastAsia" w:ascii="仿宋_GB2312" w:eastAsia="仿宋_GB2312"/>
          <w:sz w:val="32"/>
          <w:szCs w:val="32"/>
        </w:rPr>
        <w:t>。其中：</w:t>
      </w:r>
    </w:p>
    <w:p>
      <w:pPr>
        <w:spacing w:line="600" w:lineRule="exact"/>
        <w:ind w:firstLine="640"/>
        <w:rPr>
          <w:rFonts w:hint="eastAsia" w:ascii="仿宋_GB2312" w:hAnsi="Times New Roman" w:eastAsia="仿宋_GB2312" w:cs="Times New Roman"/>
          <w:sz w:val="32"/>
          <w:szCs w:val="32"/>
        </w:rPr>
      </w:pPr>
      <w:r>
        <w:rPr>
          <w:rFonts w:hint="eastAsia" w:ascii="仿宋" w:hAnsi="仿宋" w:eastAsia="仿宋"/>
          <w:b/>
          <w:sz w:val="32"/>
          <w:szCs w:val="32"/>
        </w:rPr>
        <w:t>国内公务接待支出</w:t>
      </w:r>
      <w:r>
        <w:rPr>
          <w:rFonts w:hint="eastAsia" w:ascii="仿宋" w:hAnsi="仿宋" w:eastAsia="仿宋"/>
          <w:sz w:val="32"/>
          <w:szCs w:val="32"/>
          <w:lang w:val="en-US" w:eastAsia="zh-CN"/>
        </w:rPr>
        <w:t>0.15</w:t>
      </w:r>
      <w:r>
        <w:rPr>
          <w:rFonts w:hint="eastAsia" w:ascii="仿宋_GB2312" w:eastAsia="仿宋_GB2312"/>
          <w:sz w:val="32"/>
          <w:szCs w:val="32"/>
        </w:rPr>
        <w:t>万元，主要用于</w:t>
      </w:r>
      <w:r>
        <w:rPr>
          <w:rFonts w:hint="eastAsia" w:ascii="仿宋_GB2312" w:hAnsi="Times New Roman" w:eastAsia="仿宋_GB2312" w:cs="Times New Roman"/>
          <w:sz w:val="32"/>
          <w:szCs w:val="32"/>
        </w:rPr>
        <w:t>接待上级部门工作检查餐费。国内公务接待</w:t>
      </w:r>
      <w:r>
        <w:rPr>
          <w:rFonts w:hint="eastAsia" w:ascii="仿宋_GB2312" w:eastAsia="仿宋_GB2312" w:cs="Times New Roman"/>
          <w:sz w:val="32"/>
          <w:szCs w:val="32"/>
          <w:lang w:val="en-US" w:eastAsia="zh-CN"/>
        </w:rPr>
        <w:t>4</w:t>
      </w:r>
      <w:r>
        <w:rPr>
          <w:rFonts w:hint="eastAsia" w:ascii="仿宋_GB2312" w:hAnsi="Times New Roman" w:eastAsia="仿宋_GB2312" w:cs="Times New Roman"/>
          <w:sz w:val="32"/>
          <w:szCs w:val="32"/>
        </w:rPr>
        <w:t>批次，</w:t>
      </w:r>
      <w:r>
        <w:rPr>
          <w:rFonts w:hint="eastAsia" w:ascii="仿宋_GB2312" w:eastAsia="仿宋_GB2312" w:cs="Times New Roman"/>
          <w:sz w:val="32"/>
          <w:szCs w:val="32"/>
          <w:lang w:val="en-US" w:eastAsia="zh-CN"/>
        </w:rPr>
        <w:t>6</w:t>
      </w:r>
      <w:r>
        <w:rPr>
          <w:rFonts w:hint="eastAsia" w:ascii="仿宋_GB2312" w:hAnsi="Times New Roman" w:eastAsia="仿宋_GB2312" w:cs="Times New Roman"/>
          <w:sz w:val="32"/>
          <w:szCs w:val="32"/>
          <w:lang w:val="en-US" w:eastAsia="zh-CN"/>
        </w:rPr>
        <w:t>0</w:t>
      </w:r>
      <w:r>
        <w:rPr>
          <w:rFonts w:hint="eastAsia" w:ascii="仿宋_GB2312" w:hAnsi="Times New Roman" w:eastAsia="仿宋_GB2312" w:cs="Times New Roman"/>
          <w:sz w:val="32"/>
          <w:szCs w:val="32"/>
        </w:rPr>
        <w:t>人次（不包括陪同人员），共计支出</w:t>
      </w:r>
      <w:r>
        <w:rPr>
          <w:rFonts w:hint="eastAsia" w:ascii="仿宋_GB2312" w:hAnsi="Times New Roman" w:eastAsia="仿宋_GB2312" w:cs="Times New Roman"/>
          <w:sz w:val="32"/>
          <w:szCs w:val="32"/>
          <w:lang w:val="en-US" w:eastAsia="zh-CN"/>
        </w:rPr>
        <w:t>0.</w:t>
      </w:r>
      <w:r>
        <w:rPr>
          <w:rFonts w:hint="eastAsia" w:ascii="仿宋_GB2312" w:eastAsia="仿宋_GB2312" w:cs="Times New Roman"/>
          <w:sz w:val="32"/>
          <w:szCs w:val="32"/>
          <w:lang w:val="en-US" w:eastAsia="zh-CN"/>
        </w:rPr>
        <w:t>15</w:t>
      </w:r>
      <w:r>
        <w:rPr>
          <w:rFonts w:hint="eastAsia" w:ascii="仿宋_GB2312" w:hAnsi="Times New Roman" w:eastAsia="仿宋_GB2312" w:cs="Times New Roman"/>
          <w:sz w:val="32"/>
          <w:szCs w:val="32"/>
        </w:rPr>
        <w:t>万元，具体内容包括接待上级基本公共卫生检查0.</w:t>
      </w:r>
      <w:r>
        <w:rPr>
          <w:rFonts w:hint="eastAsia" w:ascii="仿宋_GB2312" w:eastAsia="仿宋_GB2312" w:cs="Times New Roman"/>
          <w:sz w:val="32"/>
          <w:szCs w:val="32"/>
          <w:lang w:val="en-US" w:eastAsia="zh-CN"/>
        </w:rPr>
        <w:t>15</w:t>
      </w:r>
      <w:r>
        <w:rPr>
          <w:rFonts w:hint="eastAsia" w:ascii="仿宋_GB2312" w:hAnsi="Times New Roman" w:eastAsia="仿宋_GB2312" w:cs="Times New Roman"/>
          <w:sz w:val="32"/>
          <w:szCs w:val="32"/>
        </w:rPr>
        <w:t>万元。</w:t>
      </w:r>
    </w:p>
    <w:p>
      <w:pPr>
        <w:spacing w:line="600" w:lineRule="exact"/>
        <w:ind w:firstLine="643" w:firstLineChars="200"/>
        <w:rPr>
          <w:rFonts w:hint="eastAsia" w:ascii="仿宋_GB2312" w:eastAsia="仿宋_GB2312"/>
          <w:sz w:val="32"/>
          <w:szCs w:val="32"/>
          <w:lang w:eastAsia="zh-CN"/>
        </w:rPr>
      </w:pPr>
      <w:r>
        <w:rPr>
          <w:rFonts w:hint="eastAsia" w:ascii="仿宋" w:hAnsi="仿宋" w:eastAsia="仿宋"/>
          <w:b/>
          <w:sz w:val="32"/>
          <w:szCs w:val="32"/>
        </w:rPr>
        <w:t>外事接待支出</w:t>
      </w:r>
      <w:r>
        <w:rPr>
          <w:rFonts w:hint="eastAsia" w:ascii="仿宋" w:hAnsi="仿宋" w:eastAsia="仿宋"/>
          <w:sz w:val="32"/>
          <w:szCs w:val="32"/>
          <w:lang w:val="en-US" w:eastAsia="zh-CN"/>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p>
    <w:p>
      <w:pPr>
        <w:spacing w:line="600" w:lineRule="exact"/>
        <w:ind w:firstLine="640"/>
        <w:outlineLvl w:val="9"/>
        <w:rPr>
          <w:rFonts w:ascii="黑体" w:eastAsia="黑体"/>
          <w:sz w:val="32"/>
          <w:szCs w:val="32"/>
        </w:rPr>
      </w:pPr>
      <w:bookmarkStart w:id="56" w:name="_Toc15396610"/>
      <w:bookmarkStart w:id="57" w:name="_Toc15377218"/>
    </w:p>
    <w:p>
      <w:pPr>
        <w:spacing w:line="600" w:lineRule="exact"/>
        <w:ind w:firstLine="640"/>
        <w:outlineLvl w:val="1"/>
        <w:rPr>
          <w:rStyle w:val="29"/>
          <w:rFonts w:ascii="黑体" w:hAnsi="黑体" w:eastAsia="黑体"/>
        </w:rPr>
      </w:pPr>
      <w:bookmarkStart w:id="58" w:name="_Toc1497"/>
      <w:r>
        <w:rPr>
          <w:rFonts w:hint="eastAsia" w:ascii="黑体" w:eastAsia="黑体"/>
          <w:sz w:val="32"/>
          <w:szCs w:val="32"/>
        </w:rPr>
        <w:t>八、</w:t>
      </w:r>
      <w:r>
        <w:rPr>
          <w:rStyle w:val="29"/>
          <w:rFonts w:hint="eastAsia" w:ascii="黑体" w:hAnsi="黑体" w:eastAsia="黑体"/>
          <w:b w:val="0"/>
        </w:rPr>
        <w:t>政府性基金预算支出决算情况说明</w:t>
      </w:r>
      <w:bookmarkEnd w:id="56"/>
      <w:bookmarkEnd w:id="57"/>
      <w:bookmarkEnd w:id="58"/>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29"/>
          <w:rFonts w:ascii="黑体" w:hAnsi="黑体" w:eastAsia="黑体"/>
          <w:b w:val="0"/>
        </w:rPr>
      </w:pPr>
      <w:bookmarkStart w:id="59" w:name="_Toc15377219"/>
      <w:bookmarkStart w:id="60" w:name="_Toc24471"/>
      <w:bookmarkStart w:id="61" w:name="_Toc15396611"/>
      <w:r>
        <w:rPr>
          <w:rStyle w:val="29"/>
          <w:rFonts w:hint="eastAsia" w:ascii="黑体" w:hAnsi="黑体" w:eastAsia="黑体"/>
          <w:b w:val="0"/>
        </w:rPr>
        <w:t>国有资本经营预算支出决算情况说明</w:t>
      </w:r>
      <w:bookmarkEnd w:id="59"/>
      <w:bookmarkEnd w:id="60"/>
      <w:bookmarkEnd w:id="6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29"/>
          <w:rFonts w:ascii="黑体" w:hAnsi="黑体" w:eastAsia="黑体"/>
          <w:b w:val="0"/>
        </w:rPr>
      </w:pPr>
      <w:bookmarkStart w:id="62" w:name="_Toc15377221"/>
      <w:bookmarkStart w:id="63" w:name="_Toc17425"/>
      <w:bookmarkStart w:id="64" w:name="_Toc15396612"/>
      <w:r>
        <w:rPr>
          <w:rStyle w:val="29"/>
          <w:rFonts w:hint="eastAsia" w:ascii="黑体" w:hAnsi="黑体" w:eastAsia="黑体"/>
          <w:b w:val="0"/>
        </w:rPr>
        <w:t>其他重要事项的情况说明</w:t>
      </w:r>
      <w:bookmarkEnd w:id="62"/>
      <w:bookmarkEnd w:id="63"/>
      <w:bookmarkEnd w:id="64"/>
    </w:p>
    <w:p>
      <w:pPr>
        <w:spacing w:line="600" w:lineRule="exact"/>
        <w:ind w:firstLine="643" w:firstLineChars="200"/>
        <w:outlineLvl w:val="2"/>
        <w:rPr>
          <w:rFonts w:ascii="仿宋" w:hAnsi="仿宋" w:eastAsia="仿宋"/>
          <w:sz w:val="32"/>
          <w:szCs w:val="32"/>
        </w:rPr>
      </w:pPr>
      <w:bookmarkStart w:id="65" w:name="_Toc15377222"/>
      <w:r>
        <w:rPr>
          <w:rFonts w:hint="eastAsia" w:ascii="仿宋" w:hAnsi="仿宋" w:eastAsia="仿宋"/>
          <w:b/>
          <w:sz w:val="32"/>
          <w:szCs w:val="32"/>
        </w:rPr>
        <w:t>（一）机关运行经费支出情况</w:t>
      </w:r>
      <w:bookmarkEnd w:id="65"/>
    </w:p>
    <w:p>
      <w:pPr>
        <w:spacing w:line="600" w:lineRule="exact"/>
        <w:ind w:firstLine="640" w:firstLineChars="200"/>
      </w:pPr>
      <w:r>
        <w:rPr>
          <w:rFonts w:ascii="仿宋_GB2312" w:eastAsia="仿宋_GB2312"/>
          <w:sz w:val="32"/>
          <w:szCs w:val="32"/>
        </w:rPr>
        <w:t>20</w:t>
      </w:r>
      <w:r>
        <w:rPr>
          <w:rFonts w:hint="eastAsia" w:ascii="仿宋_GB2312" w:eastAsia="仿宋_GB2312"/>
          <w:sz w:val="32"/>
          <w:szCs w:val="32"/>
        </w:rPr>
        <w:t>21年，</w:t>
      </w:r>
      <w:r>
        <w:rPr>
          <w:rFonts w:hint="eastAsia" w:eastAsia="仿宋_GB2312"/>
          <w:sz w:val="32"/>
          <w:szCs w:val="32"/>
          <w:lang w:eastAsia="zh-CN"/>
        </w:rPr>
        <w:t>盐边县</w:t>
      </w:r>
      <w:r>
        <w:rPr>
          <w:rFonts w:hint="eastAsia" w:eastAsia="仿宋_GB2312"/>
          <w:sz w:val="32"/>
          <w:szCs w:val="32"/>
          <w:lang w:val="en-US" w:eastAsia="zh-CN"/>
        </w:rPr>
        <w:t>红宝苗族彝族乡</w:t>
      </w:r>
      <w:r>
        <w:rPr>
          <w:rFonts w:hint="eastAsia" w:eastAsia="仿宋_GB2312"/>
          <w:sz w:val="32"/>
          <w:szCs w:val="32"/>
          <w:lang w:eastAsia="zh-CN"/>
        </w:rPr>
        <w:t>卫生院</w:t>
      </w:r>
      <w:r>
        <w:rPr>
          <w:rFonts w:eastAsia="仿宋_GB2312"/>
          <w:sz w:val="32"/>
          <w:szCs w:val="32"/>
        </w:rPr>
        <w:t>机关运行经费支出</w:t>
      </w:r>
      <w:r>
        <w:rPr>
          <w:rFonts w:hint="eastAsia" w:eastAsia="仿宋_GB2312"/>
          <w:sz w:val="32"/>
          <w:szCs w:val="32"/>
          <w:lang w:val="en-US" w:eastAsia="zh-CN"/>
        </w:rPr>
        <w:t>0</w:t>
      </w:r>
      <w:r>
        <w:rPr>
          <w:rFonts w:eastAsia="仿宋_GB2312"/>
          <w:sz w:val="32"/>
          <w:szCs w:val="32"/>
        </w:rPr>
        <w:t>元</w:t>
      </w:r>
      <w:r>
        <w:rPr>
          <w:rFonts w:hint="eastAsia" w:eastAsia="仿宋_GB2312"/>
          <w:sz w:val="32"/>
          <w:szCs w:val="32"/>
          <w:lang w:eastAsia="zh-CN"/>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6" w:name="_Toc15377223"/>
      <w:r>
        <w:rPr>
          <w:rFonts w:hint="eastAsia" w:ascii="仿宋" w:hAnsi="仿宋" w:eastAsia="仿宋"/>
          <w:b/>
          <w:sz w:val="32"/>
          <w:szCs w:val="32"/>
        </w:rPr>
        <w:t>（二）政府采购支出情况</w:t>
      </w:r>
      <w:bookmarkEnd w:id="66"/>
    </w:p>
    <w:p>
      <w:pPr>
        <w:spacing w:line="600" w:lineRule="exact"/>
        <w:ind w:firstLine="640" w:firstLineChars="200"/>
        <w:rPr>
          <w:rFonts w:ascii="仿宋_GB2312" w:eastAsia="仿宋_GB2312"/>
          <w:color w:val="000000"/>
          <w:sz w:val="32"/>
          <w:szCs w:val="32"/>
        </w:rPr>
      </w:pPr>
      <w:bookmarkStart w:id="67" w:name="_Toc15377224"/>
      <w:r>
        <w:rPr>
          <w:rFonts w:ascii="仿宋_GB2312" w:eastAsia="仿宋_GB2312"/>
          <w:color w:val="000000"/>
          <w:sz w:val="32"/>
          <w:szCs w:val="32"/>
        </w:rPr>
        <w:t>20</w:t>
      </w:r>
      <w:r>
        <w:rPr>
          <w:rFonts w:hint="eastAsia" w:ascii="仿宋_GB2312" w:eastAsia="仿宋_GB2312"/>
          <w:color w:val="000000"/>
          <w:sz w:val="32"/>
          <w:szCs w:val="32"/>
          <w:lang w:val="en-US" w:eastAsia="zh-CN"/>
        </w:rPr>
        <w:t>21</w:t>
      </w:r>
      <w:r>
        <w:rPr>
          <w:rFonts w:hint="eastAsia" w:ascii="仿宋_GB2312" w:eastAsia="仿宋_GB2312"/>
          <w:color w:val="000000"/>
          <w:sz w:val="32"/>
          <w:szCs w:val="32"/>
        </w:rPr>
        <w:t>年，盐边县</w:t>
      </w:r>
      <w:r>
        <w:rPr>
          <w:rFonts w:hint="eastAsia" w:ascii="仿宋_GB2312" w:eastAsia="仿宋_GB2312"/>
          <w:color w:val="000000"/>
          <w:sz w:val="32"/>
          <w:szCs w:val="32"/>
          <w:lang w:eastAsia="zh-CN"/>
        </w:rPr>
        <w:t>红宝苗族彝族乡</w:t>
      </w:r>
      <w:r>
        <w:rPr>
          <w:rFonts w:hint="eastAsia" w:ascii="仿宋_GB2312" w:eastAsia="仿宋_GB2312"/>
          <w:color w:val="000000"/>
          <w:sz w:val="32"/>
          <w:szCs w:val="32"/>
        </w:rPr>
        <w:t>卫生院政府采购支出总额0万元，其中：政府采购货物支出0万元、政府采购工程支出0万元、政府采购服务支出0万元。主要用于</w:t>
      </w:r>
      <w:r>
        <w:rPr>
          <w:rFonts w:hint="eastAsia" w:ascii="仿宋_GB2312" w:eastAsia="仿宋_GB2312"/>
          <w:color w:val="000000"/>
          <w:sz w:val="32"/>
          <w:szCs w:val="32"/>
          <w:lang w:eastAsia="zh-CN"/>
        </w:rPr>
        <w:t>无</w:t>
      </w:r>
      <w:r>
        <w:rPr>
          <w:rFonts w:hint="eastAsia" w:ascii="仿宋_GB2312" w:eastAsia="仿宋_GB2312"/>
          <w:color w:val="000000"/>
          <w:sz w:val="32"/>
          <w:szCs w:val="32"/>
        </w:rPr>
        <w:t>（具体工作）。授予中小企业合同金额0万元，占政府采购支出总额的0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，其中：授予小微企业合同金额0万元，占政府采购支出总额的0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（三）国有资产占有使用情况</w:t>
      </w:r>
      <w:bookmarkEnd w:id="67"/>
    </w:p>
    <w:p>
      <w:pPr>
        <w:autoSpaceDE w:val="0"/>
        <w:autoSpaceDN w:val="0"/>
        <w:adjustRightInd w:val="0"/>
        <w:spacing w:line="600" w:lineRule="exact"/>
        <w:ind w:firstLine="640" w:firstLineChars="200"/>
        <w:jc w:val="left"/>
        <w:rPr>
          <w:rFonts w:ascii="仿宋" w:hAnsi="仿宋" w:eastAsia="仿宋"/>
          <w:b/>
          <w:color w:val="FF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w:t>
      </w:r>
      <w:r>
        <w:rPr>
          <w:rFonts w:hint="eastAsia" w:ascii="仿宋_GB2312" w:eastAsia="仿宋_GB2312"/>
          <w:color w:val="000000"/>
          <w:sz w:val="32"/>
          <w:szCs w:val="32"/>
          <w:lang w:val="en-US" w:eastAsia="zh-CN"/>
        </w:rPr>
        <w:t>21</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w:t>
      </w:r>
      <w:r>
        <w:rPr>
          <w:rFonts w:hint="eastAsia" w:ascii="仿宋_GB2312" w:eastAsia="仿宋_GB2312"/>
          <w:color w:val="000000"/>
          <w:sz w:val="32"/>
          <w:szCs w:val="32"/>
          <w:lang w:eastAsia="zh-CN"/>
        </w:rPr>
        <w:t>盐边县红宝苗族彝族乡卫生院</w:t>
      </w:r>
      <w:r>
        <w:rPr>
          <w:rFonts w:hint="eastAsia" w:ascii="仿宋_GB2312" w:eastAsia="仿宋_GB2312"/>
          <w:color w:val="000000"/>
          <w:sz w:val="32"/>
          <w:szCs w:val="32"/>
        </w:rPr>
        <w:t>共有车辆</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辆，其中：主要领导干部用车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辆、机要通信用车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辆、应急保障用车</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辆、其他用车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w:t>
      </w:r>
      <w:r>
        <w:rPr>
          <w:rFonts w:hint="eastAsia" w:ascii="仿宋_GB2312" w:eastAsia="仿宋_GB2312"/>
          <w:color w:val="000000"/>
          <w:sz w:val="32"/>
          <w:szCs w:val="32"/>
          <w:lang w:eastAsia="zh-CN"/>
        </w:rPr>
        <w:t>，</w:t>
      </w:r>
      <w:r>
        <w:rPr>
          <w:rFonts w:hint="eastAsia" w:ascii="仿宋_GB2312" w:eastAsia="仿宋_GB2312"/>
          <w:color w:val="000000"/>
          <w:sz w:val="32"/>
          <w:szCs w:val="32"/>
        </w:rPr>
        <w:t>其他用车主要是用于</w:t>
      </w:r>
      <w:r>
        <w:rPr>
          <w:rFonts w:hint="eastAsia" w:ascii="仿宋_GB2312" w:eastAsia="仿宋_GB2312"/>
          <w:color w:val="000000"/>
          <w:sz w:val="32"/>
          <w:szCs w:val="32"/>
          <w:lang w:eastAsia="zh-CN"/>
        </w:rPr>
        <w:t>救护车，</w:t>
      </w:r>
      <w:r>
        <w:rPr>
          <w:rFonts w:hint="eastAsia" w:ascii="仿宋_GB2312" w:eastAsia="仿宋_GB2312"/>
          <w:color w:val="000000"/>
          <w:sz w:val="32"/>
          <w:szCs w:val="32"/>
        </w:rPr>
        <w:t>单价</w:t>
      </w:r>
      <w:r>
        <w:rPr>
          <w:rFonts w:ascii="仿宋_GB2312" w:eastAsia="仿宋_GB2312"/>
          <w:color w:val="000000"/>
          <w:sz w:val="32"/>
          <w:szCs w:val="32"/>
        </w:rPr>
        <w:t>50</w:t>
      </w:r>
      <w:r>
        <w:rPr>
          <w:rFonts w:hint="eastAsia" w:ascii="仿宋_GB2312" w:eastAsia="仿宋_GB2312"/>
          <w:color w:val="000000"/>
          <w:sz w:val="32"/>
          <w:szCs w:val="32"/>
        </w:rPr>
        <w:t>万元以上通用设备</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台（套）。</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68" w:name="_Toc52180095"/>
      <w:r>
        <w:rPr>
          <w:rFonts w:hint="eastAsia" w:ascii="仿宋" w:hAnsi="仿宋" w:eastAsia="仿宋"/>
          <w:b/>
          <w:color w:val="000000"/>
          <w:sz w:val="32"/>
          <w:szCs w:val="32"/>
        </w:rPr>
        <w:t>（四）预算绩效管理情况。</w:t>
      </w:r>
      <w:bookmarkEnd w:id="68"/>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基本公共卫生服务项目（项目名称）开展了预算事前绩效评估，对3个项目编制了绩效目标，预算执行过程中，选取3个项目开展绩效监控，年终执行完毕后，对3个项目开展了绩效目标完成情况自评。</w:t>
      </w:r>
    </w:p>
    <w:p>
      <w:pPr>
        <w:spacing w:line="580" w:lineRule="exact"/>
        <w:ind w:firstLine="640" w:firstLineChars="200"/>
        <w:rPr>
          <w:rFonts w:ascii="仿宋_GB2312" w:hAnsi="仿宋" w:eastAsia="仿宋_GB2312"/>
          <w:sz w:val="32"/>
          <w:szCs w:val="32"/>
        </w:rPr>
      </w:pPr>
      <w:r>
        <w:rPr>
          <w:rFonts w:hint="eastAsia" w:ascii="仿宋_GB2312" w:hAnsi="仿宋_GB2312" w:eastAsia="仿宋_GB2312" w:cs="仿宋_GB2312"/>
          <w:sz w:val="32"/>
          <w:szCs w:val="32"/>
        </w:rPr>
        <w:t>本部门按要求对202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年部门整体支出开展绩效自评，从评价情况来看</w:t>
      </w:r>
      <w:r>
        <w:rPr>
          <w:rFonts w:hint="eastAsia" w:ascii="仿宋_GB2312" w:hAnsi="仿宋" w:eastAsia="仿宋_GB2312" w:cs="仿宋_GB2312"/>
          <w:sz w:val="32"/>
          <w:szCs w:val="32"/>
        </w:rPr>
        <w:t>基本公共卫生服务项目绩效管理取得新成效，</w:t>
      </w:r>
      <w:r>
        <w:rPr>
          <w:rFonts w:hint="eastAsia" w:ascii="仿宋_GB2312" w:hAnsi="仿宋" w:eastAsia="仿宋_GB2312"/>
          <w:sz w:val="32"/>
          <w:szCs w:val="32"/>
        </w:rPr>
        <w:t>在肯定成绩的同时，我们也要保持清醒的头脑，深刻认识到工作中存在的问题与不足，基本公共卫生服务项目绩效管理工作存在问题还有许多不足，尤其是资金的使用还需要更好与上级部门沟通，杜绝一些不合理的开支。二是有些在改革创新方面观念还没完全转变。三是各部门的工作执行力还有待提高。四是部分专科发展动力不够，部分医务人员苦干精神、钻研精神还不强。</w:t>
      </w:r>
      <w:r>
        <w:rPr>
          <w:rFonts w:hint="eastAsia" w:ascii="仿宋_GB2312" w:hAnsi="仿宋_GB2312" w:eastAsia="仿宋_GB2312" w:cs="仿宋_GB2312"/>
          <w:sz w:val="32"/>
          <w:szCs w:val="32"/>
        </w:rPr>
        <w:t>本部门还自行组织了3个项目支出绩效评价，从评价情况来看评价情况来看完成率达到100%。</w:t>
      </w:r>
    </w:p>
    <w:p>
      <w:pPr>
        <w:spacing w:line="580" w:lineRule="exact"/>
        <w:ind w:firstLine="640" w:firstLineChars="200"/>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1.项目绩效目标完成情况。</w:t>
      </w:r>
    </w:p>
    <w:p>
      <w:pPr>
        <w:spacing w:line="580" w:lineRule="exact"/>
        <w:ind w:firstLine="640" w:firstLineChars="200"/>
        <w:rPr>
          <w:highlight w:val="yellow"/>
        </w:rPr>
      </w:pPr>
      <w:r>
        <w:rPr>
          <w:rFonts w:hint="eastAsia" w:ascii="仿宋_GB2312" w:hAnsi="仿宋_GB2312" w:eastAsia="仿宋_GB2312" w:cs="仿宋_GB2312"/>
          <w:sz w:val="32"/>
          <w:szCs w:val="32"/>
        </w:rPr>
        <w:t xml:space="preserve"> 本部门在202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年度部门决算中反映“</w:t>
      </w:r>
      <w:r>
        <w:rPr>
          <w:rFonts w:hint="eastAsia" w:ascii="仿宋_GB2312" w:hAnsi="仿宋_GB2312" w:eastAsia="仿宋_GB2312" w:cs="仿宋_GB2312"/>
          <w:sz w:val="32"/>
          <w:szCs w:val="32"/>
          <w:lang w:val="en-US" w:eastAsia="zh-CN"/>
        </w:rPr>
        <w:t>基本公共卫生服务</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基本药物制度项目</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hint="eastAsia" w:ascii="宋体" w:hAnsi="宋体" w:eastAsia="宋体" w:cs="宋体"/>
          <w:i w:val="0"/>
          <w:iCs w:val="0"/>
          <w:color w:val="000000"/>
          <w:kern w:val="0"/>
          <w:sz w:val="30"/>
          <w:szCs w:val="30"/>
          <w:u w:val="none"/>
          <w:lang w:val="en-US" w:eastAsia="zh-CN" w:bidi="ar"/>
        </w:rPr>
        <w:t>医疗卫生机构事业发展资金</w:t>
      </w:r>
      <w:r>
        <w:rPr>
          <w:rFonts w:hint="eastAsia" w:ascii="仿宋_GB2312" w:hAnsi="仿宋_GB2312" w:eastAsia="仿宋_GB2312" w:cs="仿宋_GB2312"/>
          <w:sz w:val="32"/>
          <w:szCs w:val="32"/>
        </w:rPr>
        <w:t>”等3个项目绩效目标实际完成情况。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基本公共卫生服务</w:t>
      </w:r>
      <w:r>
        <w:rPr>
          <w:rFonts w:hint="eastAsia" w:ascii="仿宋_GB2312" w:hAnsi="仿宋_GB2312" w:eastAsia="仿宋_GB2312" w:cs="仿宋_GB2312"/>
          <w:sz w:val="32"/>
          <w:szCs w:val="32"/>
        </w:rPr>
        <w:t>项目绩效目标完成情况综述。项目全年预算数</w:t>
      </w:r>
      <w:r>
        <w:rPr>
          <w:rFonts w:hint="eastAsia" w:ascii="仿宋_GB2312" w:hAnsi="仿宋_GB2312" w:eastAsia="仿宋_GB2312" w:cs="仿宋_GB2312"/>
          <w:sz w:val="32"/>
          <w:szCs w:val="32"/>
          <w:lang w:val="en-US" w:eastAsia="zh-CN"/>
        </w:rPr>
        <w:t>33.85</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33.85</w:t>
      </w:r>
      <w:r>
        <w:rPr>
          <w:rFonts w:hint="eastAsia" w:ascii="仿宋_GB2312" w:hAnsi="仿宋_GB2312" w:eastAsia="仿宋_GB2312" w:cs="仿宋_GB2312"/>
          <w:sz w:val="32"/>
          <w:szCs w:val="32"/>
        </w:rPr>
        <w:t>万元，完成预算的100%。通过项目实施，保障了</w:t>
      </w:r>
      <w:r>
        <w:rPr>
          <w:rFonts w:hint="eastAsia" w:ascii="仿宋_GB2312" w:hAnsi="仿宋_GB2312" w:eastAsia="仿宋_GB2312" w:cs="仿宋_GB2312"/>
          <w:sz w:val="32"/>
          <w:szCs w:val="32"/>
          <w:lang w:val="en-US" w:eastAsia="zh-CN"/>
        </w:rPr>
        <w:t>基本公共卫生</w:t>
      </w:r>
      <w:r>
        <w:rPr>
          <w:rFonts w:hint="eastAsia" w:ascii="仿宋_GB2312" w:hAnsi="仿宋_GB2312" w:eastAsia="仿宋_GB2312" w:cs="仿宋_GB2312"/>
          <w:sz w:val="32"/>
          <w:szCs w:val="32"/>
        </w:rPr>
        <w:t>项目的有效实施。</w:t>
      </w:r>
    </w:p>
    <w:p>
      <w:pPr>
        <w:spacing w:line="580" w:lineRule="exact"/>
        <w:ind w:firstLine="640" w:firstLineChars="200"/>
        <w:rPr>
          <w:rFonts w:hint="eastAsia" w:asciiTheme="minorEastAsia" w:hAnsiTheme="minorEastAsia" w:eastAsiaTheme="minorEastAsia" w:cstheme="minorEastAsia"/>
          <w:b w:val="0"/>
          <w:bCs w:val="0"/>
          <w:sz w:val="30"/>
          <w:szCs w:val="30"/>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基本药物项目</w:t>
      </w:r>
      <w:r>
        <w:rPr>
          <w:rFonts w:hint="eastAsia" w:ascii="仿宋_GB2312" w:hAnsi="仿宋_GB2312" w:eastAsia="仿宋_GB2312" w:cs="仿宋_GB2312"/>
          <w:sz w:val="32"/>
          <w:szCs w:val="32"/>
        </w:rPr>
        <w:t>绩效目标完成情况综述。项目全年预算数</w:t>
      </w:r>
      <w:r>
        <w:rPr>
          <w:rFonts w:hint="eastAsia" w:ascii="仿宋_GB2312" w:hAnsi="仿宋_GB2312" w:eastAsia="仿宋_GB2312" w:cs="仿宋_GB2312"/>
          <w:sz w:val="32"/>
          <w:szCs w:val="32"/>
          <w:lang w:val="en-US" w:eastAsia="zh-CN"/>
        </w:rPr>
        <w:t>3.63</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3.63</w:t>
      </w:r>
      <w:r>
        <w:rPr>
          <w:rFonts w:hint="eastAsia" w:ascii="仿宋_GB2312" w:hAnsi="仿宋_GB2312" w:eastAsia="仿宋_GB2312" w:cs="仿宋_GB2312"/>
          <w:sz w:val="32"/>
          <w:szCs w:val="32"/>
        </w:rPr>
        <w:t>万元，完成预算的100%。</w:t>
      </w:r>
      <w:r>
        <w:rPr>
          <w:rFonts w:hint="eastAsia" w:asciiTheme="minorEastAsia" w:hAnsiTheme="minorEastAsia" w:eastAsiaTheme="minorEastAsia" w:cstheme="minorEastAsia"/>
          <w:sz w:val="30"/>
          <w:szCs w:val="30"/>
        </w:rPr>
        <w:t>通过项目</w:t>
      </w:r>
      <w:r>
        <w:rPr>
          <w:rFonts w:hint="eastAsia" w:asciiTheme="minorEastAsia" w:hAnsiTheme="minorEastAsia" w:eastAsiaTheme="minorEastAsia" w:cstheme="minorEastAsia"/>
          <w:b w:val="0"/>
          <w:bCs w:val="0"/>
          <w:sz w:val="30"/>
          <w:szCs w:val="30"/>
        </w:rPr>
        <w:t>实施</w:t>
      </w:r>
      <w:r>
        <w:rPr>
          <w:rFonts w:hint="eastAsia" w:asciiTheme="minorEastAsia" w:hAnsiTheme="minorEastAsia" w:eastAsiaTheme="minorEastAsia" w:cstheme="minorEastAsia"/>
          <w:b w:val="0"/>
          <w:bCs w:val="0"/>
          <w:i w:val="0"/>
          <w:iCs w:val="0"/>
          <w:color w:val="000000"/>
          <w:kern w:val="0"/>
          <w:sz w:val="30"/>
          <w:szCs w:val="30"/>
          <w:u w:val="none"/>
          <w:lang w:val="en-US" w:eastAsia="zh-CN" w:bidi="ar"/>
        </w:rPr>
        <w:t>国家基本药物制度的有效实施，推进基层医疗卫生机构综合改革，转变医疗卫生服务模式，有效控制不合理医疗费用，增强城乡居民就诊看病的“获得感”，鼓励基层医疗机构抓实基本医疗服务。</w:t>
      </w:r>
    </w:p>
    <w:p>
      <w:pPr>
        <w:spacing w:line="580" w:lineRule="exact"/>
        <w:ind w:firstLine="640" w:firstLineChars="200"/>
        <w:rPr>
          <w:rFonts w:hint="eastAsia" w:asciiTheme="minorEastAsia" w:hAnsiTheme="minorEastAsia" w:eastAsiaTheme="minorEastAsia" w:cstheme="minorEastAsia"/>
          <w:sz w:val="30"/>
          <w:szCs w:val="30"/>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医疗事业发展资金</w:t>
      </w:r>
      <w:r>
        <w:rPr>
          <w:rFonts w:hint="eastAsia" w:ascii="仿宋_GB2312" w:hAnsi="仿宋_GB2312" w:eastAsia="仿宋_GB2312" w:cs="仿宋_GB2312"/>
          <w:sz w:val="32"/>
          <w:szCs w:val="32"/>
        </w:rPr>
        <w:t>项目绩效目标完成情况综述。项目全年预算数</w:t>
      </w:r>
      <w:r>
        <w:rPr>
          <w:rFonts w:hint="eastAsia" w:ascii="仿宋_GB2312" w:hAnsi="仿宋_GB2312" w:eastAsia="仿宋_GB2312" w:cs="仿宋_GB2312"/>
          <w:sz w:val="32"/>
          <w:szCs w:val="32"/>
          <w:lang w:val="en-US" w:eastAsia="zh-CN"/>
        </w:rPr>
        <w:t>3.33</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3.33</w:t>
      </w:r>
      <w:r>
        <w:rPr>
          <w:rFonts w:hint="eastAsia" w:ascii="仿宋_GB2312" w:hAnsi="仿宋_GB2312" w:eastAsia="仿宋_GB2312" w:cs="仿宋_GB2312"/>
          <w:sz w:val="32"/>
          <w:szCs w:val="32"/>
        </w:rPr>
        <w:t>万元，完成预算的100%。</w:t>
      </w:r>
      <w:r>
        <w:rPr>
          <w:rFonts w:hint="eastAsia" w:asciiTheme="minorEastAsia" w:hAnsiTheme="minorEastAsia" w:eastAsiaTheme="minorEastAsia" w:cstheme="minorEastAsia"/>
          <w:sz w:val="30"/>
          <w:szCs w:val="30"/>
        </w:rPr>
        <w:t>通过项目实施</w:t>
      </w:r>
      <w:r>
        <w:rPr>
          <w:rFonts w:hint="eastAsia" w:asciiTheme="minorEastAsia" w:hAnsiTheme="minorEastAsia" w:eastAsiaTheme="minorEastAsia" w:cstheme="minorEastAsia"/>
          <w:i w:val="0"/>
          <w:iCs w:val="0"/>
          <w:color w:val="000000"/>
          <w:kern w:val="0"/>
          <w:sz w:val="30"/>
          <w:szCs w:val="30"/>
          <w:u w:val="none"/>
          <w:lang w:val="en-US" w:eastAsia="zh-CN" w:bidi="ar"/>
        </w:rPr>
        <w:t>提升资源使用效益、促进医疗机构持续健康发展。</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28"/>
          <w:rFonts w:ascii="黑体" w:hAnsi="黑体" w:eastAsia="黑体"/>
          <w:b w:val="0"/>
        </w:rPr>
      </w:pPr>
      <w:bookmarkStart w:id="69" w:name="_Toc15396613"/>
      <w:bookmarkStart w:id="70" w:name="_Toc3830"/>
      <w:bookmarkStart w:id="71" w:name="_Toc15377225"/>
      <w:r>
        <w:rPr>
          <w:rFonts w:hint="eastAsia" w:ascii="黑体" w:hAnsi="黑体" w:eastAsia="黑体"/>
          <w:sz w:val="44"/>
          <w:szCs w:val="44"/>
        </w:rPr>
        <w:t>名</w:t>
      </w:r>
      <w:r>
        <w:rPr>
          <w:rStyle w:val="28"/>
          <w:rFonts w:hint="eastAsia" w:ascii="黑体" w:hAnsi="黑体" w:eastAsia="黑体"/>
          <w:b w:val="0"/>
        </w:rPr>
        <w:t>词解释</w:t>
      </w:r>
      <w:bookmarkEnd w:id="69"/>
      <w:bookmarkEnd w:id="70"/>
      <w:bookmarkEnd w:id="71"/>
    </w:p>
    <w:p>
      <w:pPr>
        <w:spacing w:line="600" w:lineRule="exact"/>
        <w:jc w:val="left"/>
        <w:rPr>
          <w:rFonts w:ascii="宋体"/>
          <w:b/>
          <w:sz w:val="44"/>
          <w:szCs w:val="44"/>
        </w:rPr>
      </w:pPr>
    </w:p>
    <w:p>
      <w:pPr>
        <w:pStyle w:val="1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1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1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3</w:t>
      </w:r>
      <w:r>
        <w:rPr>
          <w:rFonts w:ascii="仿宋_GB2312" w:eastAsia="仿宋_GB2312"/>
          <w:color w:val="auto"/>
          <w:sz w:val="32"/>
          <w:szCs w:val="32"/>
        </w:rPr>
        <w:t>.</w:t>
      </w:r>
      <w:r>
        <w:rPr>
          <w:rFonts w:hint="eastAsia" w:ascii="仿宋_GB2312" w:eastAsia="仿宋_GB2312"/>
          <w:color w:val="auto"/>
          <w:sz w:val="32"/>
          <w:szCs w:val="32"/>
        </w:rPr>
        <w:t>其他收入：指单位取得的除上述收入以外的各项收入。主要是…（收入类型）等。</w:t>
      </w:r>
    </w:p>
    <w:p>
      <w:pPr>
        <w:pStyle w:val="1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4</w:t>
      </w:r>
      <w:r>
        <w:rPr>
          <w:rFonts w:ascii="仿宋_GB2312" w:eastAsia="仿宋_GB2312"/>
          <w:color w:val="auto"/>
          <w:sz w:val="32"/>
          <w:szCs w:val="32"/>
        </w:rPr>
        <w:t>.</w:t>
      </w:r>
      <w:r>
        <w:rPr>
          <w:rFonts w:hint="eastAsia" w:ascii="仿宋_GB2312" w:eastAsia="仿宋_GB2312"/>
          <w:color w:val="auto"/>
          <w:sz w:val="32"/>
          <w:szCs w:val="32"/>
        </w:rPr>
        <w:t>使用非财政拨款结余：指事业单位使用以前年度积累的非财政拨款结余弥补当年收支差额的金额。</w:t>
      </w:r>
    </w:p>
    <w:p>
      <w:pPr>
        <w:pStyle w:val="1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5</w:t>
      </w:r>
      <w:r>
        <w:rPr>
          <w:rFonts w:ascii="仿宋_GB2312" w:eastAsia="仿宋_GB2312"/>
          <w:color w:val="auto"/>
          <w:sz w:val="32"/>
          <w:szCs w:val="32"/>
        </w:rPr>
        <w:t>.</w:t>
      </w:r>
      <w:r>
        <w:rPr>
          <w:rFonts w:hint="eastAsia" w:ascii="仿宋_GB2312" w:eastAsia="仿宋_GB2312"/>
          <w:color w:val="auto"/>
          <w:sz w:val="32"/>
          <w:szCs w:val="32"/>
        </w:rPr>
        <w:t>年初结转和结余：指以前年度尚未完成、结转到本年按有关规定继续使用的资金。</w:t>
      </w:r>
    </w:p>
    <w:p>
      <w:pPr>
        <w:pStyle w:val="1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6</w:t>
      </w:r>
      <w:r>
        <w:rPr>
          <w:rFonts w:ascii="仿宋_GB2312" w:eastAsia="仿宋_GB2312"/>
          <w:color w:val="auto"/>
          <w:sz w:val="32"/>
          <w:szCs w:val="32"/>
        </w:rPr>
        <w:t>.</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1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7</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8</w:t>
      </w:r>
      <w:r>
        <w:rPr>
          <w:rFonts w:ascii="仿宋_GB2312" w:eastAsia="仿宋_GB2312"/>
          <w:sz w:val="32"/>
          <w:szCs w:val="32"/>
        </w:rPr>
        <w:t>.</w:t>
      </w:r>
      <w:r>
        <w:rPr>
          <w:rFonts w:hint="eastAsia" w:ascii="仿宋_GB2312" w:eastAsia="仿宋_GB2312"/>
          <w:sz w:val="32"/>
          <w:szCs w:val="32"/>
        </w:rPr>
        <w:t>社会保障和就业支出（类）行政事业单位养老支出（款）机关事业单位基本养老保险缴费支出（项）：指</w:t>
      </w:r>
      <w:r>
        <w:rPr>
          <w:rFonts w:hint="eastAsia" w:ascii="仿宋_GB2312" w:eastAsia="仿宋_GB2312"/>
          <w:sz w:val="32"/>
          <w:szCs w:val="32"/>
          <w:lang w:val="en-US" w:eastAsia="zh-CN"/>
        </w:rPr>
        <w:t>机关事业单位实施养老保险制度由单位缴纳的基本养老保险费支出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9</w:t>
      </w:r>
      <w:r>
        <w:rPr>
          <w:rFonts w:ascii="仿宋_GB2312" w:eastAsia="仿宋_GB2312"/>
          <w:sz w:val="32"/>
          <w:szCs w:val="32"/>
        </w:rPr>
        <w:t>.</w:t>
      </w:r>
      <w:r>
        <w:rPr>
          <w:rFonts w:hint="eastAsia" w:ascii="仿宋_GB2312" w:eastAsia="仿宋_GB2312"/>
          <w:sz w:val="32"/>
          <w:szCs w:val="32"/>
        </w:rPr>
        <w:t>卫生健康支出（类）基层医疗卫生机构（款）乡镇卫生院（项）：指</w:t>
      </w:r>
      <w:r>
        <w:rPr>
          <w:rFonts w:hint="eastAsia" w:ascii="仿宋_GB2312" w:eastAsia="仿宋_GB2312"/>
          <w:sz w:val="32"/>
          <w:szCs w:val="32"/>
          <w:lang w:val="en-US" w:eastAsia="zh-CN"/>
        </w:rPr>
        <w:t>用于乡镇卫生院的支出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10</w:t>
      </w:r>
      <w:r>
        <w:rPr>
          <w:rFonts w:ascii="仿宋_GB2312" w:eastAsia="仿宋_GB2312"/>
          <w:sz w:val="32"/>
          <w:szCs w:val="32"/>
        </w:rPr>
        <w:t>.</w:t>
      </w:r>
      <w:r>
        <w:rPr>
          <w:rFonts w:hint="eastAsia" w:ascii="仿宋_GB2312" w:eastAsia="仿宋_GB2312"/>
          <w:sz w:val="32"/>
          <w:szCs w:val="32"/>
        </w:rPr>
        <w:t>卫生健康支出（类）基层医疗卫生机构（款）其他基层医疗卫生机构支出（项）：指</w:t>
      </w:r>
      <w:r>
        <w:rPr>
          <w:rFonts w:hint="eastAsia" w:ascii="仿宋_GB2312" w:eastAsia="仿宋_GB2312"/>
          <w:sz w:val="32"/>
          <w:szCs w:val="32"/>
          <w:lang w:val="en-US" w:eastAsia="zh-CN"/>
        </w:rPr>
        <w:t>除上述项目以外的其他用于基层医疗卫生机构的支出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11</w:t>
      </w:r>
      <w:r>
        <w:rPr>
          <w:rFonts w:ascii="仿宋_GB2312" w:eastAsia="仿宋_GB2312"/>
          <w:sz w:val="32"/>
          <w:szCs w:val="32"/>
        </w:rPr>
        <w:t>.</w:t>
      </w:r>
      <w:r>
        <w:rPr>
          <w:rFonts w:hint="eastAsia" w:ascii="仿宋_GB2312" w:eastAsia="仿宋_GB2312"/>
          <w:sz w:val="32"/>
          <w:szCs w:val="32"/>
        </w:rPr>
        <w:t>卫生健康支出（类）公共卫生（款）基本公共卫生服务（项）：指</w:t>
      </w:r>
      <w:r>
        <w:rPr>
          <w:rFonts w:hint="eastAsia" w:ascii="仿宋_GB2312" w:eastAsia="仿宋_GB2312"/>
          <w:sz w:val="32"/>
          <w:szCs w:val="32"/>
          <w:lang w:val="en-US" w:eastAsia="zh-CN"/>
        </w:rPr>
        <w:t>基本公共卫生服务支出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12</w:t>
      </w:r>
      <w:r>
        <w:rPr>
          <w:rFonts w:ascii="仿宋_GB2312" w:eastAsia="仿宋_GB2312"/>
          <w:sz w:val="32"/>
          <w:szCs w:val="32"/>
        </w:rPr>
        <w:t>.</w:t>
      </w:r>
      <w:r>
        <w:rPr>
          <w:rFonts w:hint="eastAsia" w:ascii="仿宋_GB2312" w:eastAsia="仿宋_GB2312"/>
          <w:sz w:val="32"/>
          <w:szCs w:val="32"/>
        </w:rPr>
        <w:t>卫生健康支出（类）公共卫生（款）重大公共卫生服务（项）：指</w:t>
      </w:r>
      <w:r>
        <w:rPr>
          <w:rFonts w:hint="eastAsia" w:ascii="仿宋_GB2312" w:eastAsia="仿宋_GB2312"/>
          <w:sz w:val="32"/>
          <w:szCs w:val="32"/>
          <w:lang w:val="en-US" w:eastAsia="zh-CN"/>
        </w:rPr>
        <w:t>重大疾病、重大传染病预防控制等重大公共卫生服务项目支出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13</w:t>
      </w:r>
      <w:r>
        <w:rPr>
          <w:rFonts w:ascii="仿宋_GB2312" w:eastAsia="仿宋_GB2312"/>
          <w:sz w:val="32"/>
          <w:szCs w:val="32"/>
        </w:rPr>
        <w:t>.</w:t>
      </w:r>
      <w:r>
        <w:rPr>
          <w:rFonts w:hint="eastAsia" w:ascii="仿宋_GB2312" w:eastAsia="仿宋_GB2312"/>
          <w:sz w:val="32"/>
          <w:szCs w:val="32"/>
        </w:rPr>
        <w:t>卫生健康支出（类）公共卫生（款）其他公共卫生支出（项）：指</w:t>
      </w:r>
      <w:r>
        <w:rPr>
          <w:rFonts w:hint="eastAsia" w:ascii="仿宋_GB2312" w:eastAsia="仿宋_GB2312"/>
          <w:sz w:val="32"/>
          <w:szCs w:val="32"/>
          <w:lang w:val="en-US" w:eastAsia="zh-CN"/>
        </w:rPr>
        <w:t>除上述项目以外的其他用于公共卫生方面的支出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14</w:t>
      </w:r>
      <w:r>
        <w:rPr>
          <w:rFonts w:ascii="仿宋_GB2312" w:eastAsia="仿宋_GB2312"/>
          <w:sz w:val="32"/>
          <w:szCs w:val="32"/>
        </w:rPr>
        <w:t>.</w:t>
      </w:r>
      <w:r>
        <w:rPr>
          <w:rFonts w:hint="eastAsia" w:ascii="仿宋_GB2312" w:eastAsia="仿宋_GB2312"/>
          <w:sz w:val="32"/>
          <w:szCs w:val="32"/>
        </w:rPr>
        <w:t>卫生健康支出（类）行政事业单位医疗（款）事业单位医疗（项）：指</w:t>
      </w:r>
      <w:r>
        <w:rPr>
          <w:rFonts w:hint="eastAsia" w:ascii="仿宋_GB2312" w:eastAsia="仿宋_GB2312"/>
          <w:sz w:val="32"/>
          <w:szCs w:val="32"/>
          <w:lang w:val="en-US" w:eastAsia="zh-CN"/>
        </w:rPr>
        <w:t>财政部门安排的事业单位基本医疗保险缴费经费，未参加医疗保险的事业单位的公费医疗经费，按国家规定享受离休人员待遇的医疗经费</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15</w:t>
      </w:r>
      <w:r>
        <w:rPr>
          <w:rFonts w:ascii="仿宋_GB2312" w:eastAsia="仿宋_GB2312"/>
          <w:sz w:val="32"/>
          <w:szCs w:val="32"/>
        </w:rPr>
        <w:t>.</w:t>
      </w:r>
      <w:r>
        <w:rPr>
          <w:rFonts w:hint="eastAsia" w:ascii="仿宋_GB2312" w:eastAsia="仿宋_GB2312"/>
          <w:sz w:val="32"/>
          <w:szCs w:val="32"/>
        </w:rPr>
        <w:t>卫生健康支出（类）行政事业单位医疗（款）公务员医疗补助（项）：指</w:t>
      </w:r>
      <w:r>
        <w:rPr>
          <w:rFonts w:hint="eastAsia" w:ascii="仿宋_GB2312" w:eastAsia="仿宋_GB2312"/>
          <w:sz w:val="32"/>
          <w:szCs w:val="32"/>
          <w:lang w:val="en-US" w:eastAsia="zh-CN"/>
        </w:rPr>
        <w:t>财政部门安排的公务员医疗补助经费</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16</w:t>
      </w:r>
      <w:r>
        <w:rPr>
          <w:rFonts w:ascii="仿宋_GB2312" w:eastAsia="仿宋_GB2312"/>
          <w:sz w:val="32"/>
          <w:szCs w:val="32"/>
        </w:rPr>
        <w:t>.</w:t>
      </w:r>
      <w:r>
        <w:rPr>
          <w:rFonts w:hint="eastAsia" w:ascii="仿宋_GB2312" w:eastAsia="仿宋_GB2312"/>
          <w:sz w:val="32"/>
          <w:szCs w:val="32"/>
        </w:rPr>
        <w:t>卫生健康支出（类）其他卫生健康支出（款）其他卫生健康支出（项）：指</w:t>
      </w:r>
      <w:r>
        <w:rPr>
          <w:rFonts w:hint="eastAsia" w:ascii="仿宋_GB2312" w:eastAsia="仿宋_GB2312"/>
          <w:sz w:val="32"/>
          <w:szCs w:val="32"/>
          <w:lang w:val="en-US" w:eastAsia="zh-CN"/>
        </w:rPr>
        <w:t>除上述项目以外其他用于卫生健康方面的支出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17</w:t>
      </w:r>
      <w:r>
        <w:rPr>
          <w:rFonts w:ascii="仿宋_GB2312" w:eastAsia="仿宋_GB2312"/>
          <w:sz w:val="32"/>
          <w:szCs w:val="32"/>
        </w:rPr>
        <w:t>.</w:t>
      </w:r>
      <w:r>
        <w:rPr>
          <w:rFonts w:hint="eastAsia" w:ascii="仿宋_GB2312" w:eastAsia="仿宋_GB2312"/>
          <w:sz w:val="32"/>
          <w:szCs w:val="32"/>
        </w:rPr>
        <w:t>住房保障支出（类）住房改革支出（款）住房公积金（项）：指</w:t>
      </w:r>
      <w:r>
        <w:rPr>
          <w:rFonts w:hint="eastAsia" w:ascii="仿宋_GB2312" w:eastAsia="仿宋_GB2312"/>
          <w:sz w:val="32"/>
          <w:szCs w:val="32"/>
          <w:lang w:val="en-US" w:eastAsia="zh-CN"/>
        </w:rPr>
        <w:t>行政事业单位按人力资源和社会保障部、财政部规定的基本工资和津贴补贴以及规定比例为职工缴纳的住房公积金</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18</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19</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pStyle w:val="1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20</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1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21</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8"/>
          <w:rFonts w:ascii="黑体" w:hAnsi="黑体" w:eastAsia="黑体"/>
          <w:b w:val="0"/>
        </w:rPr>
      </w:pPr>
      <w:bookmarkStart w:id="72" w:name="_Toc15377226"/>
      <w:r>
        <w:rPr>
          <w:rFonts w:ascii="宋体"/>
          <w:b/>
          <w:sz w:val="44"/>
          <w:szCs w:val="44"/>
        </w:rPr>
        <w:br w:type="page"/>
      </w:r>
      <w:bookmarkStart w:id="73" w:name="_Toc15396614"/>
      <w:bookmarkStart w:id="74" w:name="_Toc7424"/>
      <w:r>
        <w:rPr>
          <w:rFonts w:hint="eastAsia" w:ascii="黑体" w:hAnsi="黑体" w:eastAsia="黑体"/>
          <w:sz w:val="44"/>
          <w:szCs w:val="44"/>
        </w:rPr>
        <w:t>第</w:t>
      </w:r>
      <w:r>
        <w:rPr>
          <w:rStyle w:val="28"/>
          <w:rFonts w:hint="eastAsia" w:ascii="黑体" w:hAnsi="黑体" w:eastAsia="黑体"/>
          <w:b w:val="0"/>
        </w:rPr>
        <w:t>四部分 附件</w:t>
      </w:r>
      <w:bookmarkEnd w:id="73"/>
      <w:bookmarkEnd w:id="74"/>
    </w:p>
    <w:p>
      <w:pPr>
        <w:spacing w:line="572" w:lineRule="exact"/>
        <w:jc w:val="left"/>
        <w:outlineLvl w:val="0"/>
        <w:rPr>
          <w:rFonts w:hint="eastAsia" w:ascii="黑体" w:hAnsi="黑体" w:eastAsia="黑体" w:cs="黑体"/>
          <w:sz w:val="32"/>
          <w:szCs w:val="32"/>
          <w:lang w:val="en-US" w:eastAsia="zh-CN"/>
        </w:rPr>
      </w:pPr>
      <w:bookmarkStart w:id="75" w:name="_Toc24484"/>
      <w:r>
        <w:rPr>
          <w:rFonts w:hint="eastAsia" w:ascii="黑体" w:hAnsi="黑体" w:eastAsia="黑体" w:cs="黑体"/>
          <w:sz w:val="32"/>
          <w:szCs w:val="32"/>
        </w:rPr>
        <w:t>附件</w:t>
      </w:r>
      <w:bookmarkEnd w:id="75"/>
      <w:r>
        <w:rPr>
          <w:rFonts w:hint="eastAsia" w:ascii="黑体" w:hAnsi="黑体" w:eastAsia="黑体" w:cs="黑体"/>
          <w:sz w:val="32"/>
          <w:szCs w:val="32"/>
          <w:lang w:val="en-US" w:eastAsia="zh-CN"/>
        </w:rPr>
        <w:t>1:</w:t>
      </w:r>
    </w:p>
    <w:tbl>
      <w:tblPr>
        <w:tblStyle w:val="12"/>
        <w:tblW w:w="6168" w:type="pct"/>
        <w:tblInd w:w="-91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36"/>
        <w:gridCol w:w="456"/>
        <w:gridCol w:w="804"/>
        <w:gridCol w:w="2075"/>
        <w:gridCol w:w="1224"/>
        <w:gridCol w:w="1056"/>
        <w:gridCol w:w="1058"/>
        <w:gridCol w:w="250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5000" w:type="pct"/>
            <w:gridSpan w:val="8"/>
            <w:tcBorders>
              <w:bottom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bookmarkStart w:id="76" w:name="_Toc15396618"/>
            <w:r>
              <w:rPr>
                <w:rFonts w:hint="eastAsia" w:ascii="宋体" w:hAnsi="宋体" w:eastAsia="宋体" w:cs="宋体"/>
                <w:b/>
                <w:bCs/>
                <w:i w:val="0"/>
                <w:iCs w:val="0"/>
                <w:color w:val="000000"/>
                <w:kern w:val="0"/>
                <w:sz w:val="48"/>
                <w:szCs w:val="48"/>
                <w:u w:val="none"/>
                <w:lang w:val="en-US" w:eastAsia="zh-CN" w:bidi="ar"/>
              </w:rPr>
              <w:t>2021年度专项（项目）资金绩效自评表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00" w:type="pct"/>
            <w:gridSpan w:val="8"/>
            <w:tcBorders>
              <w:top w:val="nil"/>
              <w:bottom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r>
              <w:rPr>
                <w:rStyle w:val="32"/>
                <w:rFonts w:eastAsia="宋体"/>
                <w:lang w:val="en-US" w:eastAsia="zh-CN" w:bidi="ar"/>
              </w:rPr>
              <w:t>2021</w:t>
            </w:r>
            <w:r>
              <w:rPr>
                <w:rStyle w:val="33"/>
                <w:lang w:val="en-US" w:eastAsia="zh-CN" w:bidi="ar"/>
              </w:rPr>
              <w:t>年度）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6" w:type="pct"/>
            <w:tcBorders>
              <w:top w:val="nil"/>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16" w:type="pct"/>
            <w:tcBorders>
              <w:top w:val="nil"/>
              <w:left w:val="nil"/>
              <w:bottom w:val="single" w:color="000000" w:sz="4" w:space="0"/>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382"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986"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582"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502"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503"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189" w:type="pct"/>
            <w:tcBorders>
              <w:top w:val="nil"/>
              <w:left w:val="nil"/>
              <w:bottom w:val="nil"/>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35" w:type="pct"/>
            <w:gridSpan w:val="3"/>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专项（项目）名称</w:t>
            </w:r>
          </w:p>
        </w:tc>
        <w:tc>
          <w:tcPr>
            <w:tcW w:w="3764" w:type="pct"/>
            <w:gridSpan w:val="5"/>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基本公共卫生服务项目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35" w:type="pct"/>
            <w:gridSpan w:val="3"/>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项目主管单位</w:t>
            </w:r>
          </w:p>
        </w:tc>
        <w:tc>
          <w:tcPr>
            <w:tcW w:w="3764" w:type="pct"/>
            <w:gridSpan w:val="5"/>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盐边县卫生健康局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35" w:type="pct"/>
            <w:gridSpan w:val="3"/>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项目实施单位</w:t>
            </w:r>
          </w:p>
        </w:tc>
        <w:tc>
          <w:tcPr>
            <w:tcW w:w="3764" w:type="pct"/>
            <w:gridSpan w:val="5"/>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盐边县</w:t>
            </w:r>
            <w:r>
              <w:rPr>
                <w:rFonts w:hint="eastAsia" w:ascii="宋体" w:hAnsi="宋体" w:cs="宋体"/>
                <w:i w:val="0"/>
                <w:iCs w:val="0"/>
                <w:color w:val="000000"/>
                <w:kern w:val="0"/>
                <w:sz w:val="24"/>
                <w:szCs w:val="24"/>
                <w:u w:val="none"/>
                <w:lang w:val="en-US" w:eastAsia="zh-CN" w:bidi="ar"/>
              </w:rPr>
              <w:t>红宝苗族彝族乡</w:t>
            </w:r>
            <w:r>
              <w:rPr>
                <w:rFonts w:hint="eastAsia" w:ascii="宋体" w:hAnsi="宋体" w:eastAsia="宋体" w:cs="宋体"/>
                <w:i w:val="0"/>
                <w:iCs w:val="0"/>
                <w:color w:val="000000"/>
                <w:kern w:val="0"/>
                <w:sz w:val="24"/>
                <w:szCs w:val="24"/>
                <w:u w:val="none"/>
                <w:lang w:val="en-US" w:eastAsia="zh-CN" w:bidi="ar"/>
              </w:rPr>
              <w:t>卫生院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35" w:type="pct"/>
            <w:gridSpan w:val="3"/>
            <w:vMerge w:val="restart"/>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项目资金</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（万元）</w:t>
            </w: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实际完成数</w:t>
            </w:r>
          </w:p>
        </w:tc>
        <w:tc>
          <w:tcPr>
            <w:tcW w:w="1693" w:type="pct"/>
            <w:gridSpan w:val="2"/>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35" w:type="pct"/>
            <w:gridSpan w:val="3"/>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33.85</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33.85</w:t>
            </w:r>
          </w:p>
        </w:tc>
        <w:tc>
          <w:tcPr>
            <w:tcW w:w="1693" w:type="pct"/>
            <w:gridSpan w:val="2"/>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35" w:type="pct"/>
            <w:gridSpan w:val="3"/>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其中：上级财政资金</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33.85</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33.85</w:t>
            </w:r>
          </w:p>
        </w:tc>
        <w:tc>
          <w:tcPr>
            <w:tcW w:w="1693" w:type="pct"/>
            <w:gridSpan w:val="2"/>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35" w:type="pct"/>
            <w:gridSpan w:val="3"/>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本级财政资金</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93" w:type="pct"/>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35" w:type="pct"/>
            <w:gridSpan w:val="3"/>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其他资金</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693" w:type="pct"/>
            <w:gridSpan w:val="2"/>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restart"/>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总</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体</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目</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标</w:t>
            </w:r>
          </w:p>
        </w:tc>
        <w:tc>
          <w:tcPr>
            <w:tcW w:w="158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年度设定目标</w:t>
            </w:r>
          </w:p>
        </w:tc>
        <w:tc>
          <w:tcPr>
            <w:tcW w:w="2777" w:type="pct"/>
            <w:gridSpan w:val="4"/>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1429"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86" w:type="pct"/>
            <w:gridSpan w:val="3"/>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免费向全乡居民提供基本公共卫生服务。 </w:t>
            </w:r>
          </w:p>
        </w:tc>
        <w:tc>
          <w:tcPr>
            <w:tcW w:w="2777" w:type="pct"/>
            <w:gridSpan w:val="4"/>
            <w:tcBorders>
              <w:top w:val="single" w:color="000000" w:sz="4" w:space="0"/>
              <w:left w:val="single" w:color="000000" w:sz="4" w:space="0"/>
              <w:bottom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面向全乡</w:t>
            </w:r>
            <w:r>
              <w:rPr>
                <w:rFonts w:hint="eastAsia" w:ascii="宋体" w:hAnsi="宋体" w:cs="宋体"/>
                <w:i w:val="0"/>
                <w:iCs w:val="0"/>
                <w:color w:val="000000"/>
                <w:kern w:val="0"/>
                <w:sz w:val="24"/>
                <w:szCs w:val="24"/>
                <w:u w:val="none"/>
                <w:lang w:val="en-US" w:eastAsia="zh-CN" w:bidi="ar"/>
              </w:rPr>
              <w:t>4863</w:t>
            </w:r>
            <w:r>
              <w:rPr>
                <w:rFonts w:hint="eastAsia" w:ascii="宋体" w:hAnsi="宋体" w:eastAsia="宋体" w:cs="宋体"/>
                <w:i w:val="0"/>
                <w:iCs w:val="0"/>
                <w:color w:val="000000"/>
                <w:kern w:val="0"/>
                <w:sz w:val="24"/>
                <w:szCs w:val="24"/>
                <w:u w:val="none"/>
                <w:lang w:val="en-US" w:eastAsia="zh-CN" w:bidi="ar"/>
              </w:rPr>
              <w:t>万乡镇居民免费提供健康档案管理、健康教育、慢性病管理等基本公共卫生服务。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36" w:type="pct"/>
            <w:vMerge w:val="restart"/>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绩</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效</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指</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标</w:t>
            </w:r>
          </w:p>
        </w:tc>
        <w:tc>
          <w:tcPr>
            <w:tcW w:w="216"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一级</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指标</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实际完成数</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完成率（%）</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未完成原因和改进措施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项目完成</w:t>
            </w:r>
          </w:p>
        </w:tc>
        <w:tc>
          <w:tcPr>
            <w:tcW w:w="3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指标1：居民健康档案管理率。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≥93%</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w:t>
            </w:r>
            <w:r>
              <w:rPr>
                <w:rFonts w:hint="eastAsia" w:ascii="宋体" w:hAnsi="宋体" w:eastAsia="宋体" w:cs="宋体"/>
                <w:i w:val="0"/>
                <w:iCs w:val="0"/>
                <w:color w:val="000000"/>
                <w:kern w:val="0"/>
                <w:sz w:val="22"/>
                <w:szCs w:val="22"/>
                <w:u w:val="none"/>
                <w:lang w:val="en-US" w:eastAsia="zh-CN" w:bidi="ar"/>
              </w:rPr>
              <w:t>%</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指标2：预防接种率。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100.00%</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指标3：0-6岁儿童健康管理率。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≥85％</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w:t>
            </w:r>
            <w:r>
              <w:rPr>
                <w:rFonts w:hint="eastAsia" w:ascii="宋体" w:hAnsi="宋体" w:eastAsia="宋体" w:cs="宋体"/>
                <w:i w:val="0"/>
                <w:iCs w:val="0"/>
                <w:color w:val="000000"/>
                <w:kern w:val="0"/>
                <w:sz w:val="22"/>
                <w:szCs w:val="22"/>
                <w:u w:val="none"/>
                <w:lang w:val="en-US" w:eastAsia="zh-CN" w:bidi="ar"/>
              </w:rPr>
              <w:t>%</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指标4：孕产妇健康管理率。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≥85％</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85</w:t>
            </w:r>
            <w:r>
              <w:rPr>
                <w:rFonts w:hint="eastAsia" w:ascii="宋体" w:hAnsi="宋体" w:eastAsia="宋体" w:cs="宋体"/>
                <w:i w:val="0"/>
                <w:iCs w:val="0"/>
                <w:color w:val="000000"/>
                <w:kern w:val="0"/>
                <w:sz w:val="22"/>
                <w:szCs w:val="22"/>
                <w:u w:val="none"/>
                <w:lang w:val="en-US" w:eastAsia="zh-CN" w:bidi="ar"/>
              </w:rPr>
              <w:t>%</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指标5：老年人健康管理率。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70</w:t>
            </w:r>
            <w:r>
              <w:rPr>
                <w:rFonts w:hint="eastAsia" w:ascii="宋体" w:hAnsi="宋体" w:eastAsia="宋体" w:cs="宋体"/>
                <w:i w:val="0"/>
                <w:iCs w:val="0"/>
                <w:color w:val="000000"/>
                <w:kern w:val="0"/>
                <w:sz w:val="22"/>
                <w:szCs w:val="22"/>
                <w:u w:val="none"/>
                <w:lang w:val="en-US" w:eastAsia="zh-CN" w:bidi="ar"/>
              </w:rPr>
              <w:t>%</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指标6：慢性病管理率。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77.78</w:t>
            </w:r>
            <w:r>
              <w:rPr>
                <w:rFonts w:hint="eastAsia" w:ascii="宋体" w:hAnsi="宋体" w:eastAsia="宋体" w:cs="宋体"/>
                <w:i w:val="0"/>
                <w:iCs w:val="0"/>
                <w:color w:val="000000"/>
                <w:kern w:val="0"/>
                <w:sz w:val="22"/>
                <w:szCs w:val="22"/>
                <w:u w:val="none"/>
                <w:lang w:val="en-US" w:eastAsia="zh-CN" w:bidi="ar"/>
              </w:rPr>
              <w:t>%</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指标7：严重精神障碍患者规范化管理率。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≥85%</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95</w:t>
            </w:r>
            <w:r>
              <w:rPr>
                <w:rFonts w:hint="eastAsia" w:ascii="宋体" w:hAnsi="宋体" w:eastAsia="宋体" w:cs="宋体"/>
                <w:i w:val="0"/>
                <w:iCs w:val="0"/>
                <w:color w:val="000000"/>
                <w:kern w:val="0"/>
                <w:sz w:val="22"/>
                <w:szCs w:val="22"/>
                <w:u w:val="none"/>
                <w:lang w:val="en-US" w:eastAsia="zh-CN" w:bidi="ar"/>
              </w:rPr>
              <w:t>%</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指标8：肺结核患者健康管理率。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指标9：中医药健康管理率。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≥85%。</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85</w:t>
            </w:r>
            <w:r>
              <w:rPr>
                <w:rFonts w:hint="eastAsia" w:ascii="宋体" w:hAnsi="宋体" w:eastAsia="宋体" w:cs="宋体"/>
                <w:i w:val="0"/>
                <w:iCs w:val="0"/>
                <w:color w:val="000000"/>
                <w:kern w:val="0"/>
                <w:sz w:val="22"/>
                <w:szCs w:val="22"/>
                <w:u w:val="none"/>
                <w:lang w:val="en-US" w:eastAsia="zh-CN" w:bidi="ar"/>
              </w:rPr>
              <w:t>%</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指标10：传染病及突发公共卫生事件报告率。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指标11：卫生计生监督协管报告率。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≥95%</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指标12：健康教育宣传知晓率。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r>
              <w:rPr>
                <w:rFonts w:hint="eastAsia" w:ascii="宋体" w:hAnsi="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.00%</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指标1：慢性病管理率。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77.78</w:t>
            </w:r>
            <w:r>
              <w:rPr>
                <w:rFonts w:hint="eastAsia" w:ascii="宋体" w:hAnsi="宋体" w:eastAsia="宋体" w:cs="宋体"/>
                <w:i w:val="0"/>
                <w:iCs w:val="0"/>
                <w:color w:val="000000"/>
                <w:kern w:val="0"/>
                <w:sz w:val="22"/>
                <w:szCs w:val="22"/>
                <w:u w:val="none"/>
                <w:lang w:val="en-US" w:eastAsia="zh-CN" w:bidi="ar"/>
              </w:rPr>
              <w:t>%</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指标2：严重精神障碍患者规范管理率。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≥85%。</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95</w:t>
            </w:r>
            <w:r>
              <w:rPr>
                <w:rFonts w:hint="eastAsia" w:ascii="宋体" w:hAnsi="宋体" w:eastAsia="宋体" w:cs="宋体"/>
                <w:i w:val="0"/>
                <w:iCs w:val="0"/>
                <w:color w:val="000000"/>
                <w:kern w:val="0"/>
                <w:sz w:val="22"/>
                <w:szCs w:val="22"/>
                <w:u w:val="none"/>
                <w:lang w:val="en-US" w:eastAsia="zh-CN" w:bidi="ar"/>
              </w:rPr>
              <w:t>%</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指标3：肺结核患者健康管理率。</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完成时限</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2021年1-12月</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年度内</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指标1：财政按辖区人口，差异化考核拨款</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33.85</w:t>
            </w:r>
            <w:r>
              <w:rPr>
                <w:rFonts w:hint="eastAsia" w:ascii="宋体" w:hAnsi="宋体" w:eastAsia="宋体" w:cs="宋体"/>
                <w:i w:val="0"/>
                <w:iCs w:val="0"/>
                <w:color w:val="000000"/>
                <w:kern w:val="0"/>
                <w:sz w:val="22"/>
                <w:szCs w:val="22"/>
                <w:u w:val="none"/>
                <w:lang w:val="en-US" w:eastAsia="zh-CN" w:bidi="ar"/>
              </w:rPr>
              <w:t>万元</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33.85</w:t>
            </w:r>
            <w:r>
              <w:rPr>
                <w:rFonts w:hint="eastAsia" w:ascii="宋体" w:hAnsi="宋体" w:eastAsia="宋体" w:cs="宋体"/>
                <w:i w:val="0"/>
                <w:iCs w:val="0"/>
                <w:color w:val="000000"/>
                <w:kern w:val="0"/>
                <w:sz w:val="22"/>
                <w:szCs w:val="22"/>
                <w:u w:val="none"/>
                <w:lang w:val="en-US" w:eastAsia="zh-CN" w:bidi="ar"/>
              </w:rPr>
              <w:t>万元</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社会效益</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指标</w:t>
            </w: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指标1：群众生活和就医环境</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持续改进</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持续改进</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95</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指标2：城乡居民基本公共卫生服务差距服务</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不断缩小</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不断缩小</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95</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可持续影响</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指标</w:t>
            </w:r>
          </w:p>
        </w:tc>
        <w:tc>
          <w:tcPr>
            <w:tcW w:w="9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指标1：基本公共卫生服务水平</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水平不断提高</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水平不断提高</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95</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6" w:type="pct"/>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38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986"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指标1：服务对象满意度。</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r>
              <w:rPr>
                <w:rFonts w:hint="eastAsia" w:ascii="宋体" w:hAnsi="宋体" w:cs="宋体"/>
                <w:i w:val="0"/>
                <w:iCs w:val="0"/>
                <w:color w:val="000000"/>
                <w:kern w:val="0"/>
                <w:sz w:val="22"/>
                <w:szCs w:val="22"/>
                <w:u w:val="none"/>
                <w:lang w:val="en-US" w:eastAsia="zh-CN" w:bidi="ar"/>
              </w:rPr>
              <w:t>6.5</w:t>
            </w:r>
            <w:r>
              <w:rPr>
                <w:rFonts w:hint="eastAsia" w:ascii="宋体" w:hAnsi="宋体" w:eastAsia="宋体" w:cs="宋体"/>
                <w:i w:val="0"/>
                <w:iCs w:val="0"/>
                <w:color w:val="000000"/>
                <w:kern w:val="0"/>
                <w:sz w:val="22"/>
                <w:szCs w:val="22"/>
                <w:u w:val="none"/>
                <w:lang w:val="en-US" w:eastAsia="zh-CN" w:bidi="ar"/>
              </w:rPr>
              <w:t>%</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189" w:type="pc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r>
    </w:tbl>
    <w:p>
      <w:pPr>
        <w:spacing w:line="580" w:lineRule="exact"/>
        <w:rPr>
          <w:rFonts w:ascii="仿宋_GB2312" w:hAnsi="仿宋_GB2312" w:eastAsia="仿宋_GB2312" w:cs="仿宋_GB2312"/>
          <w:sz w:val="32"/>
          <w:szCs w:val="32"/>
        </w:rPr>
      </w:pPr>
    </w:p>
    <w:p>
      <w:pPr>
        <w:pStyle w:val="2"/>
        <w:rPr>
          <w:rFonts w:ascii="黑体" w:hAnsi="黑体" w:eastAsia="黑体"/>
          <w:sz w:val="44"/>
          <w:szCs w:val="44"/>
        </w:rPr>
      </w:pPr>
    </w:p>
    <w:tbl>
      <w:tblPr>
        <w:tblStyle w:val="12"/>
        <w:tblW w:w="6158" w:type="pct"/>
        <w:tblInd w:w="-8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456"/>
        <w:gridCol w:w="456"/>
        <w:gridCol w:w="907"/>
        <w:gridCol w:w="1704"/>
        <w:gridCol w:w="1473"/>
        <w:gridCol w:w="1473"/>
        <w:gridCol w:w="34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5000" w:type="pct"/>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2021年度专项（项目）资金绩效自评表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00" w:type="pct"/>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r>
              <w:rPr>
                <w:rStyle w:val="34"/>
                <w:rFonts w:eastAsia="宋体"/>
                <w:lang w:val="en-US" w:eastAsia="zh-CN" w:bidi="ar"/>
              </w:rPr>
              <w:t>2021</w:t>
            </w:r>
            <w:r>
              <w:rPr>
                <w:rFonts w:hint="eastAsia" w:ascii="宋体" w:hAnsi="宋体" w:eastAsia="宋体" w:cs="宋体"/>
                <w:i w:val="0"/>
                <w:iCs w:val="0"/>
                <w:color w:val="000000"/>
                <w:kern w:val="0"/>
                <w:sz w:val="24"/>
                <w:szCs w:val="24"/>
                <w:u w:val="none"/>
                <w:lang w:val="en-US" w:eastAsia="zh-CN" w:bidi="ar"/>
              </w:rPr>
              <w:t>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37" w:type="pct"/>
            <w:tcBorders>
              <w:top w:val="nil"/>
              <w:left w:val="nil"/>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17" w:type="pct"/>
            <w:tcBorders>
              <w:top w:val="nil"/>
              <w:left w:val="nil"/>
              <w:bottom w:val="single" w:color="000000" w:sz="4" w:space="0"/>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380"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994"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583"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504"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504"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179"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123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专项（项目）名称</w:t>
            </w:r>
          </w:p>
        </w:tc>
        <w:tc>
          <w:tcPr>
            <w:tcW w:w="376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基本药物项目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123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项目主管单位</w:t>
            </w:r>
          </w:p>
        </w:tc>
        <w:tc>
          <w:tcPr>
            <w:tcW w:w="376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盐边县卫生健康局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123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项目实施单位</w:t>
            </w:r>
          </w:p>
        </w:tc>
        <w:tc>
          <w:tcPr>
            <w:tcW w:w="376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盐边县</w:t>
            </w:r>
            <w:r>
              <w:rPr>
                <w:rFonts w:hint="eastAsia" w:ascii="宋体" w:hAnsi="宋体" w:cs="宋体"/>
                <w:i w:val="0"/>
                <w:iCs w:val="0"/>
                <w:color w:val="000000"/>
                <w:kern w:val="0"/>
                <w:sz w:val="24"/>
                <w:szCs w:val="24"/>
                <w:u w:val="none"/>
                <w:lang w:val="en-US" w:eastAsia="zh-CN" w:bidi="ar"/>
              </w:rPr>
              <w:t>红宝苗族彝族乡</w:t>
            </w:r>
            <w:r>
              <w:rPr>
                <w:rFonts w:hint="eastAsia" w:ascii="宋体" w:hAnsi="宋体" w:eastAsia="宋体" w:cs="宋体"/>
                <w:i w:val="0"/>
                <w:iCs w:val="0"/>
                <w:color w:val="000000"/>
                <w:kern w:val="0"/>
                <w:sz w:val="24"/>
                <w:szCs w:val="24"/>
                <w:u w:val="none"/>
                <w:lang w:val="en-US" w:eastAsia="zh-CN" w:bidi="ar"/>
              </w:rPr>
              <w:t>卫生院和村卫生室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123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项目资金</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（万元）</w:t>
            </w: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实际完成数</w:t>
            </w:r>
          </w:p>
        </w:tc>
        <w:tc>
          <w:tcPr>
            <w:tcW w:w="16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123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3.63</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3.63</w:t>
            </w:r>
          </w:p>
        </w:tc>
        <w:tc>
          <w:tcPr>
            <w:tcW w:w="16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123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其中：上级财政资金</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3.63</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3.63</w:t>
            </w:r>
          </w:p>
        </w:tc>
        <w:tc>
          <w:tcPr>
            <w:tcW w:w="16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123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本级财政资金</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123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其他资金</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68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63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总</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体</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目</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标</w:t>
            </w:r>
          </w:p>
        </w:tc>
        <w:tc>
          <w:tcPr>
            <w:tcW w:w="159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年度设定目标</w:t>
            </w:r>
          </w:p>
        </w:tc>
        <w:tc>
          <w:tcPr>
            <w:tcW w:w="277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trPr>
        <w:tc>
          <w:tcPr>
            <w:tcW w:w="6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91" w:type="pct"/>
            <w:gridSpan w:val="3"/>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保证全乡卫生室实施国家基本药物制度。对实施国家基本药物制度的村卫生室给予补助，支持国家基本药物制度在村卫生室顺利实施。 </w:t>
            </w:r>
          </w:p>
        </w:tc>
        <w:tc>
          <w:tcPr>
            <w:tcW w:w="2771" w:type="pct"/>
            <w:gridSpan w:val="4"/>
            <w:tcBorders>
              <w:top w:val="single" w:color="000000" w:sz="4" w:space="0"/>
              <w:left w:val="single" w:color="000000" w:sz="4" w:space="0"/>
              <w:bottom w:val="single" w:color="000000" w:sz="4" w:space="0"/>
              <w:right w:val="single" w:color="000000" w:sz="4" w:space="0"/>
            </w:tcBorders>
            <w:shd w:val="clear" w:color="auto" w:fill="auto"/>
            <w:vAlign w:val="top"/>
          </w:tcPr>
          <w:tbl>
            <w:tblPr>
              <w:tblStyle w:val="12"/>
              <w:tblW w:w="7885" w:type="dxa"/>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0" w:hRule="atLeast"/>
              </w:trPr>
              <w:tc>
                <w:tcPr>
                  <w:tcW w:w="788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根据《财政厅省卫生健康委 省医疗保障局 省中医药管理局关于印发基本公共卫生服务等4项补助资金管理办法的通知》（川财社[2019] 76号） 《财政厅 省卫生健康委关于提前下达2020年基本药物制度中央和省级补助资金的通知》川财社〔2019〕139号 《财政厅 省卫生健康委关于下达2020年卫生健康中央和省级补助资金（第二批）的通知》川财社〔2020〕80号等文件要求，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实基本医疗服务。</w:t>
                  </w:r>
                </w:p>
              </w:tc>
            </w:tr>
          </w:tbl>
          <w:p>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3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绩</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效</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指</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标</w:t>
            </w:r>
          </w:p>
        </w:tc>
        <w:tc>
          <w:tcPr>
            <w:tcW w:w="217"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一级</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实际完成数</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完成率（%）</w:t>
            </w:r>
          </w:p>
        </w:tc>
        <w:tc>
          <w:tcPr>
            <w:tcW w:w="11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0" w:hRule="atLeast"/>
        </w:trPr>
        <w:tc>
          <w:tcPr>
            <w:tcW w:w="6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项目完成</w:t>
            </w:r>
          </w:p>
        </w:tc>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指标1：基层医疗卫生机构实施国家基本药物制度覆盖率</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指标2：村卫生室实施国家基本药物制度覆盖率</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restart"/>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社会效益</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指标</w:t>
            </w: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指标1：卫生院收入</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保持稳定</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下降</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下降</w:t>
            </w:r>
          </w:p>
        </w:tc>
        <w:tc>
          <w:tcPr>
            <w:tcW w:w="11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因疫情影响，卫生院收入有所下降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指标2：村卫生室收入</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保持稳定</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下降</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下降</w:t>
            </w:r>
          </w:p>
        </w:tc>
        <w:tc>
          <w:tcPr>
            <w:tcW w:w="11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因疫情影响，村卫生室收入有所下降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可持续影响</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指标</w:t>
            </w: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指标1：国家基本药物制度在卫生院持续实施</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中长期</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中长期</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中长期</w:t>
            </w:r>
          </w:p>
        </w:tc>
        <w:tc>
          <w:tcPr>
            <w:tcW w:w="11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指标2：国家基本药物制度在村卫生室持续实施</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中长期</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中长期</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中长期</w:t>
            </w:r>
          </w:p>
        </w:tc>
        <w:tc>
          <w:tcPr>
            <w:tcW w:w="11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3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指标1：群众满意度</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指标2：群众知晓率</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r>
    </w:tbl>
    <w:p>
      <w:pPr>
        <w:spacing w:line="580" w:lineRule="exact"/>
        <w:rPr>
          <w:rFonts w:ascii="仿宋_GB2312" w:hAnsi="仿宋_GB2312" w:eastAsia="仿宋_GB2312" w:cs="仿宋_GB2312"/>
          <w:sz w:val="32"/>
          <w:szCs w:val="32"/>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tbl>
      <w:tblPr>
        <w:tblStyle w:val="12"/>
        <w:tblW w:w="6158" w:type="pct"/>
        <w:tblInd w:w="-8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32"/>
        <w:gridCol w:w="456"/>
        <w:gridCol w:w="782"/>
        <w:gridCol w:w="2064"/>
        <w:gridCol w:w="1205"/>
        <w:gridCol w:w="1138"/>
        <w:gridCol w:w="1048"/>
        <w:gridCol w:w="24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5000" w:type="pct"/>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8"/>
                <w:szCs w:val="48"/>
                <w:u w:val="none"/>
              </w:rPr>
            </w:pPr>
            <w:r>
              <w:rPr>
                <w:rFonts w:hint="eastAsia" w:ascii="宋体" w:hAnsi="宋体" w:eastAsia="宋体" w:cs="宋体"/>
                <w:b/>
                <w:bCs/>
                <w:i w:val="0"/>
                <w:iCs w:val="0"/>
                <w:color w:val="000000"/>
                <w:kern w:val="0"/>
                <w:sz w:val="48"/>
                <w:szCs w:val="48"/>
                <w:u w:val="none"/>
                <w:lang w:val="en-US" w:eastAsia="zh-CN" w:bidi="ar"/>
              </w:rPr>
              <w:t>2021年度专项（项目）资金绩效自评表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00" w:type="pct"/>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r>
              <w:rPr>
                <w:rStyle w:val="35"/>
                <w:rFonts w:eastAsia="宋体"/>
                <w:lang w:val="en-US" w:eastAsia="zh-CN" w:bidi="ar"/>
              </w:rPr>
              <w:t>2021</w:t>
            </w:r>
            <w:r>
              <w:rPr>
                <w:rStyle w:val="36"/>
                <w:lang w:val="en-US" w:eastAsia="zh-CN" w:bidi="ar"/>
              </w:rPr>
              <w:t>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35" w:type="pct"/>
            <w:tcBorders>
              <w:top w:val="nil"/>
              <w:left w:val="nil"/>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17" w:type="pct"/>
            <w:tcBorders>
              <w:top w:val="nil"/>
              <w:left w:val="nil"/>
              <w:bottom w:val="single" w:color="000000" w:sz="4" w:space="0"/>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372"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983"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574"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542"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499"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c>
          <w:tcPr>
            <w:tcW w:w="1176" w:type="pct"/>
            <w:tcBorders>
              <w:top w:val="nil"/>
              <w:left w:val="nil"/>
              <w:bottom w:val="nil"/>
              <w:right w:val="nil"/>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2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专项（项目）名称</w:t>
            </w:r>
          </w:p>
        </w:tc>
        <w:tc>
          <w:tcPr>
            <w:tcW w:w="37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医疗卫生机构事业发展资金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2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项目主管单位</w:t>
            </w:r>
          </w:p>
        </w:tc>
        <w:tc>
          <w:tcPr>
            <w:tcW w:w="37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盐边县卫生健康局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2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项目实施单位</w:t>
            </w:r>
          </w:p>
        </w:tc>
        <w:tc>
          <w:tcPr>
            <w:tcW w:w="37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盐边县</w:t>
            </w:r>
            <w:r>
              <w:rPr>
                <w:rFonts w:hint="eastAsia" w:ascii="宋体" w:hAnsi="宋体" w:cs="宋体"/>
                <w:i w:val="0"/>
                <w:iCs w:val="0"/>
                <w:color w:val="000000"/>
                <w:kern w:val="0"/>
                <w:sz w:val="24"/>
                <w:szCs w:val="24"/>
                <w:u w:val="none"/>
                <w:lang w:val="en-US" w:eastAsia="zh-CN" w:bidi="ar"/>
              </w:rPr>
              <w:t>红宝苗族彝族乡</w:t>
            </w:r>
            <w:r>
              <w:rPr>
                <w:rFonts w:hint="eastAsia" w:ascii="宋体" w:hAnsi="宋体" w:eastAsia="宋体" w:cs="宋体"/>
                <w:i w:val="0"/>
                <w:iCs w:val="0"/>
                <w:color w:val="000000"/>
                <w:kern w:val="0"/>
                <w:sz w:val="24"/>
                <w:szCs w:val="24"/>
                <w:u w:val="none"/>
                <w:lang w:val="en-US" w:eastAsia="zh-CN" w:bidi="ar"/>
              </w:rPr>
              <w:t>卫生院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25"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项目资金</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（万元）</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实际完成数</w:t>
            </w:r>
          </w:p>
        </w:tc>
        <w:tc>
          <w:tcPr>
            <w:tcW w:w="167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2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3.33</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3.33</w:t>
            </w:r>
          </w:p>
        </w:tc>
        <w:tc>
          <w:tcPr>
            <w:tcW w:w="167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2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其中：上级财政资金</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7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2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本级财政资金</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3.33</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3.33</w:t>
            </w:r>
          </w:p>
        </w:tc>
        <w:tc>
          <w:tcPr>
            <w:tcW w:w="167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122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其他资金</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167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总</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体</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目</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标</w:t>
            </w:r>
          </w:p>
        </w:tc>
        <w:tc>
          <w:tcPr>
            <w:tcW w:w="157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年度设定目标</w:t>
            </w:r>
          </w:p>
        </w:tc>
        <w:tc>
          <w:tcPr>
            <w:tcW w:w="279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7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加强和规范本卫生院收支预算管理、合理控制成本、提高管理水平、提升资源使用效益、促进医疗机构持续健康发展；实行全面预算管理制度、强化预算约束、保障本医疗机构正常运转。</w:t>
            </w:r>
          </w:p>
        </w:tc>
        <w:tc>
          <w:tcPr>
            <w:tcW w:w="279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本乡镇1家卫生院全部纳入，并按时上缴事业收入纳入财政预算管理，资金上缴率100%。强化预算约束，增加财政收入，提升资金管理水平；财政及时拨付，确保医疗机构正常运转。医疗机构资金规范使用率100%。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绩</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效</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指</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标</w:t>
            </w:r>
          </w:p>
        </w:tc>
        <w:tc>
          <w:tcPr>
            <w:tcW w:w="217"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一级</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指标</w:t>
            </w: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实际完成数</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完成率（%）</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未完成原因和改进措施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项目完成</w:t>
            </w: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指标1：乡镇卫生院</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1家</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1家</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24"/>
                <w:szCs w:val="24"/>
                <w:u w:val="none"/>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72" w:type="pct"/>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指标1：收入上缴率</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72"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指标2：规范使用率</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7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指标1：项目完成时间</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年度内</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按时完成</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9"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指标1：经费总额</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3.33</w:t>
            </w:r>
            <w:r>
              <w:rPr>
                <w:rFonts w:hint="eastAsia" w:ascii="宋体" w:hAnsi="宋体" w:eastAsia="宋体" w:cs="宋体"/>
                <w:i w:val="0"/>
                <w:iCs w:val="0"/>
                <w:color w:val="000000"/>
                <w:kern w:val="0"/>
                <w:sz w:val="24"/>
                <w:szCs w:val="24"/>
                <w:u w:val="none"/>
                <w:lang w:val="en-US" w:eastAsia="zh-CN" w:bidi="ar"/>
              </w:rPr>
              <w:t>万元</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3.33</w:t>
            </w:r>
            <w:r>
              <w:rPr>
                <w:rFonts w:hint="eastAsia" w:ascii="宋体" w:hAnsi="宋体" w:eastAsia="宋体" w:cs="宋体"/>
                <w:i w:val="0"/>
                <w:iCs w:val="0"/>
                <w:color w:val="000000"/>
                <w:kern w:val="0"/>
                <w:sz w:val="24"/>
                <w:szCs w:val="24"/>
                <w:u w:val="none"/>
                <w:lang w:val="en-US" w:eastAsia="zh-CN" w:bidi="ar"/>
              </w:rPr>
              <w:t>万元</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指标2：设备购置</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控制在预算范围内</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控制在预算范围内</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指标3：药品采购</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按实际支付</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按实际支付</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指标4：人员经费</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控制在收入内</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控制在收入内</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指标5：公用经费</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控制在预算标准内</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控制在预算标准内</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项目效益</w:t>
            </w:r>
          </w:p>
        </w:tc>
        <w:tc>
          <w:tcPr>
            <w:tcW w:w="37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经济效益</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指标</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指标1：财政收入</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有所提高</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有所提高</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7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社会效益</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指标</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指标1：群众生活和就医环境 </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持续改进</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持续改进</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72" w:type="pct"/>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可持续影响</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指标</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指标1：基本公共卫生服务水平 </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不断提高</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有所提高</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72" w:type="pct"/>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指标2：医务人员技术</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不断提高</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有所提高</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3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9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指标1：服务对象满意度</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176"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eastAsia="zh-CN"/>
              </w:rPr>
              <w:t>无</w:t>
            </w:r>
          </w:p>
        </w:tc>
      </w:tr>
    </w:tbl>
    <w:p>
      <w:pPr>
        <w:spacing w:line="580" w:lineRule="exact"/>
        <w:rPr>
          <w:rFonts w:ascii="楷体_GB2312" w:hAnsi="楷体_GB2312" w:eastAsia="楷体_GB2312" w:cs="楷体_GB2312"/>
          <w:sz w:val="32"/>
          <w:szCs w:val="32"/>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pStyle w:val="2"/>
        <w:rPr>
          <w:rFonts w:ascii="黑体" w:hAnsi="黑体" w:eastAsia="黑体"/>
          <w:sz w:val="44"/>
          <w:szCs w:val="44"/>
        </w:rPr>
      </w:pPr>
    </w:p>
    <w:p>
      <w:pPr>
        <w:spacing w:line="600" w:lineRule="exact"/>
        <w:jc w:val="both"/>
        <w:outlineLvl w:val="9"/>
        <w:rPr>
          <w:rFonts w:ascii="黑体" w:hAnsi="黑体" w:eastAsia="黑体"/>
          <w:sz w:val="44"/>
          <w:szCs w:val="44"/>
        </w:rPr>
      </w:pPr>
    </w:p>
    <w:p>
      <w:pPr>
        <w:spacing w:line="600" w:lineRule="exact"/>
        <w:jc w:val="center"/>
        <w:outlineLvl w:val="0"/>
        <w:rPr>
          <w:rFonts w:ascii="仿宋" w:hAnsi="仿宋" w:eastAsia="仿宋"/>
        </w:rPr>
      </w:pPr>
      <w:bookmarkStart w:id="77" w:name="_Toc26269"/>
      <w:r>
        <w:rPr>
          <w:rFonts w:hint="eastAsia" w:ascii="黑体" w:hAnsi="黑体" w:eastAsia="黑体"/>
          <w:sz w:val="44"/>
          <w:szCs w:val="44"/>
        </w:rPr>
        <w:t>第</w:t>
      </w:r>
      <w:r>
        <w:rPr>
          <w:rStyle w:val="28"/>
          <w:rFonts w:hint="eastAsia" w:ascii="黑体" w:hAnsi="黑体" w:eastAsia="黑体"/>
          <w:b w:val="0"/>
        </w:rPr>
        <w:t>五部分 附表</w:t>
      </w:r>
      <w:bookmarkEnd w:id="72"/>
      <w:bookmarkEnd w:id="76"/>
      <w:bookmarkEnd w:id="77"/>
      <w:bookmarkStart w:id="78" w:name="_Toc15396619"/>
    </w:p>
    <w:p>
      <w:pPr>
        <w:pStyle w:val="4"/>
        <w:rPr>
          <w:rFonts w:ascii="仿宋" w:hAnsi="仿宋" w:eastAsia="仿宋"/>
        </w:rPr>
      </w:pPr>
      <w:bookmarkStart w:id="79" w:name="_Toc25972"/>
      <w:r>
        <w:rPr>
          <w:rFonts w:hint="eastAsia" w:ascii="仿宋" w:hAnsi="仿宋" w:eastAsia="仿宋"/>
          <w:b w:val="0"/>
        </w:rPr>
        <w:t>一、收</w:t>
      </w:r>
      <w:r>
        <w:rPr>
          <w:rStyle w:val="29"/>
          <w:rFonts w:hint="eastAsia" w:ascii="仿宋" w:hAnsi="仿宋" w:eastAsia="仿宋"/>
          <w:b w:val="0"/>
          <w:bCs w:val="0"/>
        </w:rPr>
        <w:t>入支出决算总表</w:t>
      </w:r>
      <w:bookmarkEnd w:id="78"/>
      <w:bookmarkEnd w:id="79"/>
    </w:p>
    <w:p>
      <w:pPr>
        <w:pStyle w:val="4"/>
        <w:rPr>
          <w:rFonts w:ascii="仿宋" w:hAnsi="仿宋" w:eastAsia="仿宋"/>
        </w:rPr>
      </w:pPr>
      <w:bookmarkStart w:id="80" w:name="_Toc27742"/>
      <w:bookmarkStart w:id="81" w:name="_Toc15396620"/>
      <w:r>
        <w:rPr>
          <w:rFonts w:hint="eastAsia" w:ascii="仿宋" w:hAnsi="仿宋" w:eastAsia="仿宋"/>
          <w:b w:val="0"/>
        </w:rPr>
        <w:t>二、收</w:t>
      </w:r>
      <w:r>
        <w:rPr>
          <w:rStyle w:val="29"/>
          <w:rFonts w:hint="eastAsia" w:ascii="仿宋" w:hAnsi="仿宋" w:eastAsia="仿宋"/>
          <w:b w:val="0"/>
          <w:bCs w:val="0"/>
        </w:rPr>
        <w:t>入决算表</w:t>
      </w:r>
      <w:bookmarkEnd w:id="80"/>
      <w:bookmarkEnd w:id="81"/>
    </w:p>
    <w:p>
      <w:pPr>
        <w:pStyle w:val="4"/>
        <w:rPr>
          <w:rFonts w:ascii="仿宋" w:hAnsi="仿宋" w:eastAsia="仿宋"/>
        </w:rPr>
      </w:pPr>
      <w:bookmarkStart w:id="82" w:name="_Toc15396621"/>
      <w:bookmarkStart w:id="83" w:name="_Toc20798"/>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82"/>
      <w:bookmarkEnd w:id="83"/>
    </w:p>
    <w:p>
      <w:pPr>
        <w:pStyle w:val="4"/>
        <w:rPr>
          <w:rFonts w:ascii="仿宋" w:hAnsi="仿宋" w:eastAsia="仿宋"/>
          <w:b w:val="0"/>
        </w:rPr>
      </w:pPr>
      <w:bookmarkStart w:id="84" w:name="_Toc27120"/>
      <w:bookmarkStart w:id="85"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84"/>
      <w:bookmarkEnd w:id="85"/>
    </w:p>
    <w:p>
      <w:pPr>
        <w:pStyle w:val="4"/>
        <w:rPr>
          <w:rStyle w:val="29"/>
          <w:rFonts w:ascii="仿宋" w:hAnsi="仿宋" w:eastAsia="仿宋"/>
          <w:b w:val="0"/>
          <w:bCs w:val="0"/>
        </w:rPr>
      </w:pPr>
      <w:bookmarkStart w:id="86" w:name="_Toc27988"/>
      <w:bookmarkStart w:id="87"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86"/>
      <w:bookmarkEnd w:id="87"/>
      <w:bookmarkStart w:id="88" w:name="_Toc15396624"/>
    </w:p>
    <w:p>
      <w:pPr>
        <w:pStyle w:val="4"/>
        <w:rPr>
          <w:rFonts w:ascii="仿宋" w:hAnsi="仿宋" w:eastAsia="仿宋"/>
        </w:rPr>
      </w:pPr>
      <w:bookmarkStart w:id="89" w:name="_Toc20587"/>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88"/>
      <w:bookmarkEnd w:id="89"/>
    </w:p>
    <w:p>
      <w:pPr>
        <w:pStyle w:val="4"/>
        <w:rPr>
          <w:rFonts w:ascii="仿宋" w:hAnsi="仿宋" w:eastAsia="仿宋"/>
        </w:rPr>
      </w:pPr>
      <w:bookmarkStart w:id="90" w:name="_Toc15396625"/>
      <w:bookmarkStart w:id="91" w:name="_Toc7758"/>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90"/>
      <w:bookmarkEnd w:id="91"/>
    </w:p>
    <w:p>
      <w:pPr>
        <w:pStyle w:val="4"/>
        <w:rPr>
          <w:rFonts w:ascii="仿宋" w:hAnsi="仿宋" w:eastAsia="仿宋"/>
        </w:rPr>
      </w:pPr>
      <w:bookmarkStart w:id="92" w:name="_Toc21088"/>
      <w:bookmarkStart w:id="93"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92"/>
      <w:bookmarkEnd w:id="93"/>
    </w:p>
    <w:p>
      <w:pPr>
        <w:pStyle w:val="4"/>
        <w:rPr>
          <w:rFonts w:ascii="仿宋" w:hAnsi="仿宋" w:eastAsia="仿宋"/>
        </w:rPr>
      </w:pPr>
      <w:bookmarkStart w:id="94" w:name="_Toc4970"/>
      <w:bookmarkStart w:id="95"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94"/>
      <w:bookmarkEnd w:id="95"/>
    </w:p>
    <w:p>
      <w:pPr>
        <w:pStyle w:val="4"/>
        <w:rPr>
          <w:rFonts w:ascii="仿宋" w:hAnsi="仿宋" w:eastAsia="仿宋"/>
        </w:rPr>
      </w:pPr>
      <w:bookmarkStart w:id="96" w:name="_Toc21820"/>
      <w:bookmarkStart w:id="97" w:name="_Toc15396628"/>
      <w:r>
        <w:rPr>
          <w:rStyle w:val="29"/>
          <w:rFonts w:hint="eastAsia" w:ascii="仿宋" w:hAnsi="仿宋" w:eastAsia="仿宋"/>
          <w:b w:val="0"/>
          <w:bCs w:val="0"/>
        </w:rPr>
        <w:t>十、</w:t>
      </w:r>
      <w:r>
        <w:rPr>
          <w:rFonts w:hint="eastAsia" w:ascii="仿宋" w:hAnsi="仿宋" w:eastAsia="仿宋"/>
          <w:b w:val="0"/>
        </w:rPr>
        <w:t>一</w:t>
      </w:r>
      <w:r>
        <w:rPr>
          <w:rStyle w:val="29"/>
          <w:rFonts w:hint="eastAsia" w:ascii="仿宋" w:hAnsi="仿宋" w:eastAsia="仿宋"/>
          <w:b w:val="0"/>
          <w:bCs w:val="0"/>
        </w:rPr>
        <w:t>般公共预算财政拨款“三公”经费支出决算表</w:t>
      </w:r>
      <w:bookmarkEnd w:id="96"/>
      <w:bookmarkEnd w:id="97"/>
    </w:p>
    <w:p>
      <w:pPr>
        <w:pStyle w:val="4"/>
        <w:rPr>
          <w:rFonts w:ascii="仿宋" w:hAnsi="仿宋" w:eastAsia="仿宋"/>
        </w:rPr>
      </w:pPr>
      <w:bookmarkStart w:id="98" w:name="_Toc15396629"/>
      <w:bookmarkStart w:id="99" w:name="_Toc27362"/>
      <w:r>
        <w:rPr>
          <w:rStyle w:val="29"/>
          <w:rFonts w:hint="eastAsia" w:ascii="仿宋" w:hAnsi="仿宋" w:eastAsia="仿宋"/>
          <w:b w:val="0"/>
          <w:bCs w:val="0"/>
        </w:rPr>
        <w:t>十一、</w:t>
      </w:r>
      <w:r>
        <w:rPr>
          <w:rFonts w:hint="eastAsia" w:ascii="仿宋" w:hAnsi="仿宋" w:eastAsia="仿宋"/>
          <w:b w:val="0"/>
        </w:rPr>
        <w:t>政</w:t>
      </w:r>
      <w:r>
        <w:rPr>
          <w:rStyle w:val="29"/>
          <w:rFonts w:hint="eastAsia" w:ascii="仿宋" w:hAnsi="仿宋" w:eastAsia="仿宋"/>
          <w:b w:val="0"/>
          <w:bCs w:val="0"/>
        </w:rPr>
        <w:t>府性基金预算财政拨款收入支出决算表</w:t>
      </w:r>
      <w:bookmarkEnd w:id="98"/>
      <w:bookmarkEnd w:id="99"/>
    </w:p>
    <w:p>
      <w:pPr>
        <w:pStyle w:val="4"/>
        <w:rPr>
          <w:rFonts w:ascii="仿宋" w:hAnsi="仿宋" w:eastAsia="仿宋"/>
        </w:rPr>
      </w:pPr>
      <w:bookmarkStart w:id="100" w:name="_Toc15396630"/>
      <w:bookmarkStart w:id="101" w:name="_Toc6863"/>
      <w:r>
        <w:rPr>
          <w:rStyle w:val="29"/>
          <w:rFonts w:hint="eastAsia" w:ascii="仿宋" w:hAnsi="仿宋" w:eastAsia="仿宋"/>
          <w:b w:val="0"/>
          <w:bCs w:val="0"/>
        </w:rPr>
        <w:t>十二、</w:t>
      </w:r>
      <w:r>
        <w:rPr>
          <w:rFonts w:hint="eastAsia" w:ascii="仿宋" w:hAnsi="仿宋" w:eastAsia="仿宋"/>
          <w:b w:val="0"/>
        </w:rPr>
        <w:t>政</w:t>
      </w:r>
      <w:r>
        <w:rPr>
          <w:rStyle w:val="29"/>
          <w:rFonts w:hint="eastAsia" w:ascii="仿宋" w:hAnsi="仿宋" w:eastAsia="仿宋"/>
          <w:b w:val="0"/>
          <w:bCs w:val="0"/>
        </w:rPr>
        <w:t>府性基金预算财政拨款“三公”经费支出决算表</w:t>
      </w:r>
      <w:bookmarkEnd w:id="100"/>
      <w:bookmarkEnd w:id="101"/>
    </w:p>
    <w:p>
      <w:pPr>
        <w:pStyle w:val="4"/>
        <w:rPr>
          <w:rStyle w:val="29"/>
          <w:rFonts w:ascii="仿宋" w:hAnsi="仿宋" w:eastAsia="仿宋"/>
          <w:b w:val="0"/>
          <w:bCs w:val="0"/>
        </w:rPr>
      </w:pPr>
      <w:bookmarkStart w:id="102" w:name="_Toc15396631"/>
      <w:bookmarkStart w:id="103" w:name="_Toc29145"/>
      <w:r>
        <w:rPr>
          <w:rStyle w:val="29"/>
          <w:rFonts w:hint="eastAsia" w:ascii="仿宋" w:hAnsi="仿宋" w:eastAsia="仿宋"/>
          <w:b w:val="0"/>
          <w:bCs w:val="0"/>
        </w:rPr>
        <w:t>十三、</w:t>
      </w:r>
      <w:r>
        <w:rPr>
          <w:rFonts w:hint="eastAsia" w:ascii="仿宋" w:hAnsi="仿宋" w:eastAsia="仿宋"/>
          <w:b w:val="0"/>
        </w:rPr>
        <w:t>国</w:t>
      </w:r>
      <w:r>
        <w:rPr>
          <w:rStyle w:val="29"/>
          <w:rFonts w:hint="eastAsia" w:ascii="仿宋" w:hAnsi="仿宋" w:eastAsia="仿宋"/>
          <w:b w:val="0"/>
          <w:bCs w:val="0"/>
        </w:rPr>
        <w:t>有资本经营预算财政拨款收入支出决算表</w:t>
      </w:r>
      <w:bookmarkEnd w:id="102"/>
      <w:bookmarkEnd w:id="103"/>
    </w:p>
    <w:p>
      <w:pPr>
        <w:rPr>
          <w:rFonts w:eastAsia="仿宋"/>
        </w:rPr>
      </w:pPr>
      <w:bookmarkStart w:id="104" w:name="_Toc19449"/>
      <w:r>
        <w:rPr>
          <w:rStyle w:val="29"/>
          <w:rFonts w:hint="eastAsia" w:ascii="仿宋" w:hAnsi="仿宋" w:eastAsia="仿宋"/>
          <w:b w:val="0"/>
          <w:bCs w:val="0"/>
        </w:rPr>
        <w:t>十四、国有资本经营预算财政拨款支出决算表</w:t>
      </w:r>
      <w:bookmarkEnd w:id="104"/>
    </w:p>
    <w:sectPr>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17</w:t>
    </w:r>
    <w: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5C6F04E2"/>
    <w:multiLevelType w:val="singleLevel"/>
    <w:tmpl w:val="5C6F04E2"/>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MDNmYzlhODgyOGVkY2I1MTFjOTUyNzJiZmQyNjdjMDg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1FEE"/>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1E2A"/>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1744E43"/>
    <w:rsid w:val="03BA492B"/>
    <w:rsid w:val="04914F5D"/>
    <w:rsid w:val="0781725F"/>
    <w:rsid w:val="07D56CE9"/>
    <w:rsid w:val="09F9246E"/>
    <w:rsid w:val="0A2032A3"/>
    <w:rsid w:val="0AA23575"/>
    <w:rsid w:val="0B230B8B"/>
    <w:rsid w:val="0B6308FC"/>
    <w:rsid w:val="0B8A37D8"/>
    <w:rsid w:val="0C696107"/>
    <w:rsid w:val="0D06075B"/>
    <w:rsid w:val="0D4E5EA5"/>
    <w:rsid w:val="0EE84E68"/>
    <w:rsid w:val="0F59233E"/>
    <w:rsid w:val="0F5F7F75"/>
    <w:rsid w:val="10C055FF"/>
    <w:rsid w:val="10E51AD4"/>
    <w:rsid w:val="118107EC"/>
    <w:rsid w:val="11DD6519"/>
    <w:rsid w:val="12E3738C"/>
    <w:rsid w:val="15307F29"/>
    <w:rsid w:val="15A96E6B"/>
    <w:rsid w:val="15E6198C"/>
    <w:rsid w:val="16111CA6"/>
    <w:rsid w:val="16BB723D"/>
    <w:rsid w:val="174D31F0"/>
    <w:rsid w:val="18015F3F"/>
    <w:rsid w:val="18C4381F"/>
    <w:rsid w:val="198F5897"/>
    <w:rsid w:val="1A6604E5"/>
    <w:rsid w:val="1A7358EE"/>
    <w:rsid w:val="1B0C63A5"/>
    <w:rsid w:val="1B91152A"/>
    <w:rsid w:val="1B9A1657"/>
    <w:rsid w:val="1BE8440E"/>
    <w:rsid w:val="1C8C12EE"/>
    <w:rsid w:val="1CD21354"/>
    <w:rsid w:val="1D155CEE"/>
    <w:rsid w:val="1F0D52AF"/>
    <w:rsid w:val="1FA93A0C"/>
    <w:rsid w:val="20F57F95"/>
    <w:rsid w:val="22C9554D"/>
    <w:rsid w:val="230C2FED"/>
    <w:rsid w:val="23593B74"/>
    <w:rsid w:val="240371BF"/>
    <w:rsid w:val="24A0301A"/>
    <w:rsid w:val="251F4733"/>
    <w:rsid w:val="25C741E6"/>
    <w:rsid w:val="25D565A0"/>
    <w:rsid w:val="25F825E6"/>
    <w:rsid w:val="261F6C83"/>
    <w:rsid w:val="27842671"/>
    <w:rsid w:val="28224078"/>
    <w:rsid w:val="28CD6D78"/>
    <w:rsid w:val="29FD04D3"/>
    <w:rsid w:val="2A511F92"/>
    <w:rsid w:val="2ABE7A3E"/>
    <w:rsid w:val="2B3F3FF2"/>
    <w:rsid w:val="2CD45423"/>
    <w:rsid w:val="2D43198F"/>
    <w:rsid w:val="2D52226A"/>
    <w:rsid w:val="2E5D4ACB"/>
    <w:rsid w:val="2E872BEF"/>
    <w:rsid w:val="2EFA178C"/>
    <w:rsid w:val="2FCB6FBE"/>
    <w:rsid w:val="30B46D73"/>
    <w:rsid w:val="3106000F"/>
    <w:rsid w:val="319F7F4E"/>
    <w:rsid w:val="31B34BCA"/>
    <w:rsid w:val="32443DEB"/>
    <w:rsid w:val="330F26D0"/>
    <w:rsid w:val="337820FF"/>
    <w:rsid w:val="3415088C"/>
    <w:rsid w:val="341D31C7"/>
    <w:rsid w:val="3563575A"/>
    <w:rsid w:val="3620001E"/>
    <w:rsid w:val="377E6525"/>
    <w:rsid w:val="39AE70AB"/>
    <w:rsid w:val="39BB1242"/>
    <w:rsid w:val="3A4D7558"/>
    <w:rsid w:val="3A6812A6"/>
    <w:rsid w:val="3C0C0783"/>
    <w:rsid w:val="3C3C60E0"/>
    <w:rsid w:val="3CA3541C"/>
    <w:rsid w:val="3CD62A5B"/>
    <w:rsid w:val="3D440278"/>
    <w:rsid w:val="3D464BBC"/>
    <w:rsid w:val="3F3A6425"/>
    <w:rsid w:val="3F9F3A96"/>
    <w:rsid w:val="4080549A"/>
    <w:rsid w:val="40CF45A9"/>
    <w:rsid w:val="43654FA1"/>
    <w:rsid w:val="443B107F"/>
    <w:rsid w:val="446A2C06"/>
    <w:rsid w:val="45E728E4"/>
    <w:rsid w:val="469E47FA"/>
    <w:rsid w:val="46E17376"/>
    <w:rsid w:val="47260B16"/>
    <w:rsid w:val="48161192"/>
    <w:rsid w:val="493C27E9"/>
    <w:rsid w:val="496F39ED"/>
    <w:rsid w:val="49FF41D3"/>
    <w:rsid w:val="4B4D56D2"/>
    <w:rsid w:val="4BE068DB"/>
    <w:rsid w:val="4BF6002B"/>
    <w:rsid w:val="4C9359B0"/>
    <w:rsid w:val="4DD06A0E"/>
    <w:rsid w:val="4ECE2238"/>
    <w:rsid w:val="4F9C0902"/>
    <w:rsid w:val="4FE665D9"/>
    <w:rsid w:val="50F13E0C"/>
    <w:rsid w:val="51DB4B86"/>
    <w:rsid w:val="5242269F"/>
    <w:rsid w:val="544D59CA"/>
    <w:rsid w:val="55333C3E"/>
    <w:rsid w:val="553810DC"/>
    <w:rsid w:val="55846583"/>
    <w:rsid w:val="57E8423C"/>
    <w:rsid w:val="593B3146"/>
    <w:rsid w:val="594E7013"/>
    <w:rsid w:val="59E677F7"/>
    <w:rsid w:val="5AAB3F37"/>
    <w:rsid w:val="5B243716"/>
    <w:rsid w:val="5B4D241F"/>
    <w:rsid w:val="5BC90AD6"/>
    <w:rsid w:val="5C086ED1"/>
    <w:rsid w:val="5D5705D7"/>
    <w:rsid w:val="5D6F79EA"/>
    <w:rsid w:val="5EA51127"/>
    <w:rsid w:val="5F1654C2"/>
    <w:rsid w:val="60AF11AF"/>
    <w:rsid w:val="61CD16DE"/>
    <w:rsid w:val="633821B6"/>
    <w:rsid w:val="63A958E2"/>
    <w:rsid w:val="63AB78C7"/>
    <w:rsid w:val="64CA39A1"/>
    <w:rsid w:val="64F96352"/>
    <w:rsid w:val="651D4EFF"/>
    <w:rsid w:val="654D112D"/>
    <w:rsid w:val="65743C5A"/>
    <w:rsid w:val="65A27F7B"/>
    <w:rsid w:val="65B84383"/>
    <w:rsid w:val="671F43AE"/>
    <w:rsid w:val="672C7BCD"/>
    <w:rsid w:val="674B2C96"/>
    <w:rsid w:val="68E43867"/>
    <w:rsid w:val="6AE97717"/>
    <w:rsid w:val="6C4A05C8"/>
    <w:rsid w:val="6C6D508C"/>
    <w:rsid w:val="6ECD44DD"/>
    <w:rsid w:val="6FA06E8A"/>
    <w:rsid w:val="71DF1D60"/>
    <w:rsid w:val="71E87DF6"/>
    <w:rsid w:val="72734D90"/>
    <w:rsid w:val="73267938"/>
    <w:rsid w:val="74FA70BA"/>
    <w:rsid w:val="77B61C04"/>
    <w:rsid w:val="78BD247C"/>
    <w:rsid w:val="79E7B28D"/>
    <w:rsid w:val="7A0400BD"/>
    <w:rsid w:val="7C011760"/>
    <w:rsid w:val="7C7236B9"/>
    <w:rsid w:val="7E954220"/>
    <w:rsid w:val="7F236F95"/>
    <w:rsid w:val="7F430BF5"/>
    <w:rsid w:val="7F530842"/>
    <w:rsid w:val="7F9F20EE"/>
    <w:rsid w:val="9E3A10E2"/>
    <w:rsid w:val="F2E1F9D4"/>
    <w:rsid w:val="F7880819"/>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Cambria" w:hAnsi="Cambria" w:eastAsia="宋体" w:cs="黑体"/>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2">
    <w:name w:val="Body Text"/>
    <w:basedOn w:val="1"/>
    <w:link w:val="27"/>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30"/>
    <w:unhideWhenUsed/>
    <w:qFormat/>
    <w:uiPriority w:val="99"/>
    <w:rPr>
      <w:sz w:val="18"/>
      <w:szCs w:val="18"/>
    </w:rPr>
  </w:style>
  <w:style w:type="paragraph" w:styleId="8">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u w:val="single"/>
    </w:rPr>
  </w:style>
  <w:style w:type="paragraph" w:customStyle="1" w:styleId="1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7">
    <w:name w:val="List Paragraph"/>
    <w:basedOn w:val="1"/>
    <w:qFormat/>
    <w:uiPriority w:val="34"/>
    <w:pPr>
      <w:ind w:firstLine="420" w:firstLineChars="200"/>
    </w:pPr>
  </w:style>
  <w:style w:type="paragraph" w:customStyle="1" w:styleId="18">
    <w:name w:val="TOC 标题1"/>
    <w:basedOn w:val="3"/>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19">
    <w:name w:val="TOC 标题2"/>
    <w:basedOn w:val="3"/>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20">
    <w:name w:val="WPSOffice手动目录 1"/>
    <w:qFormat/>
    <w:uiPriority w:val="0"/>
    <w:pPr>
      <w:ind w:leftChars="0"/>
    </w:pPr>
    <w:rPr>
      <w:rFonts w:ascii="Times New Roman" w:hAnsi="Times New Roman" w:eastAsia="宋体" w:cs="Times New Roman"/>
      <w:sz w:val="20"/>
      <w:szCs w:val="20"/>
      <w:lang w:val="en-US" w:eastAsia="zh-CN" w:bidi="ar-SA"/>
    </w:rPr>
  </w:style>
  <w:style w:type="paragraph" w:customStyle="1" w:styleId="21">
    <w:name w:val="WPSOffice手动目录 2"/>
    <w:qFormat/>
    <w:uiPriority w:val="0"/>
    <w:pPr>
      <w:ind w:leftChars="200"/>
    </w:pPr>
    <w:rPr>
      <w:rFonts w:ascii="Times New Roman" w:hAnsi="Times New Roman" w:eastAsia="宋体" w:cs="Times New Roman"/>
      <w:sz w:val="20"/>
      <w:szCs w:val="20"/>
      <w:lang w:val="en-US" w:eastAsia="zh-CN" w:bidi="ar-SA"/>
    </w:rPr>
  </w:style>
  <w:style w:type="character" w:customStyle="1" w:styleId="22">
    <w:name w:val="Header Char"/>
    <w:basedOn w:val="13"/>
    <w:semiHidden/>
    <w:qFormat/>
    <w:uiPriority w:val="99"/>
    <w:rPr>
      <w:rFonts w:ascii="Times New Roman" w:hAnsi="Times New Roman"/>
      <w:sz w:val="18"/>
      <w:szCs w:val="18"/>
    </w:rPr>
  </w:style>
  <w:style w:type="character" w:customStyle="1" w:styleId="23">
    <w:name w:val="页眉 Char"/>
    <w:link w:val="9"/>
    <w:semiHidden/>
    <w:qFormat/>
    <w:locked/>
    <w:uiPriority w:val="99"/>
    <w:rPr>
      <w:sz w:val="18"/>
    </w:rPr>
  </w:style>
  <w:style w:type="character" w:customStyle="1" w:styleId="24">
    <w:name w:val="Footer Char"/>
    <w:basedOn w:val="13"/>
    <w:semiHidden/>
    <w:qFormat/>
    <w:uiPriority w:val="99"/>
    <w:rPr>
      <w:rFonts w:ascii="Times New Roman" w:hAnsi="Times New Roman"/>
      <w:sz w:val="18"/>
      <w:szCs w:val="18"/>
    </w:rPr>
  </w:style>
  <w:style w:type="character" w:customStyle="1" w:styleId="25">
    <w:name w:val="页脚 Char"/>
    <w:link w:val="8"/>
    <w:qFormat/>
    <w:locked/>
    <w:uiPriority w:val="99"/>
    <w:rPr>
      <w:sz w:val="18"/>
    </w:rPr>
  </w:style>
  <w:style w:type="character" w:customStyle="1" w:styleId="26">
    <w:name w:val="Body Text Char"/>
    <w:basedOn w:val="13"/>
    <w:semiHidden/>
    <w:qFormat/>
    <w:uiPriority w:val="99"/>
    <w:rPr>
      <w:rFonts w:ascii="Times New Roman" w:hAnsi="Times New Roman"/>
      <w:szCs w:val="24"/>
    </w:rPr>
  </w:style>
  <w:style w:type="character" w:customStyle="1" w:styleId="27">
    <w:name w:val="正文文本 Char"/>
    <w:link w:val="2"/>
    <w:qFormat/>
    <w:locked/>
    <w:uiPriority w:val="99"/>
    <w:rPr>
      <w:rFonts w:ascii="仿宋_GB2312" w:hAnsi="Times New Roman" w:eastAsia="仿宋_GB2312"/>
      <w:sz w:val="24"/>
    </w:rPr>
  </w:style>
  <w:style w:type="character" w:customStyle="1" w:styleId="28">
    <w:name w:val="标题 1 Char"/>
    <w:basedOn w:val="13"/>
    <w:link w:val="3"/>
    <w:qFormat/>
    <w:uiPriority w:val="9"/>
    <w:rPr>
      <w:rFonts w:ascii="Times New Roman" w:hAnsi="Times New Roman"/>
      <w:b/>
      <w:bCs/>
      <w:kern w:val="44"/>
      <w:sz w:val="44"/>
      <w:szCs w:val="44"/>
    </w:rPr>
  </w:style>
  <w:style w:type="character" w:customStyle="1" w:styleId="29">
    <w:name w:val="标题 2 Char"/>
    <w:basedOn w:val="13"/>
    <w:link w:val="4"/>
    <w:qFormat/>
    <w:uiPriority w:val="9"/>
    <w:rPr>
      <w:rFonts w:ascii="Cambria" w:hAnsi="Cambria" w:eastAsia="宋体" w:cs="黑体"/>
      <w:b/>
      <w:bCs/>
      <w:kern w:val="2"/>
      <w:sz w:val="32"/>
      <w:szCs w:val="32"/>
    </w:rPr>
  </w:style>
  <w:style w:type="character" w:customStyle="1" w:styleId="30">
    <w:name w:val="批注框文本 Char"/>
    <w:basedOn w:val="13"/>
    <w:link w:val="7"/>
    <w:semiHidden/>
    <w:qFormat/>
    <w:uiPriority w:val="99"/>
    <w:rPr>
      <w:rFonts w:ascii="Times New Roman" w:hAnsi="Times New Roman"/>
      <w:kern w:val="2"/>
      <w:sz w:val="18"/>
      <w:szCs w:val="18"/>
    </w:rPr>
  </w:style>
  <w:style w:type="character" w:customStyle="1" w:styleId="31">
    <w:name w:val="标题 3 Char"/>
    <w:basedOn w:val="13"/>
    <w:link w:val="5"/>
    <w:qFormat/>
    <w:uiPriority w:val="9"/>
    <w:rPr>
      <w:rFonts w:ascii="Times New Roman" w:hAnsi="Times New Roman"/>
      <w:b/>
      <w:bCs/>
      <w:kern w:val="2"/>
      <w:sz w:val="32"/>
      <w:szCs w:val="32"/>
    </w:rPr>
  </w:style>
  <w:style w:type="character" w:customStyle="1" w:styleId="32">
    <w:name w:val="font61"/>
    <w:basedOn w:val="13"/>
    <w:qFormat/>
    <w:uiPriority w:val="0"/>
    <w:rPr>
      <w:rFonts w:hint="default" w:ascii="Times New Roman" w:hAnsi="Times New Roman" w:cs="Times New Roman"/>
      <w:color w:val="000000"/>
      <w:sz w:val="24"/>
      <w:szCs w:val="24"/>
      <w:u w:val="none"/>
    </w:rPr>
  </w:style>
  <w:style w:type="character" w:customStyle="1" w:styleId="33">
    <w:name w:val="font31"/>
    <w:basedOn w:val="13"/>
    <w:qFormat/>
    <w:uiPriority w:val="0"/>
    <w:rPr>
      <w:rFonts w:hint="eastAsia" w:ascii="宋体" w:hAnsi="宋体" w:eastAsia="宋体" w:cs="宋体"/>
      <w:color w:val="000000"/>
      <w:sz w:val="24"/>
      <w:szCs w:val="24"/>
      <w:u w:val="none"/>
    </w:rPr>
  </w:style>
  <w:style w:type="character" w:customStyle="1" w:styleId="34">
    <w:name w:val="font01"/>
    <w:basedOn w:val="13"/>
    <w:qFormat/>
    <w:uiPriority w:val="0"/>
    <w:rPr>
      <w:rFonts w:hint="default" w:ascii="Times New Roman" w:hAnsi="Times New Roman" w:cs="Times New Roman"/>
      <w:color w:val="000000"/>
      <w:sz w:val="24"/>
      <w:szCs w:val="24"/>
      <w:u w:val="none"/>
    </w:rPr>
  </w:style>
  <w:style w:type="character" w:customStyle="1" w:styleId="35">
    <w:name w:val="font21"/>
    <w:basedOn w:val="13"/>
    <w:qFormat/>
    <w:uiPriority w:val="0"/>
    <w:rPr>
      <w:rFonts w:hint="default" w:ascii="Times New Roman" w:hAnsi="Times New Roman" w:cs="Times New Roman"/>
      <w:color w:val="000000"/>
      <w:sz w:val="24"/>
      <w:szCs w:val="24"/>
      <w:u w:val="none"/>
    </w:rPr>
  </w:style>
  <w:style w:type="character" w:customStyle="1" w:styleId="36">
    <w:name w:val="font11"/>
    <w:basedOn w:val="13"/>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22270;&#34920;%20&#22312;%20&#30416;&#36793;&#32418;&#26684;&#20013;&#24515;&#21355;&#29983;&#38498;2021&#24180;&#21333;&#20301;&#20915;&#31639;&#20844;&#24320;&#32534;&#21046;&#35828;&#26126;.doc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2270;&#34920;%20&#22312;%20&#30416;&#36793;&#32418;&#23453;&#21355;&#29983;&#38498;2021&#24180;&#21333;&#20301;&#20915;&#31639;&#20844;&#24320;&#32534;&#21046;&#35828;&#26126;.doc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22270;&#34920;%20&#22312;%20&#30416;&#36793;&#32418;&#26684;&#20013;&#24515;&#21355;&#29983;&#38498;2021&#24180;&#21333;&#20301;&#20915;&#31639;&#20844;&#24320;&#32534;&#21046;&#35828;&#26126;.doc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22270;&#34920;%20&#22312;%20&#30416;&#36793;&#32418;&#26684;&#20013;&#24515;&#21355;&#29983;&#38498;2021&#24180;&#21333;&#20301;&#20915;&#31639;&#20844;&#24320;&#32534;&#21046;&#35828;&#26126;.doc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22270;&#34920;%20&#22312;%20&#30416;&#36793;&#32418;&#26684;&#20013;&#24515;&#21355;&#29983;&#38498;2021&#24180;&#21333;&#20301;&#20915;&#31639;&#20844;&#24320;&#32534;&#21046;&#35828;&#26126;.doc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22270;&#34920;%20&#22312;%20&#30416;&#36793;&#32418;&#26684;&#20013;&#24515;&#21355;&#29983;&#38498;2021&#24180;&#21333;&#20301;&#20915;&#31639;&#20844;&#24320;&#32534;&#21046;&#35828;&#26126;.doc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22270;&#34920;%20&#22312;%20&#30416;&#36793;&#32418;&#26684;&#20013;&#24515;&#21355;&#29983;&#38498;2021&#24180;&#21333;&#20301;&#20915;&#31639;&#20844;&#24320;&#32534;&#21046;&#35828;&#26126;.doc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'[图表 在 盐边红格中心卫生院2021年单位决算公开编制说明.docx]Sheet1'!$B$3</c:f>
              <c:strCache>
                <c:ptCount val="1"/>
                <c:pt idx="0">
                  <c:v>2021年</c:v>
                </c:pt>
              </c:strCache>
            </c:strRef>
          </c:tx>
          <c:spPr>
            <a:solidFill>
              <a:srgbClr val="9999FF"/>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1"/>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盐边红格中心卫生院2021年单位决算公开编制说明.docx]Sheet1'!$C$2:$D$2</c:f>
              <c:strCache>
                <c:ptCount val="2"/>
                <c:pt idx="0">
                  <c:v>总收入</c:v>
                </c:pt>
                <c:pt idx="1">
                  <c:v>总支出</c:v>
                </c:pt>
              </c:strCache>
            </c:strRef>
          </c:cat>
          <c:val>
            <c:numRef>
              <c:f>'[图表 在 盐边红格中心卫生院2021年单位决算公开编制说明.docx]Sheet1'!$C$3:$D$3</c:f>
              <c:numCache>
                <c:formatCode>General</c:formatCode>
                <c:ptCount val="2"/>
                <c:pt idx="0">
                  <c:v>169.32</c:v>
                </c:pt>
                <c:pt idx="1">
                  <c:v>176.18</c:v>
                </c:pt>
              </c:numCache>
            </c:numRef>
          </c:val>
        </c:ser>
        <c:ser>
          <c:idx val="1"/>
          <c:order val="1"/>
          <c:tx>
            <c:strRef>
              <c:f>'[图表 在 盐边红格中心卫生院2021年单位决算公开编制说明.docx]Sheet1'!$B$4</c:f>
              <c:strCache>
                <c:ptCount val="1"/>
                <c:pt idx="0">
                  <c:v>2020年</c:v>
                </c:pt>
              </c:strCache>
            </c:strRef>
          </c:tx>
          <c:spPr>
            <a:solidFill>
              <a:srgbClr val="993366"/>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1"/>
              <c:layout>
                <c:manualLayout>
                  <c:x val="0.0112935208161015"/>
                  <c:y val="0.00973506466984348"/>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盐边红格中心卫生院2021年单位决算公开编制说明.docx]Sheet1'!$C$2:$D$2</c:f>
              <c:strCache>
                <c:ptCount val="2"/>
                <c:pt idx="0">
                  <c:v>总收入</c:v>
                </c:pt>
                <c:pt idx="1">
                  <c:v>总支出</c:v>
                </c:pt>
              </c:strCache>
            </c:strRef>
          </c:cat>
          <c:val>
            <c:numRef>
              <c:f>'[图表 在 盐边红格中心卫生院2021年单位决算公开编制说明.docx]Sheet1'!$C$4:$D$4</c:f>
              <c:numCache>
                <c:formatCode>General</c:formatCode>
                <c:ptCount val="2"/>
                <c:pt idx="0">
                  <c:v>144.46</c:v>
                </c:pt>
                <c:pt idx="1">
                  <c:v>138.92</c:v>
                </c:pt>
              </c:numCache>
            </c:numRef>
          </c:val>
        </c:ser>
        <c:dLbls>
          <c:showLegendKey val="0"/>
          <c:showVal val="1"/>
          <c:showCatName val="0"/>
          <c:showSerName val="0"/>
          <c:showPercent val="0"/>
          <c:showBubbleSize val="0"/>
        </c:dLbls>
        <c:gapWidth val="150"/>
        <c:overlap val="0"/>
        <c:axId val="84724252"/>
        <c:axId val="917534254"/>
      </c:barChart>
      <c:catAx>
        <c:axId val="84724252"/>
        <c:scaling>
          <c:orientation val="minMax"/>
        </c:scaling>
        <c:delete val="0"/>
        <c:axPos val="b"/>
        <c:majorTickMark val="in"/>
        <c:minorTickMark val="none"/>
        <c:tickLblPos val="nextTo"/>
        <c:spPr>
          <a:ln w="12700"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917534254"/>
        <c:crosses val="autoZero"/>
        <c:auto val="1"/>
        <c:lblAlgn val="ctr"/>
        <c:lblOffset val="100"/>
        <c:tickLblSkip val="1"/>
        <c:noMultiLvlLbl val="0"/>
      </c:catAx>
      <c:valAx>
        <c:axId val="917534254"/>
        <c:scaling>
          <c:orientation val="minMax"/>
        </c:scaling>
        <c:delete val="0"/>
        <c:axPos val="l"/>
        <c:numFmt formatCode="General" sourceLinked="1"/>
        <c:majorTickMark val="in"/>
        <c:minorTickMark val="none"/>
        <c:tickLblPos val="nextTo"/>
        <c:spPr>
          <a:ln w="12700" cap="flat" cmpd="sng" algn="ctr">
            <a:solidFill>
              <a:srgbClr val="0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84724252"/>
        <c:crosses val="autoZero"/>
        <c:crossBetween val="between"/>
      </c:valAx>
      <c:spPr>
        <a:noFill/>
        <a:ln w="3175">
          <a:noFill/>
        </a:ln>
      </c:spPr>
    </c:plotArea>
    <c:legend>
      <c:legendPos val="r"/>
      <c:layout>
        <c:manualLayout>
          <c:xMode val="edge"/>
          <c:yMode val="edge"/>
          <c:x val="0.827"/>
          <c:y val="0.38525"/>
          <c:w val="0.16425"/>
          <c:h val="0.16275"/>
        </c:manualLayout>
      </c:layout>
      <c:overlay val="0"/>
      <c:spPr>
        <a:solidFill>
          <a:srgbClr val="FFFFFF"/>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'[图表 在 盐边红宝卫生院2021年单位决算公开编制说明.docx]Sheet1'!$B$3</c:f>
              <c:strCache>
                <c:ptCount val="1"/>
                <c:pt idx="0">
                  <c:v>2021年</c:v>
                </c:pt>
              </c:strCache>
            </c:strRef>
          </c:tx>
          <c:spPr>
            <a:solidFill>
              <a:srgbClr val="9999FF"/>
            </a:solidFill>
            <a:ln w="12700">
              <a:solidFill>
                <a:srgbClr val="000000">
                  <a:alpha val="100000"/>
                </a:srgbClr>
              </a:solidFill>
              <a:prstDash val="solid"/>
            </a:ln>
          </c:spPr>
          <c:explosion val="0"/>
          <c:dPt>
            <c:idx val="0"/>
            <c:bubble3D val="0"/>
            <c:explosion val="0"/>
            <c:spPr>
              <a:solidFill>
                <a:srgbClr val="9999FF"/>
              </a:solidFill>
              <a:ln w="3175">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Lbls>
            <c:dLbl>
              <c:idx val="0"/>
              <c:layout>
                <c:manualLayout>
                  <c:x val="-0.935646635111511"/>
                  <c:y val="0.184304662790207"/>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381826344831007"/>
                  <c:y val="0.579624814219484"/>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盐边红宝卫生院2021年单位决算公开编制说明.docx]Sheet1'!$C$2:$D$2</c:f>
              <c:strCache>
                <c:ptCount val="2"/>
                <c:pt idx="0">
                  <c:v>一般公共预算财政拨款</c:v>
                </c:pt>
                <c:pt idx="1">
                  <c:v>其他收入</c:v>
                </c:pt>
              </c:strCache>
            </c:strRef>
          </c:cat>
          <c:val>
            <c:numRef>
              <c:f>'[图表 在 盐边红宝卫生院2021年单位决算公开编制说明.docx]Sheet1'!$C$3:$D$3</c:f>
              <c:numCache>
                <c:formatCode>General</c:formatCode>
                <c:ptCount val="2"/>
                <c:pt idx="0">
                  <c:v>169.32</c:v>
                </c:pt>
                <c:pt idx="1">
                  <c:v>18.85</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658"/>
          <c:y val="0.34725"/>
          <c:w val="0.33325"/>
          <c:h val="0.3055"/>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200" b="1" i="0" u="none" strike="noStrike" kern="1200" baseline="0">
                <a:solidFill>
                  <a:srgbClr val="993300">
                    <a:alpha val="100000"/>
                  </a:srgbClr>
                </a:solidFill>
                <a:latin typeface="宋体" panose="02010600030101010101" charset="-122"/>
                <a:ea typeface="宋体" panose="02010600030101010101" charset="-122"/>
                <a:cs typeface="宋体" panose="02010600030101010101" charset="-122"/>
              </a:defRPr>
            </a:pPr>
            <a:r>
              <a:t>2021年总支出</a:t>
            </a:r>
            <a:endParaRPr sz="1200" b="1" i="0" u="none" strike="noStrike" baseline="0">
              <a:solidFill>
                <a:srgbClr val="993300">
                  <a:alpha val="100000"/>
                </a:srgbClr>
              </a:solidFill>
              <a:latin typeface="宋体" panose="02010600030101010101" charset="-122"/>
              <a:ea typeface="宋体" panose="02010600030101010101" charset="-122"/>
              <a:cs typeface="宋体" panose="02010600030101010101" charset="-122"/>
            </a:endParaRPr>
          </a:p>
        </c:rich>
      </c:tx>
      <c:layout/>
      <c:overlay val="0"/>
    </c:title>
    <c:autoTitleDeleted val="0"/>
    <c:plotArea>
      <c:layout/>
      <c:pieChart>
        <c:varyColors val="1"/>
        <c:ser>
          <c:idx val="0"/>
          <c:order val="0"/>
          <c:tx>
            <c:strRef>
              <c:f>'[图表 在 盐边红格中心卫生院2021年单位决算公开编制说明.docx]Sheet1'!$B$3</c:f>
              <c:strCache>
                <c:ptCount val="1"/>
                <c:pt idx="0">
                  <c:v>2021年总支出</c:v>
                </c:pt>
              </c:strCache>
            </c:strRef>
          </c:tx>
          <c:spPr>
            <a:solidFill>
              <a:srgbClr val="9999FF"/>
            </a:solidFill>
            <a:ln w="12700">
              <a:solidFill>
                <a:srgbClr val="000000">
                  <a:alpha val="100000"/>
                </a:srgbClr>
              </a:solidFill>
              <a:prstDash val="solid"/>
            </a:ln>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panose="02010600030101010101" charset="-122"/>
                      <a:ea typeface="宋体" panose="02010600030101010101" charset="-122"/>
                      <a:cs typeface="宋体" panose="02010600030101010101" charset="-122"/>
                    </a:defRPr>
                  </a:pPr>
                </a:p>
              </c:txPr>
              <c:dLblPos val="bestFit"/>
              <c:showLegendKey val="0"/>
              <c:showVal val="1"/>
              <c:showCatName val="1"/>
              <c:showSerName val="0"/>
              <c:showPercent val="0"/>
              <c:showBubbleSize val="0"/>
              <c:extLst>
                <c:ext xmlns:c15="http://schemas.microsoft.com/office/drawing/2012/chart" uri="{CE6537A1-D6FC-4f65-9D91-7224C49458BB}"/>
              </c:extLst>
            </c:dLbl>
            <c:dLbl>
              <c:idx val="1"/>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panose="02010600030101010101" charset="-122"/>
                      <a:ea typeface="宋体" panose="02010600030101010101" charset="-122"/>
                      <a:cs typeface="宋体" panose="02010600030101010101" charset="-122"/>
                    </a:defRPr>
                  </a:pPr>
                </a:p>
              </c:txPr>
              <c:dLblPos val="bestFit"/>
              <c:showLegendKey val="0"/>
              <c:showVal val="1"/>
              <c:showCatName val="1"/>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993300">
                        <a:alpha val="100000"/>
                      </a:srgbClr>
                    </a:solidFill>
                    <a:latin typeface="宋体" panose="02010600030101010101" charset="-122"/>
                    <a:ea typeface="宋体" panose="02010600030101010101" charset="-122"/>
                    <a:cs typeface="宋体" panose="02010600030101010101" charset="-122"/>
                  </a:defRPr>
                </a:pPr>
              </a:p>
            </c:txPr>
            <c:dLblPos val="bestFit"/>
            <c:showLegendKey val="0"/>
            <c:showVal val="1"/>
            <c:showCatName val="1"/>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盐边红格中心卫生院2021年单位决算公开编制说明.docx]Sheet1'!$C$2:$D$2</c:f>
              <c:strCache>
                <c:ptCount val="2"/>
                <c:pt idx="0">
                  <c:v>基本支出</c:v>
                </c:pt>
                <c:pt idx="1">
                  <c:v>项目支出</c:v>
                </c:pt>
              </c:strCache>
            </c:strRef>
          </c:cat>
          <c:val>
            <c:numRef>
              <c:f>'[图表 在 盐边红格中心卫生院2021年单位决算公开编制说明.docx]Sheet1'!$C$3:$D$3</c:f>
              <c:numCache>
                <c:formatCode>General</c:formatCode>
                <c:ptCount val="2"/>
                <c:pt idx="0">
                  <c:v>106.65</c:v>
                </c:pt>
                <c:pt idx="1">
                  <c:v>69.54</c:v>
                </c:pt>
              </c:numCache>
            </c:numRef>
          </c:val>
        </c:ser>
        <c:dLbls>
          <c:showLegendKey val="0"/>
          <c:showVal val="0"/>
          <c:showCatName val="0"/>
          <c:showSerName val="0"/>
          <c:showPercent val="0"/>
          <c:showBubbleSize val="0"/>
          <c:showLeaderLines val="0"/>
        </c:dLbls>
        <c:firstSliceAng val="0"/>
      </c:pieChart>
      <c:spPr>
        <a:noFill/>
        <a:ln w="3175">
          <a:noFill/>
        </a:ln>
      </c:spPr>
    </c:plotArea>
    <c:legend>
      <c:legendPos val="r"/>
      <c:layout>
        <c:manualLayout>
          <c:xMode val="edge"/>
          <c:yMode val="edge"/>
          <c:x val="0.793"/>
          <c:y val="0.476"/>
          <c:w val="0.19825"/>
          <c:h val="0.16275"/>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9933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993300">
              <a:alpha val="100000"/>
            </a:srgbClr>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'[图表 在 盐边红格中心卫生院2021年单位决算公开编制说明.docx]Sheet1'!$B$3</c:f>
              <c:strCache>
                <c:ptCount val="1"/>
                <c:pt idx="0">
                  <c:v>2021年</c:v>
                </c:pt>
              </c:strCache>
            </c:strRef>
          </c:tx>
          <c:spPr>
            <a:solidFill>
              <a:srgbClr val="9999FF"/>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1"/>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盐边红格中心卫生院2021年单位决算公开编制说明.docx]Sheet1'!$C$2:$D$2</c:f>
              <c:strCache>
                <c:ptCount val="2"/>
                <c:pt idx="0">
                  <c:v>财政拨款总收入</c:v>
                </c:pt>
                <c:pt idx="1">
                  <c:v>财政拨款总支出</c:v>
                </c:pt>
              </c:strCache>
            </c:strRef>
          </c:cat>
          <c:val>
            <c:numRef>
              <c:f>'[图表 在 盐边红格中心卫生院2021年单位决算公开编制说明.docx]Sheet1'!$C$3:$D$3</c:f>
              <c:numCache>
                <c:formatCode>General</c:formatCode>
                <c:ptCount val="2"/>
                <c:pt idx="0">
                  <c:v>150.47</c:v>
                </c:pt>
                <c:pt idx="1">
                  <c:v>157.94</c:v>
                </c:pt>
              </c:numCache>
            </c:numRef>
          </c:val>
        </c:ser>
        <c:ser>
          <c:idx val="1"/>
          <c:order val="1"/>
          <c:tx>
            <c:strRef>
              <c:f>'[图表 在 盐边红格中心卫生院2021年单位决算公开编制说明.docx]Sheet1'!$B$4</c:f>
              <c:strCache>
                <c:ptCount val="1"/>
                <c:pt idx="0">
                  <c:v>2020年</c:v>
                </c:pt>
              </c:strCache>
            </c:strRef>
          </c:tx>
          <c:spPr>
            <a:solidFill>
              <a:srgbClr val="993366"/>
            </a:solidFill>
            <a:ln w="12700">
              <a:solidFill>
                <a:srgbClr val="000000">
                  <a:alpha val="100000"/>
                </a:srgbClr>
              </a:solidFill>
              <a:prstDash val="solid"/>
            </a:ln>
          </c:spPr>
          <c:invertIfNegative val="0"/>
          <c:dLbls>
            <c:dLbl>
              <c:idx val="0"/>
              <c:layout>
                <c:manualLayout>
                  <c:x val="0.0169402812241522"/>
                  <c:y val="0"/>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82338020402537"/>
                  <c:y val="-0.0064519174041298"/>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盐边红格中心卫生院2021年单位决算公开编制说明.docx]Sheet1'!$C$2:$D$2</c:f>
              <c:strCache>
                <c:ptCount val="2"/>
                <c:pt idx="0">
                  <c:v>财政拨款总收入</c:v>
                </c:pt>
                <c:pt idx="1">
                  <c:v>财政拨款总支出</c:v>
                </c:pt>
              </c:strCache>
            </c:strRef>
          </c:cat>
          <c:val>
            <c:numRef>
              <c:f>'[图表 在 盐边红格中心卫生院2021年单位决算公开编制说明.docx]Sheet1'!$C$4:$D$4</c:f>
              <c:numCache>
                <c:formatCode>General</c:formatCode>
                <c:ptCount val="2"/>
                <c:pt idx="0">
                  <c:v>136.69</c:v>
                </c:pt>
                <c:pt idx="1">
                  <c:v>129.59</c:v>
                </c:pt>
              </c:numCache>
            </c:numRef>
          </c:val>
        </c:ser>
        <c:dLbls>
          <c:showLegendKey val="0"/>
          <c:showVal val="1"/>
          <c:showCatName val="0"/>
          <c:showSerName val="0"/>
          <c:showPercent val="0"/>
          <c:showBubbleSize val="0"/>
        </c:dLbls>
        <c:gapWidth val="150"/>
        <c:overlap val="0"/>
        <c:axId val="689008393"/>
        <c:axId val="675050493"/>
      </c:barChart>
      <c:catAx>
        <c:axId val="689008393"/>
        <c:scaling>
          <c:orientation val="minMax"/>
        </c:scaling>
        <c:delete val="0"/>
        <c:axPos val="b"/>
        <c:majorTickMark val="in"/>
        <c:minorTickMark val="none"/>
        <c:tickLblPos val="nextTo"/>
        <c:spPr>
          <a:ln w="12700" cap="flat" cmpd="sng" algn="ctr">
            <a:solidFill>
              <a:srgbClr val="8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675050493"/>
        <c:crosses val="autoZero"/>
        <c:auto val="1"/>
        <c:lblAlgn val="ctr"/>
        <c:lblOffset val="100"/>
        <c:tickLblSkip val="1"/>
        <c:noMultiLvlLbl val="0"/>
      </c:catAx>
      <c:valAx>
        <c:axId val="675050493"/>
        <c:scaling>
          <c:orientation val="minMax"/>
        </c:scaling>
        <c:delete val="0"/>
        <c:axPos val="l"/>
        <c:numFmt formatCode="General" sourceLinked="1"/>
        <c:majorTickMark val="in"/>
        <c:minorTickMark val="none"/>
        <c:tickLblPos val="nextTo"/>
        <c:spPr>
          <a:ln w="12700" cap="flat" cmpd="sng" algn="ctr">
            <a:solidFill>
              <a:srgbClr val="8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689008393"/>
        <c:crosses val="autoZero"/>
        <c:crossBetween val="between"/>
      </c:valAx>
      <c:spPr>
        <a:noFill/>
        <a:ln w="3175">
          <a:noFill/>
        </a:ln>
      </c:spPr>
    </c:plotArea>
    <c:legend>
      <c:legendPos val="r"/>
      <c:layout>
        <c:manualLayout>
          <c:xMode val="edge"/>
          <c:yMode val="edge"/>
          <c:x val="0.827"/>
          <c:y val="0.38525"/>
          <c:w val="0.16425"/>
          <c:h val="0.16275"/>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921974083264406"/>
          <c:y val="0.0553664624461085"/>
          <c:w val="0.705845051006341"/>
          <c:h val="0.806489675516224"/>
        </c:manualLayout>
      </c:layout>
      <c:barChart>
        <c:barDir val="col"/>
        <c:grouping val="clustered"/>
        <c:varyColors val="0"/>
        <c:ser>
          <c:idx val="0"/>
          <c:order val="0"/>
          <c:tx>
            <c:strRef>
              <c:f>'[图表 在 盐边红格中心卫生院2021年单位决算公开编制说明.docx]Sheet1'!$B$3</c:f>
              <c:strCache>
                <c:ptCount val="1"/>
                <c:pt idx="0">
                  <c:v>2021年</c:v>
                </c:pt>
              </c:strCache>
            </c:strRef>
          </c:tx>
          <c:spPr>
            <a:solidFill>
              <a:srgbClr val="9999FF"/>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[db30e4651]Sheet1!$C$2</c:f>
              <c:strCache>
                <c:ptCount val="1"/>
                <c:pt idx="0">
                  <c:v>一般公共预算财政拨款支出</c:v>
                </c:pt>
              </c:strCache>
            </c:strRef>
          </c:cat>
          <c:val>
            <c:numRef>
              <c:f>'[图表 在 盐边红格中心卫生院2021年单位决算公开编制说明.docx]Sheet1'!$C$3</c:f>
              <c:numCache>
                <c:formatCode>General</c:formatCode>
                <c:ptCount val="1"/>
                <c:pt idx="0">
                  <c:v>157.94</c:v>
                </c:pt>
              </c:numCache>
            </c:numRef>
          </c:val>
        </c:ser>
        <c:ser>
          <c:idx val="1"/>
          <c:order val="1"/>
          <c:tx>
            <c:strRef>
              <c:f>'[图表 在 盐边红格中心卫生院2021年单位决算公开编制说明.docx]Sheet1'!$B$4</c:f>
              <c:strCache>
                <c:ptCount val="1"/>
                <c:pt idx="0">
                  <c:v>2020年</c:v>
                </c:pt>
              </c:strCache>
            </c:strRef>
          </c:tx>
          <c:spPr>
            <a:solidFill>
              <a:srgbClr val="993366"/>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[db30e4651]Sheet1!$C$2</c:f>
              <c:strCache>
                <c:ptCount val="1"/>
                <c:pt idx="0">
                  <c:v>一般公共预算财政拨款支出</c:v>
                </c:pt>
              </c:strCache>
            </c:strRef>
          </c:cat>
          <c:val>
            <c:numRef>
              <c:f>'[图表 在 盐边红格中心卫生院2021年单位决算公开编制说明.docx]Sheet1'!$C$4</c:f>
              <c:numCache>
                <c:formatCode>General</c:formatCode>
                <c:ptCount val="1"/>
                <c:pt idx="0">
                  <c:v>129.59</c:v>
                </c:pt>
              </c:numCache>
            </c:numRef>
          </c:val>
        </c:ser>
        <c:dLbls>
          <c:showLegendKey val="0"/>
          <c:showVal val="1"/>
          <c:showCatName val="0"/>
          <c:showSerName val="0"/>
          <c:showPercent val="0"/>
          <c:showBubbleSize val="0"/>
        </c:dLbls>
        <c:gapWidth val="150"/>
        <c:overlap val="0"/>
        <c:axId val="489632969"/>
        <c:axId val="867614648"/>
      </c:barChart>
      <c:catAx>
        <c:axId val="489632969"/>
        <c:scaling>
          <c:orientation val="minMax"/>
        </c:scaling>
        <c:delete val="0"/>
        <c:axPos val="b"/>
        <c:majorTickMark val="in"/>
        <c:minorTickMark val="none"/>
        <c:tickLblPos val="nextTo"/>
        <c:spPr>
          <a:ln w="12700" cap="flat" cmpd="sng" algn="ctr">
            <a:solidFill>
              <a:srgbClr val="8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867614648"/>
        <c:crosses val="autoZero"/>
        <c:auto val="1"/>
        <c:lblAlgn val="ctr"/>
        <c:lblOffset val="100"/>
        <c:tickLblSkip val="1"/>
        <c:noMultiLvlLbl val="0"/>
      </c:catAx>
      <c:valAx>
        <c:axId val="867614648"/>
        <c:scaling>
          <c:orientation val="minMax"/>
        </c:scaling>
        <c:delete val="0"/>
        <c:axPos val="l"/>
        <c:numFmt formatCode="General" sourceLinked="1"/>
        <c:majorTickMark val="in"/>
        <c:minorTickMark val="none"/>
        <c:tickLblPos val="nextTo"/>
        <c:spPr>
          <a:ln w="12700" cap="flat" cmpd="sng" algn="ctr">
            <a:solidFill>
              <a:srgbClr val="800000">
                <a:alpha val="100000"/>
              </a:srgbClr>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89632969"/>
        <c:crosses val="autoZero"/>
        <c:crossBetween val="between"/>
      </c:valAx>
      <c:spPr>
        <a:noFill/>
        <a:ln w="3175">
          <a:noFill/>
        </a:ln>
      </c:spPr>
    </c:plotArea>
    <c:legend>
      <c:legendPos val="r"/>
      <c:layout>
        <c:manualLayout>
          <c:xMode val="edge"/>
          <c:yMode val="edge"/>
          <c:x val="0.827"/>
          <c:y val="0.38525"/>
          <c:w val="0.16425"/>
          <c:h val="0.16275"/>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'[图表 在 盐边红格中心卫生院2021年单位决算公开编制说明.docx]Sheet1'!$B$3</c:f>
              <c:strCache>
                <c:ptCount val="1"/>
                <c:pt idx="0">
                  <c:v>一般公共预算财政拨款支出</c:v>
                </c:pt>
              </c:strCache>
            </c:strRef>
          </c:tx>
          <c:spPr>
            <a:solidFill>
              <a:srgbClr val="9999FF"/>
            </a:solidFill>
            <a:ln w="12700">
              <a:solidFill>
                <a:srgbClr val="000000">
                  <a:alpha val="100000"/>
                </a:srgbClr>
              </a:solidFill>
              <a:prstDash val="solid"/>
            </a:ln>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Lbls>
            <c:dLbl>
              <c:idx val="0"/>
              <c:layout>
                <c:manualLayout>
                  <c:x val="0.0334434342123032"/>
                  <c:y val="0.598711627881421"/>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308994961809033"/>
                  <c:y val="0.376666087063871"/>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303682091359448"/>
                  <c:y val="0.544432993345567"/>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盐边红格中心卫生院2021年单位决算公开编制说明.docx]Sheet1'!$C$2:$E$2</c:f>
              <c:strCache>
                <c:ptCount val="3"/>
                <c:pt idx="0">
                  <c:v>社会保障和就业</c:v>
                </c:pt>
                <c:pt idx="1">
                  <c:v>卫生健康</c:v>
                </c:pt>
                <c:pt idx="2">
                  <c:v>住房保障</c:v>
                </c:pt>
              </c:strCache>
            </c:strRef>
          </c:cat>
          <c:val>
            <c:numRef>
              <c:f>'[图表 在 盐边红格中心卫生院2021年单位决算公开编制说明.docx]Sheet1'!$C$3:$E$3</c:f>
              <c:numCache>
                <c:formatCode>General</c:formatCode>
                <c:ptCount val="3"/>
                <c:pt idx="0">
                  <c:v>10.14</c:v>
                </c:pt>
                <c:pt idx="1">
                  <c:v>137.9</c:v>
                </c:pt>
                <c:pt idx="2">
                  <c:v>9.89</c:v>
                </c:pt>
              </c:numCache>
            </c:numRef>
          </c:val>
        </c:ser>
        <c:dLbls>
          <c:showLegendKey val="0"/>
          <c:showVal val="1"/>
          <c:showCatName val="1"/>
          <c:showSerName val="0"/>
          <c:showPercent val="0"/>
          <c:showBubbleSize val="0"/>
          <c:showLeaderLines val="0"/>
        </c:dLbls>
        <c:firstSliceAng val="0"/>
      </c:pieChart>
      <c:spPr>
        <a:noFill/>
        <a:ln w="3175">
          <a:noFill/>
        </a:ln>
      </c:spPr>
    </c:plotArea>
    <c:legend>
      <c:legendPos val="r"/>
      <c:layout>
        <c:manualLayout>
          <c:xMode val="edge"/>
          <c:yMode val="edge"/>
          <c:x val="0.69075"/>
          <c:y val="0.38075"/>
          <c:w val="0.3005"/>
          <c:h val="0.238"/>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'[图表 在 盐边红格中心卫生院2021年单位决算公开编制说明.docx]Sheet1'!$B$3</c:f>
              <c:strCache>
                <c:ptCount val="1"/>
                <c:pt idx="0">
                  <c:v>“三公”经费</c:v>
                </c:pt>
              </c:strCache>
            </c:strRef>
          </c:tx>
          <c:spPr>
            <a:solidFill>
              <a:srgbClr val="9999FF"/>
            </a:solidFill>
            <a:ln w="12700">
              <a:solidFill>
                <a:srgbClr val="000000">
                  <a:alpha val="100000"/>
                </a:srgbClr>
              </a:solidFill>
              <a:prstDash val="solid"/>
            </a:ln>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Lbls>
            <c:dLbl>
              <c:idx val="0"/>
              <c:layout>
                <c:manualLayout>
                  <c:x val="0.108039580211263"/>
                  <c:y val="0.461266330163204"/>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172375342813211"/>
                  <c:y val="0.785120879143849"/>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534671782800354"/>
                  <c:y val="0.111571867406952"/>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showLeaderLines val="0"/>
            <c:extLst>
              <c:ext xmlns:c15="http://schemas.microsoft.com/office/drawing/2012/chart" uri="{CE6537A1-D6FC-4f65-9D91-7224C49458BB}">
                <c15:layout/>
                <c15:showLeaderLines val="0"/>
                <c15:leaderLines/>
              </c:ext>
            </c:extLst>
          </c:dLbls>
          <c:cat>
            <c:strRef>
              <c:f>'[图表 在 盐边红格中心卫生院2021年单位决算公开编制说明.docx]Sheet1'!$C$2:$E$2</c:f>
              <c:strCache>
                <c:ptCount val="3"/>
                <c:pt idx="0">
                  <c:v>因公出国费</c:v>
                </c:pt>
                <c:pt idx="1">
                  <c:v>公务用车运行维护费</c:v>
                </c:pt>
                <c:pt idx="2">
                  <c:v>公务接待费</c:v>
                </c:pt>
              </c:strCache>
            </c:strRef>
          </c:cat>
          <c:val>
            <c:numRef>
              <c:f>'[图表 在 盐边红格中心卫生院2021年单位决算公开编制说明.docx]Sheet1'!$C$3:$E$3</c:f>
              <c:numCache>
                <c:formatCode>General</c:formatCode>
                <c:ptCount val="3"/>
                <c:pt idx="0">
                  <c:v>0</c:v>
                </c:pt>
                <c:pt idx="1">
                  <c:v>0.18</c:v>
                </c:pt>
                <c:pt idx="2">
                  <c:v>0.15</c:v>
                </c:pt>
              </c:numCache>
            </c:numRef>
          </c:val>
        </c:ser>
        <c:dLbls>
          <c:showLegendKey val="0"/>
          <c:showVal val="1"/>
          <c:showCatName val="1"/>
          <c:showSerName val="0"/>
          <c:showPercent val="0"/>
          <c:showBubbleSize val="0"/>
          <c:showLeaderLines val="0"/>
        </c:dLbls>
        <c:firstSliceAng val="0"/>
      </c:pieChart>
      <c:spPr>
        <a:noFill/>
        <a:ln w="3175">
          <a:noFill/>
        </a:ln>
      </c:spPr>
    </c:plotArea>
    <c:legend>
      <c:legendPos val="r"/>
      <c:layout>
        <c:manualLayout>
          <c:xMode val="edge"/>
          <c:yMode val="edge"/>
          <c:x val="0.658"/>
          <c:y val="0.27375"/>
          <c:w val="0.33325"/>
          <c:h val="0.45225"/>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28</Pages>
  <Words>8615</Words>
  <Characters>9569</Characters>
  <Lines>44</Lines>
  <Paragraphs>12</Paragraphs>
  <TotalTime>1</TotalTime>
  <ScaleCrop>false</ScaleCrop>
  <LinksUpToDate>false</LinksUpToDate>
  <CharactersWithSpaces>9784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~＠^_^＠~萢萢糖</cp:lastModifiedBy>
  <cp:lastPrinted>2022-08-06T02:23:00Z</cp:lastPrinted>
  <dcterms:modified xsi:type="dcterms:W3CDTF">2023-04-10T01:01:07Z</dcterms:modified>
  <dc:title>四川省***</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4ED74F763A494676A0E4815235DF4C26</vt:lpwstr>
  </property>
</Properties>
</file>