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96597"/>
      <w:bookmarkStart w:id="3" w:name="_Toc15377193"/>
      <w:bookmarkStart w:id="4" w:name="_Toc15377425"/>
      <w:bookmarkStart w:id="5" w:name="_Toc1539647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96598"/>
      <w:bookmarkStart w:id="8" w:name="_Toc15396476"/>
      <w:bookmarkStart w:id="9" w:name="_Toc15377194"/>
      <w:bookmarkStart w:id="10" w:name="_Toc15378442"/>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lang w:eastAsia="zh-CN"/>
        </w:rPr>
        <w:t>卫生和计划生育监督执法大队</w:t>
      </w: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rPr>
          <w:rFonts w:ascii="Times New Roman" w:hAnsi="Times New Roman" w:eastAsia="方正楷体_GBK" w:cs="Times New Roman"/>
          <w:kern w:val="2"/>
          <w:sz w:val="32"/>
          <w:szCs w:val="32"/>
          <w:lang w:val="en-US" w:eastAsia="zh-CN" w:bidi="ar-SA"/>
        </w:rPr>
      </w:pPr>
      <w:r>
        <w:rPr>
          <w:rFonts w:hint="eastAsia" w:ascii="Times New Roman" w:hAnsi="Times New Roman" w:eastAsia="方正楷体_GBK" w:cs="Times New Roman"/>
          <w:kern w:val="2"/>
          <w:sz w:val="32"/>
          <w:szCs w:val="32"/>
          <w:lang w:val="en-US" w:eastAsia="zh-CN" w:bidi="ar-SA"/>
        </w:rPr>
        <w:t>公开时间：2022年10月20日</w:t>
      </w:r>
    </w:p>
    <w:p/>
    <w:p>
      <w:pPr>
        <w:spacing w:line="560" w:lineRule="exact"/>
        <w:rPr>
          <w:rFonts w:hint="default" w:eastAsia="黑体"/>
          <w:sz w:val="32"/>
          <w:szCs w:val="32"/>
          <w:lang w:val="en-US" w:eastAsia="zh-CN"/>
        </w:rPr>
      </w:pPr>
      <w:r>
        <w:rPr>
          <w:rFonts w:eastAsia="黑体"/>
          <w:sz w:val="32"/>
          <w:szCs w:val="32"/>
        </w:rPr>
        <w:t xml:space="preserve">第一部分 </w:t>
      </w:r>
      <w:r>
        <w:rPr>
          <w:rFonts w:hint="eastAsia" w:eastAsia="黑体"/>
          <w:sz w:val="32"/>
          <w:szCs w:val="32"/>
          <w:lang w:eastAsia="zh-CN"/>
        </w:rPr>
        <w:t>单位</w:t>
      </w:r>
      <w:r>
        <w:rPr>
          <w:rFonts w:eastAsia="黑体"/>
          <w:sz w:val="32"/>
          <w:szCs w:val="32"/>
        </w:rPr>
        <w:t>概况</w:t>
      </w:r>
      <w:r>
        <w:rPr>
          <w:rFonts w:hint="eastAsia" w:eastAsia="黑体"/>
          <w:sz w:val="32"/>
          <w:szCs w:val="32"/>
          <w:lang w:val="en-US" w:eastAsia="zh-CN"/>
        </w:rPr>
        <w:t>...................................................................4</w:t>
      </w:r>
    </w:p>
    <w:p>
      <w:pPr>
        <w:spacing w:line="560" w:lineRule="exact"/>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一、基本职能及主要工作............................................</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.....4二、机构设置</w:t>
      </w:r>
      <w:r>
        <w:rPr>
          <w:rFonts w:hint="eastAsia" w:ascii="Times New Roman" w:hAnsi="Times New Roman" w:eastAsia="仿宋_GB2312" w:cs="Times New Roman"/>
          <w:b w:val="0"/>
          <w:bCs w:val="0"/>
          <w:kern w:val="2"/>
          <w:sz w:val="32"/>
          <w:szCs w:val="32"/>
          <w:lang w:val="en-US" w:eastAsia="zh-CN" w:bidi="ar-SA"/>
        </w:rPr>
        <w:t>...............................................</w:t>
      </w:r>
      <w:r>
        <w:rPr>
          <w:rFonts w:hint="eastAsia" w:eastAsia="仿宋_GB2312" w:cs="Times New Roman"/>
          <w:b w:val="0"/>
          <w:bCs w:val="0"/>
          <w:kern w:val="2"/>
          <w:sz w:val="32"/>
          <w:szCs w:val="32"/>
          <w:lang w:val="en-US" w:eastAsia="zh-CN" w:bidi="ar-SA"/>
        </w:rPr>
        <w:t>.............................</w:t>
      </w:r>
      <w:r>
        <w:rPr>
          <w:rFonts w:hint="eastAsia" w:ascii="Times New Roman" w:hAnsi="Times New Roman" w:eastAsia="仿宋_GB2312" w:cs="Times New Roman"/>
          <w:b w:val="0"/>
          <w:bCs w:val="0"/>
          <w:kern w:val="2"/>
          <w:sz w:val="32"/>
          <w:szCs w:val="32"/>
          <w:lang w:val="en-US" w:eastAsia="zh-CN" w:bidi="ar-SA"/>
        </w:rPr>
        <w:t>.</w:t>
      </w:r>
      <w:r>
        <w:rPr>
          <w:rFonts w:hint="eastAsia" w:eastAsia="仿宋_GB2312" w:cs="Times New Roman"/>
          <w:b w:val="0"/>
          <w:bCs w:val="0"/>
          <w:kern w:val="2"/>
          <w:sz w:val="32"/>
          <w:szCs w:val="32"/>
          <w:lang w:val="en-US" w:eastAsia="zh-CN" w:bidi="ar-SA"/>
        </w:rPr>
        <w:t>7</w:t>
      </w:r>
      <w:bookmarkStart w:id="71" w:name="_GoBack"/>
      <w:bookmarkEnd w:id="71"/>
    </w:p>
    <w:p>
      <w:pPr>
        <w:spacing w:line="560" w:lineRule="exact"/>
        <w:jc w:val="left"/>
        <w:rPr>
          <w:rFonts w:hint="default" w:eastAsia="仿宋_GB2312"/>
          <w:sz w:val="32"/>
          <w:szCs w:val="32"/>
          <w:lang w:val="en-US" w:eastAsia="zh-CN"/>
        </w:rPr>
      </w:pPr>
      <w:r>
        <w:rPr>
          <w:rFonts w:hint="eastAsia" w:ascii="Times New Roman" w:hAnsi="Times New Roman" w:eastAsia="黑体" w:cs="Times New Roman"/>
          <w:sz w:val="32"/>
          <w:szCs w:val="32"/>
        </w:rPr>
        <w:t>第二部分 2021年度单位决算情况说</w:t>
      </w:r>
      <w:r>
        <w:rPr>
          <w:rFonts w:hint="eastAsia" w:ascii="Times New Roman" w:hAnsi="Times New Roman" w:eastAsia="黑体" w:cs="Times New Roman"/>
          <w:sz w:val="32"/>
          <w:szCs w:val="32"/>
          <w:lang w:eastAsia="zh-CN"/>
        </w:rPr>
        <w:t>明</w:t>
      </w:r>
      <w:r>
        <w:rPr>
          <w:rFonts w:hint="eastAsia" w:ascii="Times New Roman" w:hAnsi="Times New Roman" w:eastAsia="仿宋_GB2312" w:cs="Times New Roman"/>
          <w:kern w:val="2"/>
          <w:sz w:val="32"/>
          <w:szCs w:val="32"/>
          <w:lang w:val="en-US" w:eastAsia="zh-CN" w:bidi="ar-SA"/>
        </w:rPr>
        <w:t>... ..............................8</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一、收入支出决算总体情况说明.............................................8</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二、收入决算情况说明..............................................</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9</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三、支出决算情况说明.............................................</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9</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四、财政拨款收入支出决算总体情况说明...................</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 ......</w:t>
      </w:r>
      <w:r>
        <w:rPr>
          <w:rFonts w:hint="eastAsia" w:eastAsia="仿宋_GB2312" w:cs="Times New Roman"/>
          <w:kern w:val="2"/>
          <w:sz w:val="32"/>
          <w:szCs w:val="32"/>
          <w:lang w:val="en-US" w:eastAsia="zh-CN" w:bidi="ar-SA"/>
        </w:rPr>
        <w:t>10</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五、一般公共预算财政拨款支出决算情况说明...........</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六、一般公共预算财政拨款基本支出决算情况说明.............</w:t>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4</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七、“三公”经费财政拨款支出决算情况说明...........</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15</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八、政府性基金预算支出决算情况说明.............</w:t>
      </w:r>
      <w:r>
        <w:rPr>
          <w:rFonts w:hint="eastAsia" w:eastAsia="仿宋_GB2312" w:cs="Times New Roman"/>
          <w:kern w:val="2"/>
          <w:sz w:val="32"/>
          <w:szCs w:val="32"/>
          <w:lang w:val="en-US" w:eastAsia="zh-CN" w:bidi="ar-SA"/>
        </w:rPr>
        <w:t>....................17</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九、国有资本经营预算支出决算情况说明............</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17</w:t>
      </w:r>
    </w:p>
    <w:p>
      <w:pPr>
        <w:spacing w:line="560" w:lineRule="exact"/>
        <w:jc w:val="left"/>
        <w:rPr>
          <w:rFonts w:hint="default" w:eastAsia="仿宋_GB2312"/>
          <w:sz w:val="32"/>
          <w:szCs w:val="32"/>
          <w:lang w:val="en-US" w:eastAsia="zh-CN"/>
        </w:rPr>
      </w:pPr>
      <w:r>
        <w:rPr>
          <w:rFonts w:hint="eastAsia" w:ascii="Times New Roman" w:hAnsi="Times New Roman" w:eastAsia="仿宋_GB2312" w:cs="Times New Roman"/>
          <w:kern w:val="2"/>
          <w:sz w:val="32"/>
          <w:szCs w:val="32"/>
          <w:lang w:val="en-US" w:eastAsia="zh-CN" w:bidi="ar-SA"/>
        </w:rPr>
        <w:t>十、其他重要事项的情况说明</w:t>
      </w:r>
      <w:r>
        <w:rPr>
          <w:rFonts w:hint="eastAsia" w:eastAsia="仿宋_GB2312"/>
          <w:sz w:val="32"/>
          <w:szCs w:val="32"/>
          <w:lang w:val="en-US" w:eastAsia="zh-CN"/>
        </w:rPr>
        <w:t>.................................................17</w:t>
      </w:r>
    </w:p>
    <w:p>
      <w:pPr>
        <w:spacing w:line="560" w:lineRule="exact"/>
        <w:jc w:val="left"/>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rPr>
        <w:t>第三部分名词解释</w:t>
      </w:r>
      <w:r>
        <w:rPr>
          <w:rFonts w:hint="eastAsia" w:ascii="Times New Roman" w:hAnsi="Times New Roman" w:eastAsia="黑体" w:cs="Times New Roman"/>
          <w:sz w:val="32"/>
          <w:szCs w:val="32"/>
          <w:lang w:val="en-US" w:eastAsia="zh-CN"/>
        </w:rPr>
        <w:t>............................................</w:t>
      </w:r>
      <w:r>
        <w:rPr>
          <w:rFonts w:hint="eastAsia" w:eastAsia="黑体" w:cs="Times New Roman"/>
          <w:sz w:val="32"/>
          <w:szCs w:val="32"/>
          <w:lang w:val="en-US" w:eastAsia="zh-CN"/>
        </w:rPr>
        <w:t>.....................</w:t>
      </w:r>
      <w:r>
        <w:rPr>
          <w:rFonts w:hint="eastAsia" w:ascii="Times New Roman" w:hAnsi="Times New Roman" w:eastAsia="黑体" w:cs="Times New Roman"/>
          <w:sz w:val="32"/>
          <w:szCs w:val="32"/>
          <w:lang w:val="en-US" w:eastAsia="zh-CN"/>
        </w:rPr>
        <w:t>..</w:t>
      </w:r>
      <w:r>
        <w:rPr>
          <w:rFonts w:hint="eastAsia" w:eastAsia="黑体" w:cs="Times New Roman"/>
          <w:sz w:val="32"/>
          <w:szCs w:val="32"/>
          <w:lang w:val="en-US" w:eastAsia="zh-CN"/>
        </w:rPr>
        <w:t>19</w:t>
      </w:r>
    </w:p>
    <w:p>
      <w:pPr>
        <w:spacing w:line="560" w:lineRule="exact"/>
        <w:jc w:val="left"/>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rPr>
        <w:t>第四部分附件</w:t>
      </w:r>
      <w:r>
        <w:rPr>
          <w:rFonts w:hint="eastAsia" w:ascii="Times New Roman" w:hAnsi="Times New Roman" w:eastAsia="黑体" w:cs="Times New Roman"/>
          <w:sz w:val="32"/>
          <w:szCs w:val="32"/>
          <w:lang w:val="en-US" w:eastAsia="zh-CN"/>
        </w:rPr>
        <w:t>..................................</w:t>
      </w:r>
      <w:r>
        <w:rPr>
          <w:rFonts w:hint="eastAsia" w:eastAsia="黑体" w:cs="Times New Roman"/>
          <w:sz w:val="32"/>
          <w:szCs w:val="32"/>
          <w:lang w:val="en-US" w:eastAsia="zh-CN"/>
        </w:rPr>
        <w:t>.............................</w:t>
      </w:r>
      <w:r>
        <w:rPr>
          <w:rFonts w:hint="eastAsia" w:ascii="Times New Roman" w:hAnsi="Times New Roman" w:eastAsia="黑体" w:cs="Times New Roman"/>
          <w:sz w:val="32"/>
          <w:szCs w:val="32"/>
          <w:lang w:val="en-US" w:eastAsia="zh-CN"/>
        </w:rPr>
        <w:t>............</w:t>
      </w:r>
      <w:r>
        <w:rPr>
          <w:rFonts w:hint="eastAsia" w:eastAsia="黑体" w:cs="Times New Roman"/>
          <w:sz w:val="32"/>
          <w:szCs w:val="32"/>
          <w:lang w:val="en-US" w:eastAsia="zh-CN"/>
        </w:rPr>
        <w:t>22</w:t>
      </w:r>
    </w:p>
    <w:p>
      <w:pPr>
        <w:spacing w:line="560" w:lineRule="exact"/>
        <w:jc w:val="left"/>
        <w:rPr>
          <w:rFonts w:hint="default" w:eastAsia="仿宋_GB2312"/>
          <w:sz w:val="32"/>
          <w:szCs w:val="32"/>
          <w:lang w:val="en-US" w:eastAsia="zh-CN"/>
        </w:rPr>
      </w:pPr>
      <w:r>
        <w:rPr>
          <w:rFonts w:hint="eastAsia" w:ascii="Times New Roman" w:hAnsi="Times New Roman" w:eastAsia="黑体" w:cs="Times New Roman"/>
          <w:sz w:val="32"/>
          <w:szCs w:val="32"/>
        </w:rPr>
        <w:t>第五部分附表</w:t>
      </w:r>
      <w:r>
        <w:rPr>
          <w:rFonts w:hint="eastAsia" w:ascii="Times New Roman" w:hAnsi="Times New Roman" w:eastAsia="黑体" w:cs="Times New Roman"/>
          <w:sz w:val="32"/>
          <w:szCs w:val="32"/>
          <w:lang w:val="en-US" w:eastAsia="zh-CN"/>
        </w:rPr>
        <w:t>...................................</w:t>
      </w:r>
      <w:r>
        <w:rPr>
          <w:rFonts w:hint="eastAsia" w:eastAsia="黑体" w:cs="Times New Roman"/>
          <w:sz w:val="32"/>
          <w:szCs w:val="32"/>
          <w:lang w:val="en-US" w:eastAsia="zh-CN"/>
        </w:rPr>
        <w:t>.............................</w:t>
      </w:r>
      <w:r>
        <w:rPr>
          <w:rFonts w:hint="eastAsia" w:ascii="Times New Roman" w:hAnsi="Times New Roman" w:eastAsia="黑体" w:cs="Times New Roman"/>
          <w:sz w:val="32"/>
          <w:szCs w:val="32"/>
          <w:lang w:val="en-US" w:eastAsia="zh-CN"/>
        </w:rPr>
        <w:t>.</w:t>
      </w:r>
      <w:r>
        <w:rPr>
          <w:rFonts w:hint="eastAsia" w:eastAsia="仿宋_GB2312"/>
          <w:sz w:val="32"/>
          <w:szCs w:val="32"/>
          <w:lang w:val="en-US" w:eastAsia="zh-CN"/>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一、收入支出决算总表.....................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二、收入决算表..................................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spacing w:line="560" w:lineRule="exact"/>
        <w:jc w:val="left"/>
        <w:rPr>
          <w:rFonts w:hint="default" w:eastAsia="仿宋_GB2312"/>
          <w:sz w:val="32"/>
          <w:szCs w:val="32"/>
          <w:lang w:val="en-US" w:eastAsia="zh-CN"/>
        </w:rPr>
      </w:pPr>
      <w:r>
        <w:rPr>
          <w:rFonts w:hint="eastAsia" w:ascii="Times New Roman" w:hAnsi="Times New Roman" w:eastAsia="仿宋_GB2312" w:cs="Times New Roman"/>
          <w:kern w:val="2"/>
          <w:sz w:val="32"/>
          <w:szCs w:val="32"/>
          <w:lang w:val="en-US" w:eastAsia="zh-CN" w:bidi="ar-SA"/>
        </w:rPr>
        <w:t>三、支出决算表................</w:t>
      </w:r>
      <w:r>
        <w:rPr>
          <w:rFonts w:hint="eastAsia" w:eastAsia="仿宋_GB2312"/>
          <w:sz w:val="32"/>
          <w:szCs w:val="32"/>
          <w:lang w:val="en-US" w:eastAsia="zh-CN"/>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四、财政拨款收入支出决算总表............................................</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五、财政拨款支出决算明细表...........................................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六、一般公共预算财政拨款支出决算表.............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r>
        <w:rPr>
          <w:rFonts w:hint="eastAsia" w:ascii="Times New Roman" w:hAnsi="Times New Roman" w:eastAsia="仿宋_GB2312" w:cs="Times New Roman"/>
          <w:kern w:val="2"/>
          <w:sz w:val="32"/>
          <w:szCs w:val="32"/>
          <w:lang w:val="en-US" w:eastAsia="zh-CN" w:bidi="ar-SA"/>
        </w:rPr>
        <w:t>七、一般公共预算财政拨款支出决算明细表.....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八、一般公共预算财政拨款基本支出决算表........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九、一般公共预算财政拨款项目支出决算表........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十、一般公共预算财政拨款“三公”经费支出决算表.............</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十一、政府性基金预算财政拨款收入支出决算表..........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十二、政府性基金预算财政拨款“三公”经费支出决算...</w:t>
      </w:r>
      <w:r>
        <w:rPr>
          <w:rFonts w:hint="eastAsia" w:eastAsia="仿宋_GB2312" w:cs="Times New Roman"/>
          <w:kern w:val="2"/>
          <w:sz w:val="32"/>
          <w:szCs w:val="32"/>
          <w:lang w:val="en-US" w:eastAsia="zh-CN" w:bidi="ar-SA"/>
        </w:rPr>
        <w:t>.31</w:t>
      </w:r>
      <w:r>
        <w:rPr>
          <w:rFonts w:hint="eastAsia" w:ascii="Times New Roman" w:hAnsi="Times New Roman" w:eastAsia="仿宋_GB2312" w:cs="Times New Roman"/>
          <w:kern w:val="2"/>
          <w:sz w:val="32"/>
          <w:szCs w:val="32"/>
          <w:lang w:val="en-US" w:eastAsia="zh-CN" w:bidi="ar-SA"/>
        </w:rPr>
        <w:t>十三、国有资本经营预算财政拨款收入支出决算表.............</w:t>
      </w:r>
      <w:r>
        <w:rPr>
          <w:rFonts w:hint="eastAsia" w:eastAsia="仿宋_GB2312" w:cs="Times New Roman"/>
          <w:kern w:val="2"/>
          <w:sz w:val="32"/>
          <w:szCs w:val="32"/>
          <w:lang w:val="en-US" w:eastAsia="zh-CN" w:bidi="ar-SA"/>
        </w:rPr>
        <w:t>31</w:t>
      </w:r>
    </w:p>
    <w:p>
      <w:pPr>
        <w:spacing w:line="560" w:lineRule="exact"/>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十四、国有资本经营预算财政拨款支出决算表............</w:t>
      </w:r>
      <w:r>
        <w:rPr>
          <w:rFonts w:hint="eastAsia"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31</w:t>
      </w:r>
    </w:p>
    <w:p>
      <w:pPr>
        <w:pStyle w:val="3"/>
        <w:ind w:firstLine="440" w:firstLineChars="100"/>
        <w:jc w:val="both"/>
        <w:rPr>
          <w:rFonts w:hint="eastAsia" w:ascii="黑体" w:hAnsi="黑体" w:eastAsia="黑体"/>
          <w:b w:val="0"/>
        </w:rPr>
      </w:pPr>
      <w:bookmarkStart w:id="12" w:name="_Toc15396599"/>
      <w:bookmarkStart w:id="13" w:name="_Toc15377196"/>
    </w:p>
    <w:p>
      <w:pPr>
        <w:rPr>
          <w:rFonts w:hint="eastAsia"/>
        </w:rPr>
      </w:pPr>
    </w:p>
    <w:p>
      <w:pPr>
        <w:pStyle w:val="3"/>
        <w:ind w:firstLine="440" w:firstLineChars="100"/>
        <w:jc w:val="both"/>
        <w:rPr>
          <w:rFonts w:hint="eastAsia" w:ascii="黑体" w:hAnsi="黑体" w:eastAsia="黑体"/>
          <w:b w:val="0"/>
        </w:rPr>
      </w:pPr>
    </w:p>
    <w:p>
      <w:pPr>
        <w:pStyle w:val="3"/>
        <w:jc w:val="both"/>
        <w:rPr>
          <w:rFonts w:hint="eastAsia" w:ascii="黑体" w:hAnsi="黑体" w:eastAsia="黑体"/>
          <w:b w:val="0"/>
        </w:rPr>
      </w:pPr>
    </w:p>
    <w:p>
      <w:pPr>
        <w:pStyle w:val="3"/>
        <w:ind w:firstLine="440" w:firstLineChars="100"/>
        <w:jc w:val="both"/>
        <w:rPr>
          <w:rFonts w:hint="eastAsia" w:ascii="黑体" w:hAnsi="黑体" w:eastAsia="黑体"/>
          <w:b w:val="0"/>
        </w:rPr>
      </w:pPr>
    </w:p>
    <w:p>
      <w:pPr>
        <w:rPr>
          <w:rFonts w:hint="eastAsia" w:ascii="黑体" w:hAnsi="黑体" w:eastAsia="黑体"/>
          <w:b w:val="0"/>
        </w:rPr>
      </w:pPr>
    </w:p>
    <w:p>
      <w:pPr>
        <w:pStyle w:val="2"/>
        <w:rPr>
          <w:rFonts w:hint="eastAsia"/>
        </w:rPr>
      </w:pPr>
    </w:p>
    <w:p>
      <w:pPr>
        <w:pStyle w:val="3"/>
        <w:ind w:firstLine="440" w:firstLineChars="100"/>
        <w:jc w:val="center"/>
        <w:rPr>
          <w:rStyle w:val="26"/>
          <w:rFonts w:ascii="黑体" w:hAnsi="黑体" w:eastAsia="黑体"/>
          <w:b/>
          <w:bCs w:val="0"/>
        </w:rPr>
      </w:pPr>
      <w:r>
        <w:rPr>
          <w:rFonts w:hint="eastAsia" w:ascii="黑体" w:hAnsi="黑体" w:eastAsia="黑体"/>
          <w:b w:val="0"/>
        </w:rPr>
        <w:t>第一部分 单位</w:t>
      </w:r>
      <w:r>
        <w:rPr>
          <w:rStyle w:val="26"/>
          <w:rFonts w:hint="eastAsia" w:ascii="黑体" w:hAnsi="黑体" w:eastAsia="黑体"/>
          <w:b w:val="0"/>
          <w:bCs w:val="0"/>
        </w:rPr>
        <w:t>概况</w:t>
      </w:r>
    </w:p>
    <w:bookmarkEnd w:id="12"/>
    <w:bookmarkEnd w:id="13"/>
    <w:p>
      <w:pPr>
        <w:keepNext w:val="0"/>
        <w:keepLines w:val="0"/>
        <w:pageBreakBefore w:val="0"/>
        <w:widowControl w:val="0"/>
        <w:kinsoku/>
        <w:wordWrap/>
        <w:overflowPunct/>
        <w:topLinePunct w:val="0"/>
        <w:autoSpaceDE/>
        <w:autoSpaceDN/>
        <w:bidi w:val="0"/>
        <w:adjustRightInd/>
        <w:spacing w:line="570" w:lineRule="exact"/>
        <w:ind w:firstLine="640" w:firstLineChars="200"/>
        <w:textAlignment w:val="auto"/>
        <w:rPr>
          <w:rStyle w:val="27"/>
          <w:rFonts w:hint="eastAsia" w:ascii="黑体" w:hAnsi="黑体" w:eastAsia="黑体"/>
          <w:b w:val="0"/>
          <w:bCs w:val="0"/>
        </w:rPr>
      </w:pPr>
      <w:bookmarkStart w:id="14" w:name="_Toc15377197"/>
      <w:bookmarkStart w:id="15" w:name="_Toc15396600"/>
      <w:r>
        <w:rPr>
          <w:rFonts w:hint="eastAsia" w:ascii="Times New Roman" w:hAnsi="Times New Roman" w:eastAsia="黑体" w:cs="Times New Roman"/>
          <w:sz w:val="32"/>
          <w:szCs w:val="32"/>
        </w:rPr>
        <w:t>一、</w:t>
      </w:r>
      <w:bookmarkStart w:id="16" w:name="_Toc15377198"/>
      <w:bookmarkStart w:id="17" w:name="_Toc15378445"/>
      <w:r>
        <w:rPr>
          <w:rStyle w:val="27"/>
          <w:rFonts w:hint="eastAsia" w:ascii="黑体" w:hAnsi="黑体" w:eastAsia="黑体"/>
          <w:b w:val="0"/>
          <w:bCs w:val="0"/>
        </w:rPr>
        <w:t>基本职能及主要工作</w:t>
      </w:r>
    </w:p>
    <w:p>
      <w:pPr>
        <w:pStyle w:val="2"/>
        <w:ind w:firstLine="643" w:firstLineChars="200"/>
        <w:rPr>
          <w:rFonts w:hint="eastAsia" w:ascii="楷体_GB2312" w:hAnsi="黑体" w:eastAsia="楷体_GB2312" w:cs="Times New Roman"/>
          <w:b/>
          <w:kern w:val="2"/>
          <w:sz w:val="32"/>
          <w:szCs w:val="32"/>
          <w:lang w:val="en-US" w:eastAsia="zh-CN" w:bidi="ar-SA"/>
        </w:rPr>
      </w:pPr>
      <w:r>
        <w:rPr>
          <w:rFonts w:hint="eastAsia" w:ascii="楷体_GB2312" w:hAnsi="黑体" w:eastAsia="楷体_GB2312" w:cs="Times New Roman"/>
          <w:b/>
          <w:kern w:val="2"/>
          <w:sz w:val="32"/>
          <w:szCs w:val="32"/>
          <w:lang w:val="en-US" w:eastAsia="zh-CN" w:bidi="ar-SA"/>
        </w:rPr>
        <w:t>（一）主要职能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是盐边县卫生健康局行使行政执行和行政监督职能的具体执行机构，依照法律、法规及相关规定，组织开展权限范围内的卫生和计划生育监督执法工作。承担着全县医疗卫生、母婴保健服务机构、公共场所卫生、生活饮用水卫生、学校卫生、职业卫生、传染病防治、消毒产品，餐饮具集中消毒单位及计划生育等卫生行政监督检查、行政许可、行政强制和行政处罚等行政管理职能。</w:t>
      </w:r>
    </w:p>
    <w:p>
      <w:pPr>
        <w:keepNext w:val="0"/>
        <w:keepLines w:val="0"/>
        <w:pageBreakBefore w:val="0"/>
        <w:widowControl w:val="0"/>
        <w:numPr>
          <w:ilvl w:val="0"/>
          <w:numId w:val="0"/>
        </w:numPr>
        <w:kinsoku/>
        <w:wordWrap/>
        <w:overflowPunct/>
        <w:topLinePunct w:val="0"/>
        <w:autoSpaceDE/>
        <w:autoSpaceDN/>
        <w:bidi w:val="0"/>
        <w:adjustRightInd/>
        <w:spacing w:line="570" w:lineRule="exact"/>
        <w:ind w:firstLine="643" w:firstLineChars="200"/>
        <w:textAlignment w:val="auto"/>
        <w:rPr>
          <w:rFonts w:hint="eastAsia" w:ascii="楷体_GB2312" w:hAnsi="黑体" w:eastAsia="楷体_GB2312" w:cs="Times New Roman"/>
          <w:b/>
          <w:sz w:val="32"/>
          <w:szCs w:val="32"/>
        </w:rPr>
      </w:pPr>
      <w:r>
        <w:rPr>
          <w:rFonts w:hint="eastAsia" w:ascii="楷体_GB2312" w:hAnsi="黑体" w:eastAsia="楷体_GB2312" w:cs="Times New Roman"/>
          <w:b/>
          <w:sz w:val="32"/>
          <w:szCs w:val="32"/>
          <w:lang w:val="en-US" w:eastAsia="zh-CN"/>
        </w:rPr>
        <w:t>1.</w:t>
      </w:r>
      <w:r>
        <w:rPr>
          <w:rFonts w:hint="eastAsia" w:ascii="楷体_GB2312" w:hAnsi="黑体" w:eastAsia="楷体_GB2312" w:cs="Times New Roman"/>
          <w:b/>
          <w:sz w:val="32"/>
          <w:szCs w:val="32"/>
        </w:rPr>
        <w:t xml:space="preserve">卫生行政许可  </w:t>
      </w:r>
    </w:p>
    <w:p>
      <w:pPr>
        <w:keepNext w:val="0"/>
        <w:keepLines w:val="0"/>
        <w:pageBreakBefore w:val="0"/>
        <w:widowControl w:val="0"/>
        <w:numPr>
          <w:ilvl w:val="0"/>
          <w:numId w:val="0"/>
        </w:numPr>
        <w:kinsoku/>
        <w:wordWrap/>
        <w:overflowPunct/>
        <w:topLinePunct w:val="0"/>
        <w:autoSpaceDE/>
        <w:autoSpaceDN/>
        <w:bidi w:val="0"/>
        <w:adjustRightInd/>
        <w:spacing w:line="570" w:lineRule="exact"/>
        <w:ind w:firstLine="640" w:firstLineChars="200"/>
        <w:textAlignment w:val="auto"/>
        <w:rPr>
          <w:rFonts w:hint="eastAsia" w:ascii="仿宋" w:hAnsi="仿宋" w:eastAsia="仿宋"/>
          <w:sz w:val="32"/>
          <w:szCs w:val="32"/>
        </w:rPr>
      </w:pPr>
      <w:r>
        <w:rPr>
          <w:rFonts w:hint="eastAsia" w:ascii="仿宋_GB2312" w:hAnsi="仿宋_GB2312" w:eastAsia="仿宋_GB2312" w:cs="仿宋_GB2312"/>
          <w:sz w:val="32"/>
          <w:szCs w:val="32"/>
        </w:rPr>
        <w:t>承办公共场所卫生条件的卫生行政许可；承办供水单位卫生条件的卫生行政许可；承办医疗机构（包括母婴保健技术服务机构、放射诊疗机构、计划生育服务机构等）的卫生行政许可；卫生行政部门交办的其它行政许可事项。</w:t>
      </w:r>
    </w:p>
    <w:p>
      <w:pPr>
        <w:keepNext w:val="0"/>
        <w:keepLines w:val="0"/>
        <w:pageBreakBefore w:val="0"/>
        <w:widowControl w:val="0"/>
        <w:numPr>
          <w:numId w:val="0"/>
        </w:numPr>
        <w:kinsoku/>
        <w:wordWrap/>
        <w:overflowPunct/>
        <w:topLinePunct w:val="0"/>
        <w:autoSpaceDE/>
        <w:autoSpaceDN/>
        <w:bidi w:val="0"/>
        <w:adjustRightInd/>
        <w:spacing w:line="570" w:lineRule="exact"/>
        <w:ind w:left="630" w:leftChars="0"/>
        <w:textAlignment w:val="auto"/>
        <w:rPr>
          <w:rFonts w:hint="eastAsia" w:ascii="楷体_GB2312" w:hAnsi="黑体" w:eastAsia="楷体_GB2312" w:cs="Times New Roman"/>
          <w:b/>
          <w:sz w:val="32"/>
          <w:szCs w:val="32"/>
          <w:lang w:eastAsia="zh-CN"/>
        </w:rPr>
      </w:pPr>
      <w:r>
        <w:rPr>
          <w:rFonts w:hint="eastAsia" w:ascii="楷体_GB2312" w:hAnsi="黑体" w:eastAsia="楷体_GB2312" w:cs="Times New Roman"/>
          <w:b/>
          <w:sz w:val="32"/>
          <w:szCs w:val="32"/>
          <w:lang w:val="en-US" w:eastAsia="zh-CN"/>
        </w:rPr>
        <w:t>2.</w:t>
      </w:r>
      <w:r>
        <w:rPr>
          <w:rFonts w:hint="eastAsia" w:ascii="楷体_GB2312" w:hAnsi="黑体" w:eastAsia="楷体_GB2312" w:cs="Times New Roman"/>
          <w:b/>
          <w:sz w:val="32"/>
          <w:szCs w:val="32"/>
          <w:lang w:eastAsia="zh-CN"/>
        </w:rPr>
        <w:t xml:space="preserve">公共卫生监督  </w:t>
      </w:r>
    </w:p>
    <w:p>
      <w:pPr>
        <w:keepNext w:val="0"/>
        <w:keepLines w:val="0"/>
        <w:pageBreakBefore w:val="0"/>
        <w:widowControl w:val="0"/>
        <w:numPr>
          <w:ilvl w:val="0"/>
          <w:numId w:val="0"/>
        </w:numPr>
        <w:kinsoku/>
        <w:wordWrap/>
        <w:overflowPunct/>
        <w:topLinePunct w:val="0"/>
        <w:autoSpaceDE/>
        <w:autoSpaceDN/>
        <w:bidi w:val="0"/>
        <w:adjustRightIn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消毒产品、生活饮用水、涉及饮用水卫生安全产品及其他健康相关产品的卫生及其生产经营活动进行卫生监督检查，查处违法行为；对公共场所的卫生条件及其从业人员的健康管理进行卫生监督检查，查处违法行为；对用人单位开展职业健康监护情况进行卫生监督检查，查处违法行为。</w:t>
      </w:r>
    </w:p>
    <w:p>
      <w:pPr>
        <w:keepNext w:val="0"/>
        <w:keepLines w:val="0"/>
        <w:pageBreakBefore w:val="0"/>
        <w:widowControl w:val="0"/>
        <w:numPr>
          <w:numId w:val="0"/>
        </w:numPr>
        <w:kinsoku/>
        <w:wordWrap/>
        <w:overflowPunct/>
        <w:topLinePunct w:val="0"/>
        <w:autoSpaceDE/>
        <w:autoSpaceDN/>
        <w:bidi w:val="0"/>
        <w:adjustRightInd/>
        <w:spacing w:line="570" w:lineRule="exact"/>
        <w:ind w:left="630" w:leftChars="0"/>
        <w:textAlignment w:val="auto"/>
        <w:rPr>
          <w:rFonts w:hint="eastAsia" w:ascii="楷体_GB2312" w:hAnsi="黑体" w:eastAsia="楷体_GB2312" w:cs="Times New Roman"/>
          <w:b/>
          <w:sz w:val="32"/>
          <w:szCs w:val="32"/>
          <w:lang w:eastAsia="zh-CN"/>
        </w:rPr>
      </w:pPr>
      <w:r>
        <w:rPr>
          <w:rFonts w:hint="eastAsia" w:ascii="楷体_GB2312" w:hAnsi="黑体" w:eastAsia="楷体_GB2312" w:cs="Times New Roman"/>
          <w:b/>
          <w:sz w:val="32"/>
          <w:szCs w:val="32"/>
          <w:lang w:val="en-US" w:eastAsia="zh-CN"/>
        </w:rPr>
        <w:t>3.</w:t>
      </w:r>
      <w:r>
        <w:rPr>
          <w:rFonts w:hint="eastAsia" w:ascii="楷体_GB2312" w:hAnsi="黑体" w:eastAsia="楷体_GB2312" w:cs="Times New Roman"/>
          <w:b/>
          <w:sz w:val="32"/>
          <w:szCs w:val="32"/>
          <w:lang w:eastAsia="zh-CN"/>
        </w:rPr>
        <w:t xml:space="preserve">医疗卫生监督  </w:t>
      </w:r>
    </w:p>
    <w:p>
      <w:pPr>
        <w:keepNext w:val="0"/>
        <w:keepLines w:val="0"/>
        <w:pageBreakBefore w:val="0"/>
        <w:widowControl w:val="0"/>
        <w:numPr>
          <w:ilvl w:val="0"/>
          <w:numId w:val="0"/>
        </w:numPr>
        <w:kinsoku/>
        <w:wordWrap/>
        <w:overflowPunct/>
        <w:topLinePunct w:val="0"/>
        <w:autoSpaceDE/>
        <w:autoSpaceDN/>
        <w:bidi w:val="0"/>
        <w:adjustRightIn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对医疗机构、母婴保健技术服务机构、放射诊疗机构等的执业资格、执业范围及其医务人员的执业资格、执业注册进行监督检查，规范医疗服务行为，打击非法行医；对医疗机构（包括母婴保健技术服务机构、放射诊疗机构、计划生育服务机构等）的传染病疫情报告、疫情控制措施、消毒隔离制度执行情况和医疗废物处置情况进行监督检查，查处违法行为；对采供血机构的执业资格、执业范围及其从业人员的资格进行监督检查，打击非法采供血行为；对采供血机构的采供血活动、传染病疫情报告和医疗废物处置情况进行监督检查，查处违法行为；对疾病预防控制机构的传染病疫情报告、预防控制措施和菌（毒）种管理情况、消毒隔离制度执行情况和医疗废物处置情况进行监督检查，查处违法行为</w:t>
      </w:r>
      <w:r>
        <w:rPr>
          <w:rFonts w:hint="eastAsia" w:ascii="仿宋_GB2312" w:hAnsi="仿宋_GB2312" w:eastAsia="仿宋_GB2312" w:cs="仿宋_GB2312"/>
          <w:sz w:val="32"/>
          <w:szCs w:val="32"/>
          <w:lang w:eastAsia="zh-CN"/>
        </w:rPr>
        <w:t>。</w:t>
      </w:r>
    </w:p>
    <w:p>
      <w:pPr>
        <w:keepNext w:val="0"/>
        <w:keepLines w:val="0"/>
        <w:pageBreakBefore w:val="0"/>
        <w:widowControl w:val="0"/>
        <w:numPr>
          <w:numId w:val="0"/>
        </w:numPr>
        <w:kinsoku/>
        <w:wordWrap/>
        <w:overflowPunct/>
        <w:topLinePunct w:val="0"/>
        <w:autoSpaceDE/>
        <w:autoSpaceDN/>
        <w:bidi w:val="0"/>
        <w:adjustRightInd/>
        <w:spacing w:line="570" w:lineRule="exact"/>
        <w:ind w:left="630" w:leftChars="0"/>
        <w:textAlignment w:val="auto"/>
        <w:rPr>
          <w:rFonts w:hint="eastAsia" w:ascii="楷体_GB2312" w:hAnsi="黑体" w:eastAsia="楷体_GB2312" w:cs="Times New Roman"/>
          <w:b/>
          <w:sz w:val="32"/>
          <w:szCs w:val="32"/>
          <w:lang w:eastAsia="zh-CN"/>
        </w:rPr>
      </w:pPr>
      <w:r>
        <w:rPr>
          <w:rFonts w:hint="eastAsia" w:ascii="楷体_GB2312" w:hAnsi="黑体" w:eastAsia="楷体_GB2312" w:cs="Times New Roman"/>
          <w:b/>
          <w:sz w:val="32"/>
          <w:szCs w:val="32"/>
          <w:lang w:val="en-US" w:eastAsia="zh-CN"/>
        </w:rPr>
        <w:t>4.</w:t>
      </w:r>
      <w:r>
        <w:rPr>
          <w:rFonts w:hint="eastAsia" w:ascii="楷体_GB2312" w:hAnsi="黑体" w:eastAsia="楷体_GB2312" w:cs="Times New Roman"/>
          <w:b/>
          <w:sz w:val="32"/>
          <w:szCs w:val="32"/>
          <w:lang w:eastAsia="zh-CN"/>
        </w:rPr>
        <w:t xml:space="preserve">其他  </w:t>
      </w:r>
    </w:p>
    <w:p>
      <w:pPr>
        <w:keepNext w:val="0"/>
        <w:keepLines w:val="0"/>
        <w:pageBreakBefore w:val="0"/>
        <w:widowControl w:val="0"/>
        <w:numPr>
          <w:ilvl w:val="0"/>
          <w:numId w:val="0"/>
        </w:numPr>
        <w:kinsoku/>
        <w:wordWrap/>
        <w:overflowPunct/>
        <w:topLinePunct w:val="0"/>
        <w:autoSpaceDE/>
        <w:autoSpaceDN/>
        <w:bidi w:val="0"/>
        <w:adjustRightIn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负责辖区内卫生监督信息的收集、核实和上报；负责受理对违法行为的投诉、举报；开展卫生法律法规宣传教育；承担上级机关指定或交办的卫生监督事项。</w:t>
      </w:r>
      <w:bookmarkEnd w:id="16"/>
      <w:bookmarkEnd w:id="17"/>
    </w:p>
    <w:p>
      <w:pPr>
        <w:keepNext w:val="0"/>
        <w:keepLines w:val="0"/>
        <w:pageBreakBefore w:val="0"/>
        <w:widowControl w:val="0"/>
        <w:kinsoku/>
        <w:wordWrap/>
        <w:overflowPunct/>
        <w:topLinePunct w:val="0"/>
        <w:autoSpaceDE/>
        <w:autoSpaceDN/>
        <w:bidi w:val="0"/>
        <w:adjustRightInd/>
        <w:snapToGrid w:val="0"/>
        <w:spacing w:line="570" w:lineRule="exact"/>
        <w:ind w:firstLine="643" w:firstLineChars="200"/>
        <w:textAlignment w:val="auto"/>
        <w:rPr>
          <w:rFonts w:hint="eastAsia" w:ascii="楷体_GB2312" w:hAnsi="黑体" w:eastAsia="楷体_GB2312" w:cs="Times New Roman"/>
          <w:b/>
          <w:sz w:val="32"/>
          <w:szCs w:val="32"/>
          <w:lang w:eastAsia="zh-CN"/>
        </w:rPr>
      </w:pPr>
      <w:r>
        <w:rPr>
          <w:rFonts w:hint="eastAsia" w:ascii="楷体_GB2312" w:hAnsi="黑体" w:eastAsia="楷体_GB2312" w:cs="Times New Roman"/>
          <w:b/>
          <w:sz w:val="32"/>
          <w:szCs w:val="32"/>
          <w:lang w:eastAsia="zh-CN"/>
        </w:rPr>
        <w:t>（二）2021年重点工作</w:t>
      </w:r>
      <w:bookmarkEnd w:id="14"/>
      <w:bookmarkEnd w:id="15"/>
      <w:r>
        <w:rPr>
          <w:rFonts w:hint="eastAsia" w:ascii="楷体_GB2312" w:hAnsi="黑体" w:eastAsia="楷体_GB2312" w:cs="Times New Roman"/>
          <w:b/>
          <w:sz w:val="32"/>
          <w:szCs w:val="32"/>
          <w:lang w:eastAsia="zh-CN"/>
        </w:rPr>
        <w:t>完成情况</w:t>
      </w:r>
    </w:p>
    <w:p>
      <w:pPr>
        <w:keepNext w:val="0"/>
        <w:keepLines w:val="0"/>
        <w:pageBreakBefore w:val="0"/>
        <w:widowControl w:val="0"/>
        <w:kinsoku/>
        <w:wordWrap/>
        <w:overflowPunct/>
        <w:topLinePunct w:val="0"/>
        <w:autoSpaceDE/>
        <w:autoSpaceDN/>
        <w:bidi w:val="0"/>
        <w:adjustRightInd/>
        <w:snapToGrid w:val="0"/>
        <w:spacing w:line="570" w:lineRule="exact"/>
        <w:ind w:firstLine="643" w:firstLineChars="200"/>
        <w:textAlignment w:val="auto"/>
        <w:rPr>
          <w:rFonts w:hint="eastAsia" w:ascii="仿宋_GB2312" w:hAnsi="仿宋_GB2312" w:eastAsia="仿宋_GB2312" w:cs="仿宋_GB2312"/>
          <w:b/>
          <w:bCs/>
          <w:sz w:val="32"/>
          <w:szCs w:val="32"/>
        </w:rPr>
      </w:pPr>
      <w:r>
        <w:rPr>
          <w:rFonts w:hint="eastAsia" w:ascii="楷体_GB2312" w:hAnsi="黑体" w:eastAsia="楷体_GB2312" w:cs="Times New Roman"/>
          <w:b/>
          <w:sz w:val="32"/>
          <w:szCs w:val="32"/>
          <w:lang w:val="en-US" w:eastAsia="zh-CN"/>
        </w:rPr>
        <w:t>1.</w:t>
      </w:r>
      <w:r>
        <w:rPr>
          <w:rFonts w:hint="eastAsia" w:ascii="楷体_GB2312" w:hAnsi="黑体" w:eastAsia="楷体_GB2312" w:cs="Times New Roman"/>
          <w:b/>
          <w:sz w:val="32"/>
          <w:szCs w:val="32"/>
          <w:lang w:eastAsia="zh-CN"/>
        </w:rPr>
        <w:t>加强法制宣传教育和卫生监督执法业务培训</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截止2021年12月31日，</w:t>
      </w:r>
      <w:r>
        <w:rPr>
          <w:rFonts w:hint="eastAsia" w:eastAsia="仿宋_GB2312" w:cs="Times New Roman"/>
          <w:sz w:val="32"/>
          <w:szCs w:val="32"/>
          <w:lang w:eastAsia="zh-CN"/>
        </w:rPr>
        <w:t>组织</w:t>
      </w:r>
      <w:r>
        <w:rPr>
          <w:rFonts w:hint="default" w:ascii="Times New Roman" w:hAnsi="Times New Roman" w:eastAsia="仿宋_GB2312" w:cs="Times New Roman"/>
          <w:sz w:val="32"/>
          <w:szCs w:val="32"/>
        </w:rPr>
        <w:t>卫生监督员30人次参加省、市级卫生监督执法业务培训、行政执法人员大学习大练兵大比武线上培训学习及网络培训。对县级卫生监督员、乡镇（社区）卫生监督协管人员进行职业卫生卫生法律法规宣传培训45人次，2021年以会代训，对医疗机构负责人进行医废处置管理卫生法律法规知识培训18人次，共张贴、发放《中华人民共和国职业病防治法》宣传海报100张，通过LED电子屏幕宣传职业健康宣传标语5条30次、宣传传染病防治法及新冠疫情防控、预防接种知识、标语16条35次 。发放卫生法律法规宣传资料3500余份。</w:t>
      </w:r>
    </w:p>
    <w:p>
      <w:pPr>
        <w:keepNext w:val="0"/>
        <w:keepLines w:val="0"/>
        <w:pageBreakBefore w:val="0"/>
        <w:widowControl w:val="0"/>
        <w:kinsoku/>
        <w:wordWrap/>
        <w:overflowPunct/>
        <w:topLinePunct w:val="0"/>
        <w:autoSpaceDE/>
        <w:autoSpaceDN/>
        <w:bidi w:val="0"/>
        <w:adjustRightInd/>
        <w:snapToGrid w:val="0"/>
        <w:spacing w:line="570" w:lineRule="exact"/>
        <w:ind w:firstLine="643" w:firstLineChars="200"/>
        <w:textAlignment w:val="auto"/>
        <w:rPr>
          <w:rFonts w:hint="eastAsia" w:ascii="楷体_GB2312" w:hAnsi="黑体" w:eastAsia="楷体_GB2312" w:cs="Times New Roman"/>
          <w:b/>
          <w:sz w:val="32"/>
          <w:szCs w:val="32"/>
          <w:lang w:val="zh-CN" w:eastAsia="zh-CN"/>
        </w:rPr>
      </w:pPr>
      <w:r>
        <w:rPr>
          <w:rFonts w:hint="eastAsia" w:ascii="楷体_GB2312" w:hAnsi="黑体" w:eastAsia="楷体_GB2312" w:cs="Times New Roman"/>
          <w:b/>
          <w:sz w:val="32"/>
          <w:szCs w:val="32"/>
          <w:lang w:val="en-US" w:eastAsia="zh-CN"/>
        </w:rPr>
        <w:t>2.</w:t>
      </w:r>
      <w:r>
        <w:rPr>
          <w:rFonts w:hint="eastAsia" w:ascii="楷体_GB2312" w:hAnsi="黑体" w:eastAsia="楷体_GB2312" w:cs="Times New Roman"/>
          <w:b/>
          <w:sz w:val="32"/>
          <w:szCs w:val="32"/>
          <w:lang w:val="zh-CN" w:eastAsia="zh-CN"/>
        </w:rPr>
        <w:t>卫生行政许可</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许可审查工作中，建立健全各种行政许可管理制度，目前做到了提供咨询“一口清”，提交资料“一手清”，审批发证“一次清”。截止2021年12月31日，受理卫生许可申请127户，办结127户。其中：公共场所卫生许可124户，集中式生活饮用水卫生许可3户。限时办结率达100%。没有一起行政许可事项引起行政复议和行政诉讼。群众满意度达98%。</w:t>
      </w:r>
    </w:p>
    <w:p>
      <w:pPr>
        <w:keepNext w:val="0"/>
        <w:keepLines w:val="0"/>
        <w:pageBreakBefore w:val="0"/>
        <w:widowControl w:val="0"/>
        <w:kinsoku/>
        <w:wordWrap/>
        <w:overflowPunct/>
        <w:topLinePunct w:val="0"/>
        <w:autoSpaceDE/>
        <w:autoSpaceDN/>
        <w:bidi w:val="0"/>
        <w:adjustRightInd/>
        <w:snapToGrid w:val="0"/>
        <w:spacing w:line="570" w:lineRule="exact"/>
        <w:ind w:firstLine="643" w:firstLineChars="200"/>
        <w:textAlignment w:val="auto"/>
        <w:rPr>
          <w:rFonts w:hint="eastAsia" w:ascii="楷体_GB2312" w:hAnsi="黑体" w:eastAsia="楷体_GB2312" w:cs="Times New Roman"/>
          <w:b/>
          <w:sz w:val="32"/>
          <w:szCs w:val="32"/>
          <w:lang w:val="zh-CN" w:eastAsia="zh-CN"/>
        </w:rPr>
      </w:pPr>
      <w:r>
        <w:rPr>
          <w:rFonts w:hint="eastAsia" w:ascii="楷体_GB2312" w:hAnsi="黑体" w:eastAsia="楷体_GB2312" w:cs="Times New Roman"/>
          <w:b/>
          <w:sz w:val="32"/>
          <w:szCs w:val="32"/>
          <w:lang w:val="en-US" w:eastAsia="zh-CN"/>
        </w:rPr>
        <w:t>3.</w:t>
      </w:r>
      <w:r>
        <w:rPr>
          <w:rFonts w:hint="eastAsia" w:ascii="楷体_GB2312" w:hAnsi="黑体" w:eastAsia="楷体_GB2312" w:cs="Times New Roman"/>
          <w:b/>
          <w:sz w:val="32"/>
          <w:szCs w:val="32"/>
          <w:lang w:val="zh-CN" w:eastAsia="zh-CN"/>
        </w:rPr>
        <w:t>卫生监督检查</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我大队采取日常监督和专项检查方式对全县医疗卫生机构、公共场所、集中式供水单位、学校、餐饮具消毒单位、职业卫生等进行监督执法检查。截止2021年12月31日，共出动车辆 178车次，卫生监督执法人员508人次，共检查机构（场所） 1675户次，出具卫生监督意见书 858份，对存在的各种问题责令及时进行整改</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截止2021年12月31日，监督检查医疗卫生机构742户次，出具卫生监督意见书342份；监督检查各类公共场所738户次，出具卫生监督意见书412份；监督检查隔离医学观察场所7户次；出具卫生监督意见书7份；监督集中式供水单位12户次；出具卫生监督意见书12份；监督检查餐饮具消毒单6户次；出具卫生监督意见书6份；监督检查企业12户次；出具卫生监督意见书12份；监督检查学校105户次；出具卫生监督意见书47份；监督检查现制现售水经营单位15户次，供水设备75台次，出具卫生监督意见书15份。</w:t>
      </w:r>
    </w:p>
    <w:p>
      <w:pPr>
        <w:keepNext w:val="0"/>
        <w:keepLines w:val="0"/>
        <w:pageBreakBefore w:val="0"/>
        <w:widowControl w:val="0"/>
        <w:kinsoku/>
        <w:wordWrap/>
        <w:overflowPunct/>
        <w:topLinePunct w:val="0"/>
        <w:autoSpaceDE/>
        <w:autoSpaceDN/>
        <w:bidi w:val="0"/>
        <w:adjustRightInd/>
        <w:snapToGrid w:val="0"/>
        <w:spacing w:line="570" w:lineRule="exact"/>
        <w:ind w:firstLine="643" w:firstLineChars="200"/>
        <w:textAlignment w:val="auto"/>
        <w:rPr>
          <w:rFonts w:hint="eastAsia" w:ascii="楷体_GB2312" w:hAnsi="黑体" w:eastAsia="楷体_GB2312" w:cs="Times New Roman"/>
          <w:b/>
          <w:sz w:val="32"/>
          <w:szCs w:val="32"/>
          <w:lang w:eastAsia="zh-CN"/>
        </w:rPr>
      </w:pPr>
      <w:r>
        <w:rPr>
          <w:rFonts w:hint="eastAsia" w:ascii="楷体_GB2312" w:hAnsi="黑体" w:eastAsia="楷体_GB2312" w:cs="Times New Roman"/>
          <w:b/>
          <w:sz w:val="32"/>
          <w:szCs w:val="32"/>
          <w:lang w:val="en-US" w:eastAsia="zh-CN"/>
        </w:rPr>
        <w:t>4.</w:t>
      </w:r>
      <w:r>
        <w:rPr>
          <w:rFonts w:hint="eastAsia" w:ascii="楷体_GB2312" w:hAnsi="黑体" w:eastAsia="楷体_GB2312" w:cs="Times New Roman"/>
          <w:b/>
          <w:sz w:val="32"/>
          <w:szCs w:val="32"/>
          <w:lang w:val="zh-CN" w:eastAsia="zh-CN"/>
        </w:rPr>
        <w:t>完成国家“双随机“监督抽检专项任务</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按时圆满完成2021年度国家“双随机”监督抽检任务，监督完成数82户，监督完成率100%；抽样监测完成28家，抽检完成率100%；实验室检测样品 126 件，合格 108 件，合格率 85.7%（公共场所合格率为 100% ，生活饮用水合格率为 100%，学校卫生合格率为35.7%，消毒卫生合格率为 100%）。；任务完成数82户，任务完成率100%，任务完结率100%。</w:t>
      </w:r>
    </w:p>
    <w:p>
      <w:pPr>
        <w:keepNext w:val="0"/>
        <w:keepLines w:val="0"/>
        <w:pageBreakBefore w:val="0"/>
        <w:widowControl w:val="0"/>
        <w:kinsoku/>
        <w:wordWrap/>
        <w:overflowPunct/>
        <w:topLinePunct w:val="0"/>
        <w:autoSpaceDE/>
        <w:autoSpaceDN/>
        <w:bidi w:val="0"/>
        <w:adjustRightInd/>
        <w:snapToGrid w:val="0"/>
        <w:spacing w:line="570" w:lineRule="exact"/>
        <w:ind w:firstLine="643" w:firstLineChars="200"/>
        <w:textAlignment w:val="auto"/>
        <w:rPr>
          <w:rFonts w:hint="eastAsia" w:ascii="楷体_GB2312" w:hAnsi="黑体" w:eastAsia="楷体_GB2312" w:cs="Times New Roman"/>
          <w:b/>
          <w:sz w:val="32"/>
          <w:szCs w:val="32"/>
          <w:lang w:val="zh-CN" w:eastAsia="zh-CN"/>
        </w:rPr>
      </w:pPr>
      <w:r>
        <w:rPr>
          <w:rFonts w:hint="eastAsia" w:ascii="楷体_GB2312" w:hAnsi="黑体" w:eastAsia="楷体_GB2312" w:cs="Times New Roman"/>
          <w:b/>
          <w:sz w:val="32"/>
          <w:szCs w:val="32"/>
          <w:lang w:val="en-US" w:eastAsia="zh-CN"/>
        </w:rPr>
        <w:t>5.</w:t>
      </w:r>
      <w:r>
        <w:rPr>
          <w:rFonts w:hint="eastAsia" w:ascii="楷体_GB2312" w:hAnsi="黑体" w:eastAsia="楷体_GB2312" w:cs="Times New Roman"/>
          <w:b/>
          <w:sz w:val="32"/>
          <w:szCs w:val="32"/>
          <w:lang w:val="zh-CN" w:eastAsia="zh-CN"/>
        </w:rPr>
        <w:t>受理举报，查处各类违法案件</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2021年共受理举报投诉4件，并及时调查处理和回复。全年共立案查处各类违法案件69件，罚款金额共计35180元。其中一般程序5件，罚款金额22200元；简易程序64件，罚款金额12980元。</w:t>
      </w:r>
    </w:p>
    <w:p>
      <w:pPr>
        <w:keepNext w:val="0"/>
        <w:keepLines w:val="0"/>
        <w:pageBreakBefore w:val="0"/>
        <w:widowControl w:val="0"/>
        <w:kinsoku/>
        <w:wordWrap/>
        <w:overflowPunct/>
        <w:topLinePunct w:val="0"/>
        <w:autoSpaceDE/>
        <w:autoSpaceDN/>
        <w:bidi w:val="0"/>
        <w:adjustRightInd/>
        <w:snapToGrid w:val="0"/>
        <w:spacing w:line="570" w:lineRule="exact"/>
        <w:ind w:firstLine="643" w:firstLineChars="200"/>
        <w:textAlignment w:val="auto"/>
        <w:rPr>
          <w:rFonts w:hint="eastAsia" w:ascii="楷体_GB2312" w:hAnsi="黑体" w:eastAsia="楷体_GB2312" w:cs="Times New Roman"/>
          <w:b/>
          <w:sz w:val="32"/>
          <w:szCs w:val="32"/>
          <w:lang w:val="zh-CN" w:eastAsia="zh-CN"/>
        </w:rPr>
      </w:pPr>
      <w:r>
        <w:rPr>
          <w:rFonts w:hint="eastAsia" w:ascii="楷体_GB2312" w:hAnsi="黑体" w:eastAsia="楷体_GB2312" w:cs="Times New Roman"/>
          <w:b/>
          <w:sz w:val="32"/>
          <w:szCs w:val="32"/>
          <w:lang w:val="en-US" w:eastAsia="zh-CN"/>
        </w:rPr>
        <w:t>6.</w:t>
      </w:r>
      <w:r>
        <w:rPr>
          <w:rFonts w:hint="eastAsia" w:ascii="楷体_GB2312" w:hAnsi="黑体" w:eastAsia="楷体_GB2312" w:cs="Times New Roman"/>
          <w:b/>
          <w:sz w:val="32"/>
          <w:szCs w:val="32"/>
          <w:lang w:val="zh-CN" w:eastAsia="zh-CN"/>
        </w:rPr>
        <w:t>打击非法行医</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打击流动游医摊点7处，隐蔽行医黑诊所3家；收缴违法宣传物品、医疗器具、药品、酒精，牙模、手术钳、银针火罐等150余公斤</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Style w:val="27"/>
          <w:rFonts w:hint="default" w:ascii="黑体" w:hAnsi="黑体" w:eastAsia="黑体"/>
          <w:b w:val="0"/>
          <w:lang w:val="en-US" w:eastAsia="zh-CN" w:bidi="ar-SA"/>
        </w:rPr>
      </w:pPr>
      <w:bookmarkStart w:id="18" w:name="_Toc15396601"/>
      <w:bookmarkStart w:id="19" w:name="_Toc15377200"/>
      <w:r>
        <w:rPr>
          <w:rStyle w:val="27"/>
          <w:rFonts w:hint="eastAsia" w:ascii="黑体" w:hAnsi="黑体" w:eastAsia="黑体"/>
          <w:b w:val="0"/>
          <w:lang w:val="en-US" w:eastAsia="zh-CN" w:bidi="ar-SA"/>
        </w:rPr>
        <w:t>二、机构设置</w:t>
      </w:r>
      <w:bookmarkEnd w:id="18"/>
      <w:bookmarkEnd w:id="19"/>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rPr>
      </w:pPr>
      <w:r>
        <w:rPr>
          <w:rFonts w:hint="eastAsia" w:eastAsia="仿宋_GB2312" w:cs="Times New Roman"/>
          <w:sz w:val="32"/>
          <w:szCs w:val="32"/>
          <w:lang w:eastAsia="zh-CN"/>
        </w:rPr>
        <w:t>盐边县卫生和计划生育监督执法大队</w:t>
      </w:r>
      <w:r>
        <w:rPr>
          <w:rFonts w:hint="eastAsia" w:ascii="Times New Roman" w:hAnsi="Times New Roman" w:eastAsia="仿宋_GB2312" w:cs="Times New Roman"/>
          <w:sz w:val="32"/>
          <w:szCs w:val="32"/>
        </w:rPr>
        <w:t>下属二级单位</w:t>
      </w:r>
      <w:r>
        <w:rPr>
          <w:rFonts w:hint="eastAsia" w:eastAsia="仿宋_GB2312" w:cs="Times New Roman"/>
          <w:sz w:val="32"/>
          <w:szCs w:val="32"/>
          <w:lang w:val="en-US" w:eastAsia="zh-CN"/>
        </w:rPr>
        <w:t>0</w:t>
      </w:r>
      <w:r>
        <w:rPr>
          <w:rFonts w:hint="eastAsia" w:ascii="Times New Roman" w:hAnsi="Times New Roman" w:eastAsia="仿宋_GB2312" w:cs="Times New Roman"/>
          <w:sz w:val="32"/>
          <w:szCs w:val="32"/>
        </w:rPr>
        <w:t>个，其中行政单位</w:t>
      </w:r>
      <w:r>
        <w:rPr>
          <w:rFonts w:hint="eastAsia" w:eastAsia="仿宋_GB2312" w:cs="Times New Roman"/>
          <w:sz w:val="32"/>
          <w:szCs w:val="32"/>
          <w:lang w:val="en-US" w:eastAsia="zh-CN"/>
        </w:rPr>
        <w:t>0</w:t>
      </w:r>
      <w:r>
        <w:rPr>
          <w:rFonts w:hint="eastAsia" w:ascii="Times New Roman" w:hAnsi="Times New Roman" w:eastAsia="仿宋_GB2312" w:cs="Times New Roman"/>
          <w:sz w:val="32"/>
          <w:szCs w:val="32"/>
        </w:rPr>
        <w:t>个，参照公务员法管理的事业单位</w:t>
      </w:r>
      <w:r>
        <w:rPr>
          <w:rFonts w:hint="eastAsia" w:eastAsia="仿宋_GB2312" w:cs="Times New Roman"/>
          <w:sz w:val="32"/>
          <w:szCs w:val="32"/>
          <w:lang w:val="en-US" w:eastAsia="zh-CN"/>
        </w:rPr>
        <w:t>0</w:t>
      </w:r>
      <w:r>
        <w:rPr>
          <w:rFonts w:hint="eastAsia" w:ascii="Times New Roman" w:hAnsi="Times New Roman" w:eastAsia="仿宋_GB2312" w:cs="Times New Roman"/>
          <w:sz w:val="32"/>
          <w:szCs w:val="32"/>
        </w:rPr>
        <w:t>个，其他事业单位</w:t>
      </w:r>
      <w:r>
        <w:rPr>
          <w:rFonts w:hint="eastAsia" w:eastAsia="仿宋_GB2312" w:cs="Times New Roman"/>
          <w:sz w:val="32"/>
          <w:szCs w:val="32"/>
          <w:lang w:val="en-US" w:eastAsia="zh-CN"/>
        </w:rPr>
        <w:t>0</w:t>
      </w:r>
      <w:r>
        <w:rPr>
          <w:rFonts w:hint="eastAsia" w:ascii="Times New Roman" w:hAnsi="Times New Roman" w:eastAsia="仿宋_GB2312" w:cs="Times New Roman"/>
          <w:sz w:val="32"/>
          <w:szCs w:val="32"/>
        </w:rPr>
        <w:t>个。</w:t>
      </w:r>
    </w:p>
    <w:p>
      <w:pPr>
        <w:pStyle w:val="2"/>
        <w:jc w:val="center"/>
        <w:rPr>
          <w:rStyle w:val="26"/>
          <w:rFonts w:ascii="黑体" w:hAnsi="黑体" w:eastAsia="黑体"/>
          <w:b w:val="0"/>
          <w:bCs/>
        </w:rPr>
      </w:pPr>
      <w:bookmarkStart w:id="20" w:name="_Toc15396602"/>
      <w:bookmarkStart w:id="21" w:name="_Toc15377204"/>
      <w:r>
        <w:rPr>
          <w:rStyle w:val="26"/>
          <w:rFonts w:hint="eastAsia" w:ascii="黑体" w:hAnsi="黑体" w:eastAsia="黑体"/>
          <w:b w:val="0"/>
          <w:bCs/>
        </w:rPr>
        <w:t>第二部分 2021年度单位决算情况说明</w:t>
      </w:r>
      <w:bookmarkEnd w:id="20"/>
      <w:bookmarkEnd w:id="21"/>
    </w:p>
    <w:p/>
    <w:p>
      <w:pPr>
        <w:pStyle w:val="25"/>
        <w:numPr>
          <w:ilvl w:val="0"/>
          <w:numId w:val="1"/>
        </w:numPr>
        <w:spacing w:line="600" w:lineRule="exact"/>
        <w:ind w:firstLineChars="0"/>
        <w:outlineLvl w:val="1"/>
        <w:rPr>
          <w:rStyle w:val="27"/>
          <w:rFonts w:ascii="黑体" w:hAnsi="黑体" w:eastAsia="黑体"/>
          <w:b w:val="0"/>
        </w:rPr>
      </w:pPr>
      <w:bookmarkStart w:id="22" w:name="_Toc15377205"/>
      <w:bookmarkStart w:id="23" w:name="_Toc15396603"/>
      <w:r>
        <w:rPr>
          <w:rFonts w:hint="eastAsia" w:ascii="黑体" w:hAnsi="黑体" w:eastAsia="黑体"/>
          <w:sz w:val="32"/>
          <w:szCs w:val="32"/>
        </w:rPr>
        <w:t>收</w:t>
      </w:r>
      <w:r>
        <w:rPr>
          <w:rStyle w:val="27"/>
          <w:rFonts w:hint="eastAsia" w:ascii="黑体" w:hAnsi="黑体" w:eastAsia="黑体"/>
          <w:b w:val="0"/>
        </w:rPr>
        <w:t>入支出决算总体情况说明</w:t>
      </w:r>
      <w:bookmarkEnd w:id="22"/>
      <w:bookmarkEnd w:id="23"/>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2021年度收、支总计</w:t>
      </w:r>
      <w:r>
        <w:rPr>
          <w:rFonts w:hint="default" w:ascii="Times New Roman" w:hAnsi="Times New Roman" w:eastAsia="仿宋_GB2312" w:cs="Times New Roman"/>
          <w:sz w:val="32"/>
          <w:szCs w:val="32"/>
          <w:lang w:val="en-US" w:eastAsia="zh-CN"/>
        </w:rPr>
        <w:t>167.71</w:t>
      </w:r>
      <w:r>
        <w:rPr>
          <w:rFonts w:hint="default" w:ascii="Times New Roman" w:hAnsi="Times New Roman" w:eastAsia="仿宋_GB2312" w:cs="Times New Roman"/>
          <w:sz w:val="32"/>
          <w:szCs w:val="32"/>
        </w:rPr>
        <w:t>万元。与20</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年相比，收、支总计各增加增加</w:t>
      </w:r>
      <w:r>
        <w:rPr>
          <w:rFonts w:hint="default" w:ascii="Times New Roman" w:hAnsi="Times New Roman" w:eastAsia="仿宋_GB2312" w:cs="Times New Roman"/>
          <w:sz w:val="32"/>
          <w:szCs w:val="32"/>
          <w:lang w:val="en-US" w:eastAsia="zh-CN"/>
        </w:rPr>
        <w:t>31.49</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23.12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主要变动原因</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是主要原因一是由于工作人员疏忽，造成2019年至2021年公积金缴存基数未将单位缴存的公积金纳入，补计提住房公积金；二是发放三名退休职工一次性生活补贴；三是2021年1月，根据《关于提前下达2021年基本公共卫生服务中央补助资金的通知》（盐财资行〔2021〕40号），下达2021年基本公共卫生服务中央补助资金；四是2021年5月根据《关于调整2020年公共卫生财政应返还额度通知》（盐财资行〔2021〕178号）,重新下达川财社（2021）8号2020年基本公共卫生服务中央和省级补助资金（第二批）。</w:t>
      </w:r>
    </w:p>
    <w:p>
      <w:pPr>
        <w:pStyle w:val="2"/>
        <w:rPr>
          <w:rFonts w:hint="eastAsia" w:ascii="仿宋" w:hAnsi="仿宋" w:eastAsia="仿宋" w:cs="Arial"/>
          <w:sz w:val="32"/>
          <w:szCs w:val="32"/>
        </w:rPr>
      </w:pPr>
      <w:r>
        <w:rPr>
          <w:rFonts w:hint="eastAsia"/>
          <w:lang w:val="en-US" w:eastAsia="zh-CN"/>
        </w:rPr>
        <w:t xml:space="preserve">   </w:t>
      </w:r>
      <w:r>
        <w:drawing>
          <wp:inline distT="0" distB="0" distL="114300" distR="114300">
            <wp:extent cx="4572000" cy="3001010"/>
            <wp:effectExtent l="4445" t="4445" r="10795" b="12065"/>
            <wp:docPr id="103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5"/>
        <w:numPr>
          <w:ilvl w:val="0"/>
          <w:numId w:val="1"/>
        </w:numPr>
        <w:spacing w:line="600" w:lineRule="exact"/>
        <w:ind w:firstLineChars="0"/>
        <w:outlineLvl w:val="1"/>
        <w:rPr>
          <w:rStyle w:val="27"/>
          <w:rFonts w:ascii="黑体" w:hAnsi="黑体" w:eastAsia="黑体"/>
          <w:b w:val="0"/>
        </w:rPr>
      </w:pPr>
      <w:bookmarkStart w:id="24" w:name="_Toc15396604"/>
      <w:bookmarkStart w:id="25" w:name="_Toc15377206"/>
      <w:r>
        <w:rPr>
          <w:rFonts w:hint="eastAsia" w:ascii="黑体" w:hAnsi="黑体" w:eastAsia="黑体"/>
          <w:sz w:val="32"/>
          <w:szCs w:val="32"/>
        </w:rPr>
        <w:t>收</w:t>
      </w:r>
      <w:r>
        <w:rPr>
          <w:rStyle w:val="27"/>
          <w:rFonts w:hint="eastAsia" w:ascii="黑体" w:hAnsi="黑体" w:eastAsia="黑体"/>
          <w:b w:val="0"/>
        </w:rPr>
        <w:t>入决算情况说明</w:t>
      </w:r>
      <w:bookmarkEnd w:id="24"/>
      <w:bookmarkEnd w:id="25"/>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rPr>
        <w:t xml:space="preserve"> </w:t>
      </w:r>
      <w:r>
        <w:rPr>
          <w:rFonts w:hint="default" w:ascii="Times New Roman" w:hAnsi="Times New Roman" w:eastAsia="仿宋_GB2312" w:cs="Times New Roman"/>
          <w:sz w:val="32"/>
          <w:szCs w:val="32"/>
          <w:lang w:val="en-US" w:eastAsia="zh-CN"/>
        </w:rPr>
        <w:t>2021年一般公共预算财政拨款收入决算总额为167.7万元，其中：当年财政拨款收入160.7万元，事业收入0元，上年结转收入0元，年初结转结余7.01万元。</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2021年本年收入合计</w:t>
      </w:r>
      <w:r>
        <w:rPr>
          <w:rFonts w:hint="default" w:ascii="Times New Roman" w:hAnsi="Times New Roman" w:eastAsia="仿宋_GB2312" w:cs="Times New Roman"/>
          <w:sz w:val="32"/>
          <w:szCs w:val="32"/>
          <w:lang w:val="en-US" w:eastAsia="zh-CN"/>
        </w:rPr>
        <w:t>160.7</w:t>
      </w:r>
      <w:r>
        <w:rPr>
          <w:rFonts w:hint="default" w:ascii="Times New Roman" w:hAnsi="Times New Roman" w:eastAsia="仿宋_GB2312" w:cs="Times New Roman"/>
          <w:sz w:val="32"/>
          <w:szCs w:val="32"/>
        </w:rPr>
        <w:t>万元，其中：一般公共预算财政拨款收入</w:t>
      </w:r>
      <w:r>
        <w:rPr>
          <w:rFonts w:hint="default" w:ascii="Times New Roman" w:hAnsi="Times New Roman" w:eastAsia="仿宋_GB2312" w:cs="Times New Roman"/>
          <w:sz w:val="32"/>
          <w:szCs w:val="32"/>
          <w:lang w:val="en-US" w:eastAsia="zh-CN"/>
        </w:rPr>
        <w:t>160.7</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w:t>
      </w:r>
    </w:p>
    <w:p>
      <w:pPr>
        <w:pStyle w:val="2"/>
        <w:rPr>
          <w:rFonts w:hint="default" w:ascii="Times New Roman" w:hAnsi="Times New Roman" w:eastAsia="仿宋_GB2312" w:cs="Times New Roman"/>
          <w:sz w:val="32"/>
          <w:szCs w:val="32"/>
        </w:rPr>
      </w:pPr>
      <w:r>
        <w:rPr>
          <w:rFonts w:hint="eastAsia"/>
          <w:lang w:val="en-US" w:eastAsia="zh-CN"/>
        </w:rPr>
        <w:t xml:space="preserve">  </w:t>
      </w:r>
      <w:r>
        <w:drawing>
          <wp:inline distT="0" distB="0" distL="114300" distR="114300">
            <wp:extent cx="4780915" cy="3228340"/>
            <wp:effectExtent l="5080" t="4445" r="14605" b="62865"/>
            <wp:docPr id="1043" name="图表 1" descr="7b0a202020202263686172745265734964223a202232303437323230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（图2：收入决算结构图）（饼状图）</w:t>
      </w:r>
    </w:p>
    <w:p>
      <w:pPr>
        <w:pStyle w:val="25"/>
        <w:numPr>
          <w:ilvl w:val="0"/>
          <w:numId w:val="0"/>
        </w:numPr>
        <w:spacing w:line="600" w:lineRule="exact"/>
        <w:ind w:firstLine="640" w:firstLineChars="200"/>
        <w:outlineLvl w:val="1"/>
        <w:rPr>
          <w:rFonts w:hint="eastAsia" w:ascii="黑体" w:hAnsi="黑体" w:eastAsia="黑体"/>
          <w:sz w:val="32"/>
          <w:szCs w:val="32"/>
          <w:lang w:eastAsia="zh-CN"/>
        </w:rPr>
      </w:pPr>
      <w:bookmarkStart w:id="26" w:name="_Toc15377207"/>
      <w:bookmarkStart w:id="27" w:name="_Toc15396605"/>
    </w:p>
    <w:p>
      <w:pPr>
        <w:pStyle w:val="25"/>
        <w:numPr>
          <w:ilvl w:val="0"/>
          <w:numId w:val="0"/>
        </w:numPr>
        <w:spacing w:line="600" w:lineRule="exact"/>
        <w:ind w:firstLine="640" w:firstLineChars="200"/>
        <w:outlineLvl w:val="1"/>
        <w:rPr>
          <w:rStyle w:val="27"/>
          <w:rFonts w:ascii="黑体" w:hAnsi="黑体" w:eastAsia="黑体"/>
          <w:b w:val="0"/>
        </w:rPr>
      </w:pPr>
      <w:r>
        <w:rPr>
          <w:rFonts w:hint="eastAsia" w:ascii="黑体" w:hAnsi="黑体" w:eastAsia="黑体"/>
          <w:sz w:val="32"/>
          <w:szCs w:val="32"/>
          <w:lang w:eastAsia="zh-CN"/>
        </w:rPr>
        <w:t>三、</w:t>
      </w:r>
      <w:r>
        <w:rPr>
          <w:rFonts w:hint="eastAsia" w:ascii="黑体" w:hAnsi="黑体" w:eastAsia="黑体"/>
          <w:sz w:val="32"/>
          <w:szCs w:val="32"/>
        </w:rPr>
        <w:t>支</w:t>
      </w:r>
      <w:r>
        <w:rPr>
          <w:rStyle w:val="27"/>
          <w:rFonts w:hint="eastAsia" w:ascii="黑体" w:hAnsi="黑体" w:eastAsia="黑体"/>
          <w:b w:val="0"/>
        </w:rPr>
        <w:t>出决算情况说明</w:t>
      </w:r>
      <w:bookmarkEnd w:id="26"/>
      <w:bookmarkEnd w:id="27"/>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2021年本年支出合计167.71万元，其中：基本支出152.7万元，占91.05%；项目支出15.01万元，占8.95%。</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rPr>
          <w:rFonts w:ascii="仿宋" w:hAnsi="仿宋" w:eastAsia="仿宋"/>
          <w:sz w:val="32"/>
          <w:szCs w:val="32"/>
        </w:rPr>
      </w:pPr>
      <w:r>
        <w:drawing>
          <wp:anchor distT="0" distB="0" distL="114300" distR="114300" simplePos="0" relativeHeight="251662336" behindDoc="0" locked="0" layoutInCell="1" allowOverlap="1">
            <wp:simplePos x="0" y="0"/>
            <wp:positionH relativeFrom="column">
              <wp:posOffset>266065</wp:posOffset>
            </wp:positionH>
            <wp:positionV relativeFrom="paragraph">
              <wp:posOffset>224790</wp:posOffset>
            </wp:positionV>
            <wp:extent cx="4605655" cy="3001010"/>
            <wp:effectExtent l="4445" t="4445" r="7620" b="42545"/>
            <wp:wrapTopAndBottom/>
            <wp:docPr id="1037" name="图表 1" descr="7b0a202020202263686172745265734964223a202232303437323230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lang w:val="en-US" w:eastAsia="zh-CN"/>
        </w:rPr>
        <w:t xml:space="preserve">              </w:t>
      </w:r>
      <w:r>
        <w:rPr>
          <w:rFonts w:hint="eastAsia" w:ascii="仿宋" w:hAnsi="仿宋" w:eastAsia="仿宋"/>
          <w:sz w:val="32"/>
          <w:szCs w:val="32"/>
          <w:lang w:eastAsia="zh-CN"/>
        </w:rPr>
        <w:t>（</w:t>
      </w:r>
      <w:r>
        <w:rPr>
          <w:rFonts w:hint="eastAsia" w:ascii="仿宋" w:hAnsi="仿宋" w:eastAsia="仿宋"/>
          <w:sz w:val="32"/>
          <w:szCs w:val="32"/>
        </w:rPr>
        <w:t>图3：支出决算结构图）（饼状图）</w:t>
      </w:r>
    </w:p>
    <w:p>
      <w:pPr>
        <w:spacing w:line="600" w:lineRule="exact"/>
        <w:ind w:firstLine="640" w:firstLineChars="200"/>
        <w:outlineLvl w:val="1"/>
        <w:rPr>
          <w:rStyle w:val="27"/>
          <w:rFonts w:ascii="黑体" w:hAnsi="黑体" w:eastAsia="黑体"/>
          <w:b w:val="0"/>
        </w:rPr>
      </w:pPr>
      <w:bookmarkStart w:id="28" w:name="_Toc15396606"/>
      <w:bookmarkStart w:id="29" w:name="_Toc15377208"/>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8"/>
      <w:bookmarkEnd w:id="29"/>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财政拨款收、支总计167.71万元。与2020年相比，财政拨款收、支总计各增加增加31.49万元，增长23.12%。主要变动原因一是主要原因一是由于工作人员疏忽，造成2019年至2021年公积金缴存基数未将单位缴存的公积金纳入，补计提住房公积金；二是发放三名退休职工一次性生活补贴；三是2021年1月，根据《关于提前下达2021年基本公共卫生服务中央补助资金的通知》（盐财资行〔2021〕40号），下达2021年基本公共卫生服务中央补助资金；四是2021年5月根据《关于调整2020年公共卫生财政应返还额度通知》（盐财资行〔2021〕178号）,重新下达川财社（2021）8号2020年基本公共卫生服务中央和省级补助资金（第二批）。</w:t>
      </w:r>
    </w:p>
    <w:p>
      <w:pPr>
        <w:spacing w:line="600" w:lineRule="exact"/>
        <w:ind w:firstLine="640"/>
        <w:rPr>
          <w:rFonts w:hint="eastAsia" w:ascii="仿宋" w:hAnsi="仿宋" w:eastAsia="仿宋"/>
          <w:b/>
          <w:sz w:val="32"/>
          <w:szCs w:val="32"/>
        </w:rPr>
      </w:pPr>
    </w:p>
    <w:p>
      <w:pPr>
        <w:spacing w:line="600" w:lineRule="exact"/>
        <w:rPr>
          <w:rFonts w:hint="eastAsia" w:ascii="仿宋" w:hAnsi="仿宋" w:eastAsia="仿宋"/>
          <w:sz w:val="32"/>
          <w:szCs w:val="32"/>
          <w:lang w:val="en-US" w:eastAsia="zh-CN"/>
        </w:rPr>
      </w:pPr>
      <w:r>
        <w:drawing>
          <wp:anchor distT="0" distB="0" distL="114300" distR="114300" simplePos="0" relativeHeight="251661312" behindDoc="0" locked="0" layoutInCell="1" allowOverlap="1">
            <wp:simplePos x="0" y="0"/>
            <wp:positionH relativeFrom="column">
              <wp:posOffset>292100</wp:posOffset>
            </wp:positionH>
            <wp:positionV relativeFrom="paragraph">
              <wp:posOffset>173355</wp:posOffset>
            </wp:positionV>
            <wp:extent cx="4572000" cy="3001010"/>
            <wp:effectExtent l="4445" t="4445" r="10795" b="12065"/>
            <wp:wrapTopAndBottom/>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仿宋" w:hAnsi="仿宋" w:eastAsia="仿宋"/>
          <w:sz w:val="32"/>
          <w:szCs w:val="32"/>
          <w:lang w:val="en-US" w:eastAsia="zh-CN"/>
        </w:rPr>
        <w:t xml:space="preserve">  </w:t>
      </w:r>
    </w:p>
    <w:p>
      <w:pPr>
        <w:spacing w:line="600" w:lineRule="exact"/>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rPr>
          <w:rFonts w:ascii="仿宋" w:hAnsi="仿宋" w:eastAsia="仿宋"/>
          <w:b/>
          <w:sz w:val="32"/>
          <w:szCs w:val="32"/>
        </w:rPr>
      </w:pPr>
    </w:p>
    <w:p>
      <w:pPr>
        <w:spacing w:line="600" w:lineRule="exact"/>
        <w:ind w:firstLine="640" w:firstLineChars="200"/>
        <w:outlineLvl w:val="1"/>
        <w:rPr>
          <w:rStyle w:val="27"/>
          <w:rFonts w:ascii="黑体" w:hAnsi="黑体" w:eastAsia="黑体"/>
          <w:b w:val="0"/>
        </w:rPr>
      </w:pPr>
      <w:bookmarkStart w:id="30" w:name="_Toc15377209"/>
      <w:bookmarkStart w:id="31" w:name="_Toc15396607"/>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30"/>
      <w:bookmarkEnd w:id="31"/>
    </w:p>
    <w:p>
      <w:pPr>
        <w:spacing w:line="600" w:lineRule="exact"/>
        <w:ind w:firstLine="643" w:firstLineChars="200"/>
        <w:outlineLvl w:val="2"/>
        <w:rPr>
          <w:rFonts w:ascii="仿宋" w:hAnsi="仿宋" w:eastAsia="仿宋"/>
          <w:b/>
          <w:sz w:val="32"/>
          <w:szCs w:val="32"/>
        </w:rPr>
      </w:pPr>
      <w:bookmarkStart w:id="32" w:name="_Toc15377210"/>
      <w:r>
        <w:rPr>
          <w:rFonts w:hint="eastAsia" w:ascii="仿宋" w:hAnsi="仿宋" w:eastAsia="仿宋"/>
          <w:b/>
          <w:sz w:val="32"/>
          <w:szCs w:val="32"/>
        </w:rPr>
        <w:t>（一）一般公共预算财政拨款支出决算总体情况</w:t>
      </w:r>
      <w:bookmarkEnd w:id="32"/>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2021年一般公共预算财政拨款支出167.71万元，占本年支出合计的100%。与2020年相比，一般公共预算财政拨款支出增加31.49万元，增长23.12%。主要变动原因一是主要原因一是由于工作人员疏忽，造成2019年至2021年公积金缴存基数未将单位缴存的公积金纳入，补计提住房公积金；二是发放三名退休职工一次性生活补贴；三是2021年1月，根据《关于提前下达2021年基本公共卫生服务中央补助资金的通知》（盐财资行〔2021〕40号），下达2021年基本公共卫生服务中央补助资金；四是2021年5月根据《关于调整2020年公共卫生财政应返还额度通知》（盐财资行〔2021〕178号）,重新下达川财社（2021）8号2020年基本公共卫生服务中央和省级补助资金（第二批）。</w:t>
      </w:r>
    </w:p>
    <w:p>
      <w:pPr>
        <w:keepNext w:val="0"/>
        <w:keepLines w:val="0"/>
        <w:pageBreakBefore w:val="0"/>
        <w:widowControl w:val="0"/>
        <w:kinsoku/>
        <w:wordWrap/>
        <w:overflowPunct/>
        <w:topLinePunct w:val="0"/>
        <w:autoSpaceDE/>
        <w:autoSpaceDN/>
        <w:bidi w:val="0"/>
        <w:adjustRightInd/>
        <w:snapToGrid w:val="0"/>
        <w:spacing w:line="570" w:lineRule="exact"/>
        <w:ind w:firstLine="0" w:firstLineChars="0"/>
        <w:textAlignment w:val="auto"/>
        <w:rPr>
          <w:rFonts w:ascii="仿宋" w:hAnsi="仿宋" w:eastAsia="仿宋"/>
          <w:sz w:val="32"/>
          <w:szCs w:val="32"/>
        </w:rPr>
      </w:pPr>
      <w:r>
        <w:drawing>
          <wp:anchor distT="0" distB="0" distL="114300" distR="114300" simplePos="0" relativeHeight="251663360" behindDoc="0" locked="0" layoutInCell="1" allowOverlap="1">
            <wp:simplePos x="0" y="0"/>
            <wp:positionH relativeFrom="column">
              <wp:posOffset>266065</wp:posOffset>
            </wp:positionH>
            <wp:positionV relativeFrom="paragraph">
              <wp:posOffset>127635</wp:posOffset>
            </wp:positionV>
            <wp:extent cx="4836795" cy="2906395"/>
            <wp:effectExtent l="4445" t="5080" r="16510" b="22225"/>
            <wp:wrapTopAndBottom/>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仿宋" w:hAnsi="仿宋" w:eastAsia="仿宋"/>
          <w:sz w:val="32"/>
          <w:szCs w:val="32"/>
        </w:rPr>
        <w:t>（图5：一般公共预算财政拨款支出决算变动情况）（柱状图）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3" w:name="_Toc15377211"/>
      <w:r>
        <w:rPr>
          <w:rFonts w:hint="eastAsia" w:ascii="仿宋" w:hAnsi="仿宋" w:eastAsia="仿宋"/>
          <w:b/>
          <w:sz w:val="32"/>
          <w:szCs w:val="32"/>
        </w:rPr>
        <w:t>（二）一般公共预算财政拨款支出决算结构情况</w:t>
      </w:r>
      <w:bookmarkEnd w:id="33"/>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2021年一般公共预算财政拨款支出167.71万元，主要用于以下方面:社会保障和就业（类）支出15.3万元，占9.12%；卫生健康支出140.48万元，占83.76%；住房保障支出11.93万元，占7.11%。</w:t>
      </w:r>
    </w:p>
    <w:p>
      <w:pPr>
        <w:spacing w:line="600" w:lineRule="exact"/>
        <w:rPr>
          <w:rFonts w:hint="eastAsia" w:ascii="仿宋" w:hAnsi="仿宋" w:eastAsia="仿宋"/>
          <w:b/>
          <w:sz w:val="32"/>
          <w:szCs w:val="32"/>
        </w:rPr>
      </w:pPr>
    </w:p>
    <w:p>
      <w:pPr>
        <w:spacing w:line="600" w:lineRule="exact"/>
        <w:rPr>
          <w:rFonts w:hint="eastAsia" w:ascii="仿宋" w:hAnsi="仿宋" w:eastAsia="仿宋"/>
          <w:b/>
          <w:sz w:val="32"/>
          <w:szCs w:val="32"/>
        </w:rPr>
      </w:pPr>
    </w:p>
    <w:p>
      <w:pPr>
        <w:spacing w:line="600" w:lineRule="exact"/>
        <w:rPr>
          <w:rFonts w:hint="eastAsia" w:ascii="仿宋" w:hAnsi="仿宋" w:eastAsia="仿宋"/>
          <w:b/>
          <w:sz w:val="32"/>
          <w:szCs w:val="32"/>
        </w:rPr>
      </w:pPr>
    </w:p>
    <w:p>
      <w:pPr>
        <w:spacing w:line="600" w:lineRule="exact"/>
        <w:rPr>
          <w:rFonts w:ascii="仿宋" w:hAnsi="仿宋" w:eastAsia="仿宋"/>
          <w:sz w:val="32"/>
          <w:szCs w:val="32"/>
        </w:rPr>
      </w:pPr>
      <w:r>
        <w:drawing>
          <wp:anchor distT="0" distB="0" distL="114300" distR="114300" simplePos="0" relativeHeight="251660288" behindDoc="0" locked="0" layoutInCell="1" allowOverlap="1">
            <wp:simplePos x="0" y="0"/>
            <wp:positionH relativeFrom="column">
              <wp:posOffset>165735</wp:posOffset>
            </wp:positionH>
            <wp:positionV relativeFrom="paragraph">
              <wp:posOffset>342900</wp:posOffset>
            </wp:positionV>
            <wp:extent cx="4749800" cy="3001010"/>
            <wp:effectExtent l="4445" t="5080" r="15875" b="11430"/>
            <wp:wrapTopAndBottom/>
            <wp:docPr id="103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34" w:name="_Toc15377212"/>
      <w:r>
        <w:rPr>
          <w:rFonts w:hint="eastAsia" w:ascii="仿宋" w:hAnsi="仿宋" w:eastAsia="仿宋"/>
          <w:b/>
          <w:sz w:val="32"/>
          <w:szCs w:val="32"/>
        </w:rPr>
        <w:t>（三）一般公共预算财政拨款支出决算具体情况</w:t>
      </w:r>
      <w:bookmarkEnd w:id="34"/>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Style w:val="16"/>
          <w:rFonts w:hint="default" w:ascii="Times New Roman" w:hAnsi="Times New Roman" w:eastAsia="仿宋" w:cs="Times New Roman"/>
          <w:b w:val="0"/>
          <w:bCs/>
          <w:color w:val="000000"/>
          <w:sz w:val="32"/>
          <w:szCs w:val="32"/>
        </w:rPr>
      </w:pPr>
      <w:bookmarkStart w:id="35" w:name="_Toc15378460"/>
      <w:bookmarkStart w:id="36" w:name="_Toc15377213"/>
      <w:bookmarkStart w:id="37" w:name="_Toc15377444"/>
      <w:r>
        <w:rPr>
          <w:rFonts w:hint="default" w:ascii="Times New Roman" w:hAnsi="Times New Roman" w:eastAsia="仿宋_GB2312" w:cs="Times New Roman"/>
          <w:sz w:val="32"/>
          <w:szCs w:val="32"/>
          <w:lang w:val="en-US" w:eastAsia="zh-CN"/>
        </w:rPr>
        <w:t>2021年一般公共预算支出决算数为167.71万元，完成预算100%。其中：</w:t>
      </w:r>
      <w:bookmarkEnd w:id="35"/>
      <w:bookmarkEnd w:id="36"/>
      <w:bookmarkEnd w:id="37"/>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eastAsia="仿宋_GB2312" w:cs="Times New Roman"/>
          <w:b/>
          <w:sz w:val="32"/>
          <w:szCs w:val="32"/>
        </w:rPr>
        <w:t>1.社会保障和就业</w:t>
      </w:r>
      <w:r>
        <w:rPr>
          <w:rFonts w:hint="eastAsia" w:eastAsia="仿宋_GB2312" w:cs="Times New Roman"/>
          <w:b/>
          <w:sz w:val="32"/>
          <w:szCs w:val="32"/>
          <w:lang w:eastAsia="zh-CN"/>
        </w:rPr>
        <w:t>支出</w:t>
      </w:r>
      <w:r>
        <w:rPr>
          <w:rFonts w:hint="eastAsia" w:eastAsia="仿宋_GB2312" w:cs="Times New Roman"/>
          <w:b/>
          <w:sz w:val="32"/>
          <w:szCs w:val="32"/>
        </w:rPr>
        <w:t>（类）行政事业单位</w:t>
      </w:r>
      <w:r>
        <w:rPr>
          <w:rFonts w:hint="eastAsia" w:eastAsia="仿宋_GB2312" w:cs="Times New Roman"/>
          <w:b/>
          <w:sz w:val="32"/>
          <w:szCs w:val="32"/>
          <w:lang w:eastAsia="zh-CN"/>
        </w:rPr>
        <w:t>养老支出</w:t>
      </w:r>
      <w:r>
        <w:rPr>
          <w:rFonts w:hint="eastAsia" w:eastAsia="仿宋_GB2312" w:cs="Times New Roman"/>
          <w:b/>
          <w:sz w:val="32"/>
          <w:szCs w:val="32"/>
        </w:rPr>
        <w:t>（款）行政单位离退休（项）</w:t>
      </w:r>
      <w:r>
        <w:rPr>
          <w:rFonts w:eastAsia="仿宋_GB2312" w:cs="Times New Roman"/>
          <w:b/>
          <w:sz w:val="32"/>
          <w:szCs w:val="32"/>
        </w:rPr>
        <w:t>:</w:t>
      </w:r>
      <w:r>
        <w:rPr>
          <w:rStyle w:val="16"/>
          <w:rFonts w:ascii="仿宋" w:hAnsi="仿宋" w:eastAsia="仿宋"/>
          <w:b w:val="0"/>
          <w:bCs/>
          <w:color w:val="000000"/>
          <w:sz w:val="32"/>
          <w:szCs w:val="32"/>
        </w:rPr>
        <w:t xml:space="preserve"> </w:t>
      </w:r>
      <w:r>
        <w:rPr>
          <w:rFonts w:hint="default" w:ascii="Times New Roman" w:hAnsi="Times New Roman" w:eastAsia="仿宋_GB2312" w:cs="Times New Roman"/>
          <w:sz w:val="32"/>
          <w:szCs w:val="32"/>
          <w:lang w:val="en-US" w:eastAsia="zh-CN"/>
        </w:rPr>
        <w:t>支出决算为5.86万元，完成预算100%，决算数等于预算数</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Style w:val="16"/>
          <w:rFonts w:ascii="仿宋" w:hAnsi="仿宋" w:eastAsia="仿宋"/>
          <w:b w:val="0"/>
          <w:bCs/>
          <w:color w:val="000000"/>
          <w:sz w:val="32"/>
          <w:szCs w:val="32"/>
        </w:rPr>
      </w:pPr>
      <w:r>
        <w:rPr>
          <w:rFonts w:hint="eastAsia" w:eastAsia="仿宋_GB2312" w:cs="Times New Roman"/>
          <w:b/>
          <w:sz w:val="32"/>
          <w:szCs w:val="32"/>
        </w:rPr>
        <w:t>2.社会保障和就业</w:t>
      </w:r>
      <w:r>
        <w:rPr>
          <w:rFonts w:hint="eastAsia" w:eastAsia="仿宋_GB2312" w:cs="Times New Roman"/>
          <w:b/>
          <w:sz w:val="32"/>
          <w:szCs w:val="32"/>
          <w:lang w:eastAsia="zh-CN"/>
        </w:rPr>
        <w:t>支出</w:t>
      </w:r>
      <w:r>
        <w:rPr>
          <w:rFonts w:hint="eastAsia" w:eastAsia="仿宋_GB2312" w:cs="Times New Roman"/>
          <w:b/>
          <w:sz w:val="32"/>
          <w:szCs w:val="32"/>
        </w:rPr>
        <w:t>（类）行政事业单位</w:t>
      </w:r>
      <w:r>
        <w:rPr>
          <w:rFonts w:hint="eastAsia" w:eastAsia="仿宋_GB2312" w:cs="Times New Roman"/>
          <w:b/>
          <w:sz w:val="32"/>
          <w:szCs w:val="32"/>
          <w:lang w:eastAsia="zh-CN"/>
        </w:rPr>
        <w:t>养老支出</w:t>
      </w:r>
      <w:r>
        <w:rPr>
          <w:rFonts w:hint="eastAsia" w:eastAsia="仿宋_GB2312" w:cs="Times New Roman"/>
          <w:b/>
          <w:sz w:val="32"/>
          <w:szCs w:val="32"/>
        </w:rPr>
        <w:t>（款）机关事业单位基本养老保险缴费支出（项）</w:t>
      </w:r>
      <w:r>
        <w:rPr>
          <w:rStyle w:val="16"/>
          <w:rFonts w:ascii="仿宋" w:hAnsi="仿宋" w:eastAsia="仿宋"/>
          <w:b w:val="0"/>
          <w:bCs w:val="0"/>
          <w:color w:val="000000"/>
          <w:sz w:val="32"/>
          <w:szCs w:val="32"/>
        </w:rPr>
        <w:t xml:space="preserve">: </w:t>
      </w:r>
      <w:r>
        <w:rPr>
          <w:rFonts w:hint="default" w:ascii="Times New Roman" w:hAnsi="Times New Roman" w:eastAsia="仿宋_GB2312" w:cs="Times New Roman"/>
          <w:sz w:val="32"/>
          <w:szCs w:val="32"/>
          <w:lang w:val="en-US" w:eastAsia="zh-CN"/>
        </w:rPr>
        <w:t>支出决算为9.44万元，完成预算100%，决算数等于预算数。</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eastAsia="仿宋_GB2312" w:cs="Times New Roman"/>
          <w:b/>
          <w:sz w:val="32"/>
          <w:szCs w:val="32"/>
        </w:rPr>
        <w:t>3.</w:t>
      </w:r>
      <w:r>
        <w:rPr>
          <w:rFonts w:hint="eastAsia" w:eastAsia="仿宋_GB2312" w:cs="Times New Roman"/>
          <w:b/>
          <w:sz w:val="32"/>
          <w:szCs w:val="32"/>
          <w:lang w:val="en-US" w:eastAsia="zh-CN"/>
        </w:rPr>
        <w:t>卫生健康支出</w:t>
      </w:r>
      <w:r>
        <w:rPr>
          <w:rFonts w:hint="eastAsia" w:eastAsia="仿宋_GB2312" w:cs="Times New Roman"/>
          <w:b/>
          <w:sz w:val="32"/>
          <w:szCs w:val="32"/>
        </w:rPr>
        <w:t>（类）</w:t>
      </w:r>
      <w:r>
        <w:rPr>
          <w:rFonts w:hint="eastAsia" w:eastAsia="仿宋_GB2312" w:cs="Times New Roman"/>
          <w:b/>
          <w:sz w:val="32"/>
          <w:szCs w:val="32"/>
          <w:lang w:val="en-US" w:eastAsia="zh-CN"/>
        </w:rPr>
        <w:t>卫生健康</w:t>
      </w:r>
      <w:r>
        <w:rPr>
          <w:rFonts w:hint="eastAsia" w:eastAsia="仿宋_GB2312" w:cs="Times New Roman"/>
          <w:b/>
          <w:sz w:val="32"/>
          <w:szCs w:val="32"/>
        </w:rPr>
        <w:t>管理事务（款）行政运行（项）:</w:t>
      </w:r>
      <w:r>
        <w:rPr>
          <w:rFonts w:hint="default" w:ascii="Times New Roman" w:hAnsi="Times New Roman" w:eastAsia="仿宋_GB2312" w:cs="Times New Roman"/>
          <w:sz w:val="32"/>
          <w:szCs w:val="32"/>
          <w:lang w:val="en-US" w:eastAsia="zh-CN"/>
        </w:rPr>
        <w:t>支出决算为117.93万元，完成预算100%，决算数等于预算数</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eastAsia="仿宋_GB2312" w:cs="Times New Roman"/>
          <w:b/>
          <w:sz w:val="32"/>
          <w:szCs w:val="32"/>
          <w:lang w:val="en-US" w:eastAsia="zh-CN"/>
        </w:rPr>
        <w:t>4</w:t>
      </w:r>
      <w:r>
        <w:rPr>
          <w:rFonts w:hint="eastAsia" w:eastAsia="仿宋_GB2312" w:cs="Times New Roman"/>
          <w:b/>
          <w:sz w:val="32"/>
          <w:szCs w:val="32"/>
        </w:rPr>
        <w:t>.</w:t>
      </w:r>
      <w:r>
        <w:rPr>
          <w:rFonts w:hint="eastAsia" w:eastAsia="仿宋_GB2312" w:cs="Times New Roman"/>
          <w:b/>
          <w:sz w:val="32"/>
          <w:szCs w:val="32"/>
          <w:lang w:val="en-US" w:eastAsia="zh-CN"/>
        </w:rPr>
        <w:t>卫生健康支出</w:t>
      </w:r>
      <w:r>
        <w:rPr>
          <w:rFonts w:hint="eastAsia" w:eastAsia="仿宋_GB2312" w:cs="Times New Roman"/>
          <w:b/>
          <w:sz w:val="32"/>
          <w:szCs w:val="32"/>
        </w:rPr>
        <w:t>（类）</w:t>
      </w:r>
      <w:r>
        <w:rPr>
          <w:rFonts w:hint="eastAsia" w:eastAsia="仿宋_GB2312" w:cs="Times New Roman"/>
          <w:b/>
          <w:sz w:val="32"/>
          <w:szCs w:val="32"/>
          <w:lang w:val="en-US" w:eastAsia="zh-CN"/>
        </w:rPr>
        <w:t>公共卫生</w:t>
      </w:r>
      <w:r>
        <w:rPr>
          <w:rFonts w:hint="eastAsia" w:eastAsia="仿宋_GB2312" w:cs="Times New Roman"/>
          <w:b/>
          <w:sz w:val="32"/>
          <w:szCs w:val="32"/>
        </w:rPr>
        <w:t>（款） 卫生监督机构（项）:</w:t>
      </w:r>
      <w:r>
        <w:rPr>
          <w:rFonts w:hint="default" w:ascii="Times New Roman" w:hAnsi="Times New Roman" w:eastAsia="仿宋_GB2312" w:cs="Times New Roman"/>
          <w:sz w:val="32"/>
          <w:szCs w:val="32"/>
          <w:lang w:val="en-US" w:eastAsia="zh-CN"/>
        </w:rPr>
        <w:t>支出决算为</w:t>
      </w:r>
      <w:r>
        <w:rPr>
          <w:rFonts w:hint="default" w:ascii="Times New Roman" w:hAnsi="Times New Roman" w:eastAsia="仿宋_GB2312" w:cs="Times New Roman"/>
          <w:kern w:val="0"/>
          <w:sz w:val="32"/>
          <w:szCs w:val="32"/>
          <w:lang w:val="en-US" w:eastAsia="zh-CN" w:bidi="ar-SA"/>
        </w:rPr>
        <w:t>0.3</w:t>
      </w:r>
      <w:r>
        <w:rPr>
          <w:rFonts w:hint="default" w:ascii="Times New Roman" w:hAnsi="Times New Roman" w:eastAsia="仿宋_GB2312" w:cs="Times New Roman"/>
          <w:sz w:val="32"/>
          <w:szCs w:val="32"/>
          <w:lang w:val="en-US" w:eastAsia="zh-CN"/>
        </w:rPr>
        <w:t>万元，完成预算</w:t>
      </w:r>
      <w:r>
        <w:rPr>
          <w:rFonts w:hint="default" w:ascii="Times New Roman" w:hAnsi="Times New Roman" w:eastAsia="仿宋_GB2312" w:cs="Times New Roman"/>
          <w:kern w:val="0"/>
          <w:sz w:val="32"/>
          <w:szCs w:val="32"/>
          <w:lang w:val="en-US" w:eastAsia="zh-CN" w:bidi="ar-SA"/>
        </w:rPr>
        <w:t>100%</w:t>
      </w:r>
      <w:r>
        <w:rPr>
          <w:rFonts w:hint="default" w:ascii="Times New Roman" w:hAnsi="Times New Roman" w:eastAsia="仿宋_GB2312" w:cs="Times New Roman"/>
          <w:sz w:val="32"/>
          <w:szCs w:val="32"/>
          <w:lang w:val="en-US" w:eastAsia="zh-CN"/>
        </w:rPr>
        <w:t>，决算数等于预算数</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eastAsia="仿宋_GB2312" w:cs="Times New Roman"/>
          <w:b/>
          <w:sz w:val="32"/>
          <w:szCs w:val="32"/>
          <w:lang w:val="en-US" w:eastAsia="zh-CN"/>
        </w:rPr>
        <w:t>5.卫生健康支出</w:t>
      </w:r>
      <w:r>
        <w:rPr>
          <w:rFonts w:hint="eastAsia" w:eastAsia="仿宋_GB2312" w:cs="Times New Roman"/>
          <w:b/>
          <w:sz w:val="32"/>
          <w:szCs w:val="32"/>
        </w:rPr>
        <w:t>（类）</w:t>
      </w:r>
      <w:r>
        <w:rPr>
          <w:rFonts w:hint="eastAsia" w:eastAsia="仿宋_GB2312" w:cs="Times New Roman"/>
          <w:b/>
          <w:sz w:val="32"/>
          <w:szCs w:val="32"/>
          <w:lang w:val="en-US" w:eastAsia="zh-CN"/>
        </w:rPr>
        <w:t>公共卫生</w:t>
      </w:r>
      <w:r>
        <w:rPr>
          <w:rFonts w:hint="eastAsia" w:eastAsia="仿宋_GB2312" w:cs="Times New Roman"/>
          <w:b/>
          <w:sz w:val="32"/>
          <w:szCs w:val="32"/>
        </w:rPr>
        <w:t>（款） 基本公共卫生服务（项）:</w:t>
      </w:r>
      <w:r>
        <w:rPr>
          <w:rFonts w:hint="eastAsia" w:ascii="仿宋_GB2312" w:hAnsi="仿宋_GB2312" w:eastAsia="仿宋_GB2312" w:cs="仿宋_GB2312"/>
          <w:sz w:val="32"/>
          <w:szCs w:val="32"/>
          <w:lang w:val="en-US" w:eastAsia="zh-CN"/>
        </w:rPr>
        <w:t>支出决算为</w:t>
      </w:r>
      <w:r>
        <w:rPr>
          <w:rFonts w:hint="eastAsia" w:ascii="Times New Roman" w:hAnsi="Times New Roman" w:eastAsia="仿宋_GB2312" w:cs="Times New Roman"/>
          <w:kern w:val="0"/>
          <w:sz w:val="32"/>
          <w:szCs w:val="32"/>
          <w:lang w:val="en-US" w:eastAsia="zh-CN" w:bidi="ar-SA"/>
        </w:rPr>
        <w:t>14.71万元，完成预算100%</w:t>
      </w:r>
      <w:r>
        <w:rPr>
          <w:rFonts w:hint="eastAsia" w:ascii="仿宋_GB2312" w:hAnsi="仿宋_GB2312" w:eastAsia="仿宋_GB2312" w:cs="仿宋_GB2312"/>
          <w:sz w:val="32"/>
          <w:szCs w:val="32"/>
          <w:lang w:val="en-US" w:eastAsia="zh-CN"/>
        </w:rPr>
        <w:t>，决算数等于预算数。</w:t>
      </w:r>
    </w:p>
    <w:p>
      <w:pPr>
        <w:pStyle w:val="2"/>
        <w:rPr>
          <w:rFonts w:hint="default" w:ascii="Times New Roman" w:hAnsi="Times New Roman" w:eastAsia="仿宋_GB2312" w:cs="Times New Roman"/>
          <w:sz w:val="32"/>
          <w:szCs w:val="32"/>
          <w:lang w:val="en-US" w:eastAsia="zh-CN"/>
        </w:rPr>
      </w:pPr>
      <w:r>
        <w:rPr>
          <w:rFonts w:hint="eastAsia" w:hAnsi="仿宋_GB2312" w:cs="仿宋_GB2312"/>
          <w:sz w:val="32"/>
          <w:szCs w:val="32"/>
          <w:lang w:val="en-US" w:eastAsia="zh-CN"/>
        </w:rPr>
        <w:t xml:space="preserve">  </w:t>
      </w:r>
      <w:r>
        <w:rPr>
          <w:rFonts w:hint="eastAsia" w:eastAsia="仿宋_GB2312" w:cs="Times New Roman"/>
          <w:b/>
          <w:sz w:val="32"/>
          <w:szCs w:val="32"/>
          <w:lang w:val="en-US" w:eastAsia="zh-CN"/>
        </w:rPr>
        <w:t xml:space="preserve">  6.卫生健康支出</w:t>
      </w:r>
      <w:r>
        <w:rPr>
          <w:rFonts w:hint="eastAsia" w:eastAsia="仿宋_GB2312" w:cs="Times New Roman"/>
          <w:b/>
          <w:sz w:val="32"/>
          <w:szCs w:val="32"/>
        </w:rPr>
        <w:t>（类）</w:t>
      </w:r>
      <w:r>
        <w:rPr>
          <w:rFonts w:hint="eastAsia" w:eastAsia="仿宋_GB2312" w:cs="Times New Roman"/>
          <w:b/>
          <w:sz w:val="32"/>
          <w:szCs w:val="32"/>
          <w:lang w:val="en-US" w:eastAsia="zh-CN"/>
        </w:rPr>
        <w:t>行政事业单位医疗</w:t>
      </w:r>
      <w:r>
        <w:rPr>
          <w:rFonts w:hint="eastAsia" w:eastAsia="仿宋_GB2312" w:cs="Times New Roman"/>
          <w:b/>
          <w:sz w:val="32"/>
          <w:szCs w:val="32"/>
        </w:rPr>
        <w:t>（款） 行政单位医疗（项）:</w:t>
      </w:r>
      <w:r>
        <w:rPr>
          <w:rFonts w:hint="eastAsia" w:ascii="仿宋_GB2312" w:hAnsi="仿宋_GB2312" w:eastAsia="仿宋_GB2312" w:cs="仿宋_GB2312"/>
          <w:sz w:val="32"/>
          <w:szCs w:val="32"/>
          <w:lang w:val="en-US" w:eastAsia="zh-CN"/>
        </w:rPr>
        <w:t>支出决算</w:t>
      </w:r>
      <w:r>
        <w:rPr>
          <w:rFonts w:hint="default" w:ascii="Times New Roman" w:hAnsi="Times New Roman" w:eastAsia="仿宋_GB2312" w:cs="Times New Roman"/>
          <w:sz w:val="32"/>
          <w:szCs w:val="32"/>
          <w:lang w:val="en-US" w:eastAsia="zh-CN"/>
        </w:rPr>
        <w:t>为</w:t>
      </w:r>
      <w:r>
        <w:rPr>
          <w:rFonts w:hint="default" w:ascii="Times New Roman" w:hAnsi="Times New Roman" w:cs="Times New Roman"/>
          <w:sz w:val="32"/>
          <w:szCs w:val="32"/>
          <w:lang w:val="en-US" w:eastAsia="zh-CN"/>
        </w:rPr>
        <w:t>6.34</w:t>
      </w:r>
      <w:r>
        <w:rPr>
          <w:rFonts w:hint="default" w:ascii="Times New Roman" w:hAnsi="Times New Roman" w:eastAsia="仿宋_GB2312" w:cs="Times New Roman"/>
          <w:sz w:val="32"/>
          <w:szCs w:val="32"/>
          <w:lang w:val="en-US" w:eastAsia="zh-CN"/>
        </w:rPr>
        <w:t>万元，完成预算100%，决算数等于预算数。</w:t>
      </w:r>
    </w:p>
    <w:p>
      <w:pPr>
        <w:pStyle w:val="2"/>
        <w:ind w:firstLine="643" w:firstLineChars="200"/>
        <w:rPr>
          <w:rFonts w:hint="default" w:ascii="Times New Roman" w:hAnsi="Times New Roman" w:cs="Times New Roman"/>
          <w:lang w:val="en-US" w:eastAsia="zh-CN"/>
        </w:rPr>
      </w:pPr>
      <w:r>
        <w:rPr>
          <w:rFonts w:hint="eastAsia" w:eastAsia="仿宋_GB2312" w:cs="Times New Roman"/>
          <w:b/>
          <w:sz w:val="32"/>
          <w:szCs w:val="32"/>
          <w:lang w:val="en-US" w:eastAsia="zh-CN"/>
        </w:rPr>
        <w:t>6.卫生健康支出</w:t>
      </w:r>
      <w:r>
        <w:rPr>
          <w:rFonts w:hint="eastAsia" w:eastAsia="仿宋_GB2312" w:cs="Times New Roman"/>
          <w:b/>
          <w:sz w:val="32"/>
          <w:szCs w:val="32"/>
        </w:rPr>
        <w:t>（类）</w:t>
      </w:r>
      <w:r>
        <w:rPr>
          <w:rFonts w:hint="eastAsia" w:eastAsia="仿宋_GB2312" w:cs="Times New Roman"/>
          <w:b/>
          <w:sz w:val="32"/>
          <w:szCs w:val="32"/>
          <w:lang w:val="en-US" w:eastAsia="zh-CN"/>
        </w:rPr>
        <w:t>行政事业单位医疗</w:t>
      </w:r>
      <w:r>
        <w:rPr>
          <w:rFonts w:hint="eastAsia" w:eastAsia="仿宋_GB2312" w:cs="Times New Roman"/>
          <w:b/>
          <w:sz w:val="32"/>
          <w:szCs w:val="32"/>
        </w:rPr>
        <w:t>（款） 公务员医疗补助（项）:</w:t>
      </w:r>
      <w:r>
        <w:rPr>
          <w:rFonts w:hint="eastAsia" w:ascii="仿宋_GB2312" w:hAnsi="仿宋_GB2312" w:eastAsia="仿宋_GB2312" w:cs="仿宋_GB2312"/>
          <w:sz w:val="32"/>
          <w:szCs w:val="32"/>
          <w:lang w:val="en-US" w:eastAsia="zh-CN"/>
        </w:rPr>
        <w:t>支出决算为</w:t>
      </w:r>
      <w:r>
        <w:rPr>
          <w:rFonts w:hint="default" w:ascii="Times New Roman" w:hAnsi="Times New Roman" w:cs="Times New Roman"/>
          <w:sz w:val="32"/>
          <w:szCs w:val="32"/>
          <w:lang w:val="en-US" w:eastAsia="zh-CN"/>
        </w:rPr>
        <w:t>1.2</w:t>
      </w:r>
      <w:r>
        <w:rPr>
          <w:rFonts w:hint="default" w:ascii="Times New Roman" w:hAnsi="Times New Roman" w:eastAsia="仿宋_GB2312" w:cs="Times New Roman"/>
          <w:sz w:val="32"/>
          <w:szCs w:val="32"/>
          <w:lang w:val="en-US" w:eastAsia="zh-CN"/>
        </w:rPr>
        <w:t>万元，完成预算100%，决算数等于预算数。</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sz w:val="32"/>
          <w:szCs w:val="32"/>
        </w:rPr>
      </w:pPr>
      <w:r>
        <w:rPr>
          <w:rFonts w:hint="eastAsia" w:eastAsia="仿宋_GB2312" w:cs="Times New Roman"/>
          <w:b/>
          <w:sz w:val="32"/>
          <w:szCs w:val="32"/>
          <w:lang w:val="en-US" w:eastAsia="zh-CN"/>
        </w:rPr>
        <w:t>7.</w:t>
      </w:r>
      <w:r>
        <w:rPr>
          <w:rFonts w:hint="eastAsia" w:eastAsia="仿宋_GB2312" w:cs="Times New Roman"/>
          <w:b/>
          <w:sz w:val="32"/>
          <w:szCs w:val="32"/>
        </w:rPr>
        <w:t>住房保障</w:t>
      </w:r>
      <w:r>
        <w:rPr>
          <w:rFonts w:hint="eastAsia" w:eastAsia="仿宋_GB2312" w:cs="Times New Roman"/>
          <w:b/>
          <w:sz w:val="32"/>
          <w:szCs w:val="32"/>
          <w:lang w:eastAsia="zh-CN"/>
        </w:rPr>
        <w:t>支出</w:t>
      </w:r>
      <w:r>
        <w:rPr>
          <w:rFonts w:hint="eastAsia" w:eastAsia="仿宋_GB2312" w:cs="Times New Roman"/>
          <w:b/>
          <w:sz w:val="32"/>
          <w:szCs w:val="32"/>
        </w:rPr>
        <w:t>（类）住房改革支出（款）住房公积金（项）:</w:t>
      </w:r>
      <w:r>
        <w:rPr>
          <w:rStyle w:val="16"/>
          <w:rFonts w:hint="eastAsia" w:ascii="仿宋" w:hAnsi="仿宋" w:eastAsia="仿宋"/>
          <w:b w:val="0"/>
          <w:bCs/>
          <w:color w:val="000000"/>
          <w:sz w:val="32"/>
          <w:szCs w:val="32"/>
        </w:rPr>
        <w:t>支出决算为</w:t>
      </w:r>
      <w:r>
        <w:rPr>
          <w:rStyle w:val="16"/>
          <w:rFonts w:hint="default" w:ascii="Times New Roman" w:hAnsi="Times New Roman" w:eastAsia="仿宋" w:cs="Times New Roman"/>
          <w:b w:val="0"/>
          <w:bCs/>
          <w:color w:val="000000"/>
          <w:sz w:val="32"/>
          <w:szCs w:val="32"/>
          <w:lang w:val="en-US" w:eastAsia="zh-CN"/>
        </w:rPr>
        <w:t>11.93</w:t>
      </w:r>
      <w:r>
        <w:rPr>
          <w:rStyle w:val="16"/>
          <w:rFonts w:hint="default" w:ascii="Times New Roman" w:hAnsi="Times New Roman" w:eastAsia="仿宋" w:cs="Times New Roman"/>
          <w:b w:val="0"/>
          <w:bCs/>
          <w:color w:val="000000"/>
          <w:sz w:val="32"/>
          <w:szCs w:val="32"/>
        </w:rPr>
        <w:t>万元，完成预算100</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，决算数等于预算数。</w:t>
      </w:r>
    </w:p>
    <w:p>
      <w:pPr>
        <w:tabs>
          <w:tab w:val="right" w:pos="8306"/>
        </w:tabs>
        <w:spacing w:line="600" w:lineRule="exact"/>
        <w:ind w:firstLine="640"/>
        <w:outlineLvl w:val="1"/>
        <w:rPr>
          <w:rStyle w:val="27"/>
        </w:rPr>
      </w:pPr>
      <w:bookmarkStart w:id="38" w:name="_Toc15396608"/>
      <w:bookmarkStart w:id="39"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38"/>
      <w:bookmarkEnd w:id="39"/>
      <w:r>
        <w:rPr>
          <w:rStyle w:val="27"/>
          <w:rFonts w:ascii="黑体" w:hAnsi="黑体" w:eastAsia="黑体"/>
          <w:b w:val="0"/>
        </w:rPr>
        <w:tab/>
      </w:r>
    </w:p>
    <w:p>
      <w:pPr>
        <w:spacing w:line="600" w:lineRule="exact"/>
        <w:ind w:firstLine="645"/>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2021年一般公共预算财政拨款基本支出152.7万元，其中：</w:t>
      </w:r>
    </w:p>
    <w:p>
      <w:pPr>
        <w:spacing w:line="600" w:lineRule="exact"/>
        <w:ind w:firstLine="645"/>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人员经费138.98万元，主要包括：基本工资28.45</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、津贴补贴29.9</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、奖金27.88</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、机关事业单位基本养老保险缴费9.44</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、职工基本医疗保险缴费</w:t>
      </w:r>
      <w:r>
        <w:rPr>
          <w:rFonts w:hint="eastAsia" w:eastAsia="仿宋_GB2312" w:cs="Times New Roman"/>
          <w:kern w:val="0"/>
          <w:sz w:val="32"/>
          <w:szCs w:val="32"/>
          <w:lang w:val="en-US" w:eastAsia="zh-CN" w:bidi="ar-SA"/>
        </w:rPr>
        <w:t>6.34万元、</w:t>
      </w:r>
      <w:r>
        <w:rPr>
          <w:rFonts w:hint="default" w:ascii="Times New Roman" w:hAnsi="Times New Roman" w:eastAsia="仿宋_GB2312" w:cs="Times New Roman"/>
          <w:kern w:val="0"/>
          <w:sz w:val="32"/>
          <w:szCs w:val="32"/>
          <w:lang w:val="en-US" w:eastAsia="zh-CN" w:bidi="ar-SA"/>
        </w:rPr>
        <w:t>公务员医疗补助缴费1.2</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、其他工资福利支出5.57</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、生活补助18.27</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、奖励金0.01</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、住房公积金11.93</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w:t>
      </w:r>
    </w:p>
    <w:p>
      <w:pPr>
        <w:spacing w:line="600" w:lineRule="exact"/>
        <w:ind w:firstLine="645"/>
        <w:rPr>
          <w:rFonts w:ascii="仿宋" w:hAnsi="仿宋" w:eastAsia="仿宋"/>
          <w:b/>
          <w:sz w:val="32"/>
          <w:szCs w:val="32"/>
        </w:rPr>
      </w:pPr>
      <w:r>
        <w:rPr>
          <w:rFonts w:hint="default" w:ascii="Times New Roman" w:hAnsi="Times New Roman" w:eastAsia="仿宋_GB2312" w:cs="Times New Roman"/>
          <w:kern w:val="0"/>
          <w:sz w:val="32"/>
          <w:szCs w:val="32"/>
          <w:lang w:val="en-US" w:eastAsia="zh-CN" w:bidi="ar-SA"/>
        </w:rPr>
        <w:t>公用经费13.72万元，主要包括：办公费2.19</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_GB2312" w:cs="Times New Roman"/>
          <w:kern w:val="0"/>
          <w:sz w:val="32"/>
          <w:szCs w:val="32"/>
          <w:lang w:val="en-US" w:eastAsia="zh-CN" w:bidi="ar-SA"/>
        </w:rPr>
        <w:t>、</w:t>
      </w:r>
      <w:r>
        <w:rPr>
          <w:rFonts w:hint="default" w:ascii="Times New Roman" w:hAnsi="Times New Roman" w:eastAsia="仿宋" w:cs="Times New Roman"/>
          <w:sz w:val="32"/>
          <w:szCs w:val="32"/>
        </w:rPr>
        <w:t>水费</w:t>
      </w:r>
      <w:r>
        <w:rPr>
          <w:rFonts w:hint="default" w:ascii="Times New Roman" w:hAnsi="Times New Roman" w:eastAsia="仿宋" w:cs="Times New Roman"/>
          <w:sz w:val="32"/>
          <w:szCs w:val="32"/>
          <w:lang w:val="en-US" w:eastAsia="zh-CN"/>
        </w:rPr>
        <w:t>0.19</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、电费</w:t>
      </w:r>
      <w:r>
        <w:rPr>
          <w:rFonts w:hint="default" w:ascii="Times New Roman" w:hAnsi="Times New Roman" w:eastAsia="仿宋" w:cs="Times New Roman"/>
          <w:sz w:val="32"/>
          <w:szCs w:val="32"/>
          <w:lang w:val="en-US" w:eastAsia="zh-CN"/>
        </w:rPr>
        <w:t>0.3</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、邮电费</w:t>
      </w:r>
      <w:r>
        <w:rPr>
          <w:rFonts w:hint="default" w:ascii="Times New Roman" w:hAnsi="Times New Roman" w:eastAsia="仿宋" w:cs="Times New Roman"/>
          <w:sz w:val="32"/>
          <w:szCs w:val="32"/>
          <w:lang w:val="en-US" w:eastAsia="zh-CN"/>
        </w:rPr>
        <w:t>0.44</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、差旅费</w:t>
      </w:r>
      <w:r>
        <w:rPr>
          <w:rFonts w:hint="default" w:ascii="Times New Roman" w:hAnsi="Times New Roman" w:eastAsia="仿宋" w:cs="Times New Roman"/>
          <w:sz w:val="32"/>
          <w:szCs w:val="32"/>
          <w:lang w:val="en-US" w:eastAsia="zh-CN"/>
        </w:rPr>
        <w:t>1.77</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、维修（护）费</w:t>
      </w:r>
      <w:r>
        <w:rPr>
          <w:rFonts w:hint="default" w:ascii="Times New Roman" w:hAnsi="Times New Roman" w:eastAsia="仿宋" w:cs="Times New Roman"/>
          <w:sz w:val="32"/>
          <w:szCs w:val="32"/>
          <w:lang w:val="en-US" w:eastAsia="zh-CN"/>
        </w:rPr>
        <w:t>0.17</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、公务接待费</w:t>
      </w:r>
      <w:r>
        <w:rPr>
          <w:rFonts w:hint="default" w:ascii="Times New Roman" w:hAnsi="Times New Roman" w:eastAsia="仿宋" w:cs="Times New Roman"/>
          <w:sz w:val="32"/>
          <w:szCs w:val="32"/>
          <w:lang w:val="en-US" w:eastAsia="zh-CN"/>
        </w:rPr>
        <w:t>0.08</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、工会经费</w:t>
      </w:r>
      <w:r>
        <w:rPr>
          <w:rFonts w:hint="default" w:ascii="Times New Roman" w:hAnsi="Times New Roman" w:eastAsia="仿宋" w:cs="Times New Roman"/>
          <w:sz w:val="32"/>
          <w:szCs w:val="32"/>
          <w:lang w:val="en-US" w:eastAsia="zh-CN"/>
        </w:rPr>
        <w:t>1.21</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、福利费</w:t>
      </w:r>
      <w:r>
        <w:rPr>
          <w:rFonts w:hint="default" w:ascii="Times New Roman" w:hAnsi="Times New Roman" w:eastAsia="仿宋" w:cs="Times New Roman"/>
          <w:sz w:val="32"/>
          <w:szCs w:val="32"/>
          <w:lang w:val="en-US" w:eastAsia="zh-CN"/>
        </w:rPr>
        <w:t>1.63</w:t>
      </w:r>
      <w:r>
        <w:rPr>
          <w:rStyle w:val="16"/>
          <w:rFonts w:hint="default" w:ascii="Times New Roman" w:hAnsi="Times New Roman" w:eastAsia="仿宋" w:cs="Times New Roman"/>
          <w:b w:val="0"/>
          <w:bCs/>
          <w:color w:val="000000"/>
          <w:sz w:val="32"/>
          <w:szCs w:val="32"/>
          <w:lang w:val="en-US" w:eastAsia="zh-CN"/>
        </w:rPr>
        <w:t>万元</w:t>
      </w:r>
      <w:r>
        <w:rPr>
          <w:rFonts w:hint="default" w:ascii="Times New Roman" w:hAnsi="Times New Roman" w:eastAsia="仿宋" w:cs="Times New Roman"/>
          <w:sz w:val="32"/>
          <w:szCs w:val="32"/>
        </w:rPr>
        <w:t>、其他交通费</w:t>
      </w:r>
      <w:r>
        <w:rPr>
          <w:rFonts w:hint="default" w:ascii="Times New Roman" w:hAnsi="Times New Roman" w:eastAsia="仿宋" w:cs="Times New Roman"/>
          <w:sz w:val="32"/>
          <w:szCs w:val="32"/>
          <w:lang w:val="en-US" w:eastAsia="zh-CN"/>
        </w:rPr>
        <w:t>5.74</w:t>
      </w:r>
      <w:r>
        <w:rPr>
          <w:rStyle w:val="16"/>
          <w:rFonts w:hint="default" w:ascii="Times New Roman" w:hAnsi="Times New Roman" w:eastAsia="仿宋" w:cs="Times New Roman"/>
          <w:b w:val="0"/>
          <w:bCs/>
          <w:color w:val="000000"/>
          <w:sz w:val="32"/>
          <w:szCs w:val="32"/>
          <w:lang w:val="en-US" w:eastAsia="zh-CN"/>
        </w:rPr>
        <w:t>万元</w:t>
      </w:r>
      <w:r>
        <w:rPr>
          <w:rFonts w:hint="eastAsia" w:ascii="仿宋" w:hAnsi="仿宋" w:eastAsia="仿宋"/>
          <w:sz w:val="32"/>
          <w:szCs w:val="32"/>
        </w:rPr>
        <w:t>。</w:t>
      </w:r>
    </w:p>
    <w:p>
      <w:pPr>
        <w:spacing w:line="600" w:lineRule="exact"/>
        <w:ind w:firstLine="640"/>
        <w:outlineLvl w:val="1"/>
        <w:rPr>
          <w:rStyle w:val="27"/>
          <w:rFonts w:ascii="黑体" w:hAnsi="黑体" w:eastAsia="黑体"/>
          <w:b w:val="0"/>
        </w:rPr>
      </w:pPr>
      <w:bookmarkStart w:id="40" w:name="_Toc15377215"/>
      <w:bookmarkStart w:id="41" w:name="_Toc15396609"/>
      <w:r>
        <w:rPr>
          <w:rFonts w:hint="eastAsia" w:ascii="黑体" w:eastAsia="黑体"/>
          <w:sz w:val="32"/>
          <w:szCs w:val="32"/>
        </w:rPr>
        <w:t>七、</w:t>
      </w:r>
      <w:r>
        <w:rPr>
          <w:rStyle w:val="27"/>
          <w:rFonts w:hint="eastAsia" w:ascii="黑体" w:hAnsi="黑体" w:eastAsia="黑体"/>
        </w:rPr>
        <w:t>“</w:t>
      </w:r>
      <w:r>
        <w:rPr>
          <w:rStyle w:val="27"/>
          <w:rFonts w:hint="eastAsia" w:ascii="黑体" w:hAnsi="黑体" w:eastAsia="黑体"/>
          <w:b w:val="0"/>
        </w:rPr>
        <w:t>三公”经费财政拨款支出决算情况说明</w:t>
      </w:r>
      <w:bookmarkEnd w:id="40"/>
      <w:bookmarkEnd w:id="41"/>
    </w:p>
    <w:p>
      <w:pPr>
        <w:spacing w:line="600" w:lineRule="exact"/>
        <w:ind w:firstLine="640"/>
        <w:outlineLvl w:val="2"/>
        <w:rPr>
          <w:rFonts w:ascii="仿宋" w:hAnsi="仿宋" w:eastAsia="仿宋"/>
          <w:b/>
          <w:sz w:val="32"/>
          <w:szCs w:val="32"/>
        </w:rPr>
      </w:pPr>
      <w:bookmarkStart w:id="42" w:name="_Toc15377216"/>
      <w:r>
        <w:rPr>
          <w:rFonts w:hint="eastAsia" w:ascii="仿宋" w:hAnsi="仿宋" w:eastAsia="仿宋"/>
          <w:b/>
          <w:sz w:val="32"/>
          <w:szCs w:val="32"/>
        </w:rPr>
        <w:t>（一）“三公”经费财政拨款支出决算总体情况说明</w:t>
      </w:r>
      <w:bookmarkEnd w:id="42"/>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Times New Roman"/>
          <w:color w:val="FF0000"/>
          <w:sz w:val="32"/>
          <w:szCs w:val="32"/>
        </w:rPr>
      </w:pPr>
      <w:r>
        <w:rPr>
          <w:rFonts w:hint="default" w:ascii="Times New Roman" w:hAnsi="Times New Roman" w:eastAsia="仿宋" w:cs="Times New Roman"/>
          <w:sz w:val="32"/>
          <w:szCs w:val="32"/>
        </w:rPr>
        <w:t>2021年“三公”经费财政拨款支出决算为</w:t>
      </w:r>
      <w:r>
        <w:rPr>
          <w:rFonts w:hint="default" w:ascii="Times New Roman" w:hAnsi="Times New Roman" w:eastAsia="仿宋" w:cs="Times New Roman"/>
          <w:sz w:val="32"/>
          <w:szCs w:val="32"/>
          <w:lang w:val="en-US" w:eastAsia="zh-CN"/>
        </w:rPr>
        <w:t>0.08</w:t>
      </w:r>
      <w:r>
        <w:rPr>
          <w:rFonts w:hint="default" w:ascii="Times New Roman" w:hAnsi="Times New Roman" w:eastAsia="仿宋" w:cs="Times New Roman"/>
          <w:sz w:val="32"/>
          <w:szCs w:val="32"/>
        </w:rPr>
        <w:t>万元，完成预算</w:t>
      </w:r>
      <w:r>
        <w:rPr>
          <w:rFonts w:hint="default" w:ascii="Times New Roman" w:hAnsi="Times New Roman" w:eastAsia="仿宋" w:cs="Times New Roman"/>
          <w:sz w:val="32"/>
          <w:szCs w:val="32"/>
          <w:lang w:val="en-US" w:eastAsia="zh-CN"/>
        </w:rPr>
        <w:t>62.45</w:t>
      </w:r>
      <w:r>
        <w:rPr>
          <w:rFonts w:hint="default" w:ascii="Times New Roman" w:hAnsi="Times New Roman" w:eastAsia="仿宋" w:cs="Times New Roman"/>
          <w:sz w:val="32"/>
          <w:szCs w:val="32"/>
        </w:rPr>
        <w:t>%，决算数小于预算数的主要原因是</w:t>
      </w:r>
      <w:r>
        <w:rPr>
          <w:rFonts w:hint="default" w:ascii="Times New Roman" w:hAnsi="Times New Roman" w:eastAsia="仿宋" w:cs="Times New Roman"/>
          <w:color w:val="000000"/>
          <w:sz w:val="32"/>
          <w:szCs w:val="32"/>
        </w:rPr>
        <w:t>上级部门考虑到</w:t>
      </w:r>
      <w:r>
        <w:rPr>
          <w:rFonts w:hint="default" w:ascii="Times New Roman" w:hAnsi="Times New Roman" w:eastAsia="仿宋" w:cs="Times New Roman"/>
          <w:color w:val="000000"/>
          <w:sz w:val="32"/>
          <w:szCs w:val="32"/>
          <w:lang w:eastAsia="zh-CN"/>
        </w:rPr>
        <w:t>本单位</w:t>
      </w:r>
      <w:r>
        <w:rPr>
          <w:rFonts w:hint="default" w:ascii="Times New Roman" w:hAnsi="Times New Roman" w:eastAsia="仿宋" w:cs="Times New Roman"/>
          <w:color w:val="000000"/>
          <w:sz w:val="32"/>
          <w:szCs w:val="32"/>
        </w:rPr>
        <w:t>工作经费紧张，自行</w:t>
      </w:r>
      <w:r>
        <w:rPr>
          <w:rFonts w:hint="default" w:ascii="Times New Roman" w:hAnsi="Times New Roman" w:eastAsia="仿宋" w:cs="Times New Roman"/>
          <w:color w:val="000000"/>
          <w:sz w:val="32"/>
          <w:szCs w:val="32"/>
          <w:lang w:eastAsia="zh-CN"/>
        </w:rPr>
        <w:t>解决用</w:t>
      </w:r>
      <w:r>
        <w:rPr>
          <w:rFonts w:hint="default" w:ascii="Times New Roman" w:hAnsi="Times New Roman" w:eastAsia="仿宋" w:cs="Times New Roman"/>
          <w:color w:val="000000"/>
          <w:sz w:val="32"/>
          <w:szCs w:val="32"/>
        </w:rPr>
        <w:t>餐</w:t>
      </w:r>
      <w:r>
        <w:rPr>
          <w:rFonts w:hint="default" w:ascii="Times New Roman" w:hAnsi="Times New Roman" w:eastAsia="仿宋" w:cs="Times New Roman"/>
          <w:color w:val="000000"/>
          <w:sz w:val="32"/>
          <w:szCs w:val="32"/>
          <w:lang w:eastAsia="zh-CN"/>
        </w:rPr>
        <w:t>，</w:t>
      </w:r>
      <w:r>
        <w:rPr>
          <w:rFonts w:hint="default" w:ascii="Times New Roman" w:hAnsi="Times New Roman" w:eastAsia="仿宋" w:cs="Times New Roman"/>
          <w:color w:val="000000"/>
          <w:sz w:val="32"/>
          <w:szCs w:val="32"/>
          <w:lang w:val="en-US" w:eastAsia="zh-CN"/>
        </w:rPr>
        <w:t>2021年</w:t>
      </w:r>
      <w:r>
        <w:rPr>
          <w:rFonts w:hint="default" w:ascii="Times New Roman" w:hAnsi="Times New Roman" w:eastAsia="仿宋" w:cs="Times New Roman"/>
          <w:color w:val="000000"/>
          <w:sz w:val="32"/>
          <w:szCs w:val="32"/>
        </w:rPr>
        <w:t>接待批次为2批，接待人数为10人,接待事由一是市支队稽查科督导我单位新冠肺炎防控相关工作，中午安排工作餐；二是市支队公共卫生科检查我县安全套的推广情况，中午安排工作餐。</w:t>
      </w:r>
    </w:p>
    <w:p>
      <w:pPr>
        <w:spacing w:line="600" w:lineRule="exact"/>
        <w:ind w:firstLine="640"/>
        <w:outlineLvl w:val="2"/>
        <w:rPr>
          <w:rFonts w:ascii="仿宋" w:hAnsi="仿宋" w:eastAsia="仿宋"/>
          <w:b/>
          <w:sz w:val="32"/>
          <w:szCs w:val="32"/>
        </w:rPr>
      </w:pPr>
      <w:bookmarkStart w:id="43" w:name="_Toc15377217"/>
      <w:r>
        <w:rPr>
          <w:rFonts w:hint="eastAsia" w:ascii="仿宋" w:hAnsi="仿宋" w:eastAsia="仿宋"/>
          <w:b/>
          <w:sz w:val="32"/>
          <w:szCs w:val="32"/>
        </w:rPr>
        <w:t>（二）“三公”经费财政拨款支出决算具体情况说明</w:t>
      </w:r>
      <w:bookmarkEnd w:id="43"/>
    </w:p>
    <w:p>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2021年“三公”经费财政拨款支出决算中，因公出国（境）费支出决算</w:t>
      </w:r>
      <w:r>
        <w:rPr>
          <w:rFonts w:hint="eastAsia"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eastAsia"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%；公务用车购置及运行维护费支出决算</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%；公务接待费支出决算</w:t>
      </w:r>
      <w:r>
        <w:rPr>
          <w:rFonts w:hint="default" w:ascii="Times New Roman" w:hAnsi="Times New Roman" w:eastAsia="仿宋" w:cs="Times New Roman"/>
          <w:sz w:val="32"/>
          <w:szCs w:val="32"/>
          <w:lang w:val="en-US" w:eastAsia="zh-CN"/>
        </w:rPr>
        <w:t>0</w:t>
      </w:r>
      <w:r>
        <w:rPr>
          <w:rFonts w:hint="eastAsia" w:ascii="Times New Roman" w:hAnsi="Times New Roman" w:eastAsia="仿宋" w:cs="Times New Roman"/>
          <w:sz w:val="32"/>
          <w:szCs w:val="32"/>
          <w:lang w:val="en-US" w:eastAsia="zh-CN"/>
        </w:rPr>
        <w:t>.08</w:t>
      </w:r>
      <w:r>
        <w:rPr>
          <w:rFonts w:hint="default" w:ascii="Times New Roman" w:hAnsi="Times New Roman" w:eastAsia="仿宋" w:cs="Times New Roman"/>
          <w:sz w:val="32"/>
          <w:szCs w:val="32"/>
        </w:rPr>
        <w:t>万元，占</w:t>
      </w:r>
      <w:r>
        <w:rPr>
          <w:rFonts w:hint="eastAsia"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%。具体情况如下：</w:t>
      </w:r>
    </w:p>
    <w:p>
      <w:pPr>
        <w:pStyle w:val="2"/>
        <w:rPr>
          <w:rFonts w:ascii="仿宋" w:hAnsi="仿宋" w:eastAsia="仿宋"/>
          <w:sz w:val="32"/>
          <w:szCs w:val="32"/>
        </w:rPr>
      </w:pPr>
      <w:r>
        <w:drawing>
          <wp:anchor distT="0" distB="0" distL="114300" distR="114300" simplePos="0" relativeHeight="251664384" behindDoc="0" locked="0" layoutInCell="1" allowOverlap="1">
            <wp:simplePos x="0" y="0"/>
            <wp:positionH relativeFrom="column">
              <wp:posOffset>240665</wp:posOffset>
            </wp:positionH>
            <wp:positionV relativeFrom="paragraph">
              <wp:posOffset>50800</wp:posOffset>
            </wp:positionV>
            <wp:extent cx="4582160" cy="2948940"/>
            <wp:effectExtent l="4445" t="4445" r="23495" b="18415"/>
            <wp:wrapTopAndBottom/>
            <wp:docPr id="103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eastAsia"/>
          <w:lang w:val="en-US" w:eastAsia="zh-CN"/>
        </w:rPr>
        <w:t xml:space="preserve">  </w:t>
      </w:r>
      <w:r>
        <w:rPr>
          <w:rFonts w:hint="eastAsia" w:ascii="仿宋" w:hAnsi="仿宋" w:eastAsia="仿宋"/>
          <w:sz w:val="32"/>
          <w:szCs w:val="32"/>
        </w:rPr>
        <w:t>（图7：“三公”经费财政拨款支出结构）（饼状图）</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w:t>
      </w:r>
      <w:r>
        <w:rPr>
          <w:rStyle w:val="16"/>
          <w:rFonts w:hint="eastAsia" w:ascii="Times New Roman" w:hAnsi="Times New Roman" w:eastAsia="仿宋" w:cs="Times New Roman"/>
          <w:b w:val="0"/>
          <w:bCs/>
          <w:color w:val="000000"/>
          <w:sz w:val="32"/>
          <w:szCs w:val="32"/>
          <w:lang w:val="en-US" w:eastAsia="zh-CN"/>
        </w:rPr>
        <w:t>因公出国（境）支出决算和20</w:t>
      </w:r>
      <w:r>
        <w:rPr>
          <w:rStyle w:val="16"/>
          <w:rFonts w:hint="eastAsia" w:eastAsia="仿宋" w:cs="Times New Roman"/>
          <w:b w:val="0"/>
          <w:bCs/>
          <w:color w:val="000000"/>
          <w:sz w:val="32"/>
          <w:szCs w:val="32"/>
          <w:lang w:val="en-US" w:eastAsia="zh-CN"/>
        </w:rPr>
        <w:t>20</w:t>
      </w:r>
      <w:r>
        <w:rPr>
          <w:rStyle w:val="16"/>
          <w:rFonts w:hint="eastAsia" w:ascii="Times New Roman" w:hAnsi="Times New Roman" w:eastAsia="仿宋" w:cs="Times New Roman"/>
          <w:b w:val="0"/>
          <w:bCs/>
          <w:color w:val="000000"/>
          <w:sz w:val="32"/>
          <w:szCs w:val="32"/>
          <w:lang w:val="en-US" w:eastAsia="zh-CN"/>
        </w:rPr>
        <w:t>年持平。</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Style w:val="16"/>
          <w:rFonts w:hint="eastAsia" w:ascii="Times New Roman" w:hAnsi="Times New Roman" w:eastAsia="仿宋" w:cs="Times New Roman"/>
          <w:b w:val="0"/>
          <w:bCs/>
          <w:color w:val="000000"/>
          <w:sz w:val="32"/>
          <w:szCs w:val="32"/>
          <w:lang w:val="en-US" w:eastAsia="zh-CN"/>
        </w:rPr>
        <w:t>公务用车购置及运行维护费支出决算和20</w:t>
      </w:r>
      <w:r>
        <w:rPr>
          <w:rStyle w:val="16"/>
          <w:rFonts w:hint="eastAsia" w:eastAsia="仿宋" w:cs="Times New Roman"/>
          <w:b w:val="0"/>
          <w:bCs/>
          <w:color w:val="000000"/>
          <w:sz w:val="32"/>
          <w:szCs w:val="32"/>
          <w:lang w:val="en-US" w:eastAsia="zh-CN"/>
        </w:rPr>
        <w:t>20</w:t>
      </w:r>
      <w:r>
        <w:rPr>
          <w:rStyle w:val="16"/>
          <w:rFonts w:hint="eastAsia" w:ascii="Times New Roman" w:hAnsi="Times New Roman" w:eastAsia="仿宋" w:cs="Times New Roman"/>
          <w:b w:val="0"/>
          <w:bCs/>
          <w:color w:val="000000"/>
          <w:sz w:val="32"/>
          <w:szCs w:val="32"/>
          <w:lang w:val="en-US" w:eastAsia="zh-CN"/>
        </w:rPr>
        <w:t>年持平。</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0</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hint="eastAsia"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0.08</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62.45</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0.03</w:t>
      </w:r>
      <w:r>
        <w:rPr>
          <w:rFonts w:hint="eastAsia" w:ascii="仿宋_GB2312" w:eastAsia="仿宋_GB2312"/>
          <w:sz w:val="32"/>
          <w:szCs w:val="32"/>
        </w:rPr>
        <w:t>万元，增长</w:t>
      </w:r>
      <w:r>
        <w:rPr>
          <w:rFonts w:hint="eastAsia" w:ascii="仿宋_GB2312" w:eastAsia="仿宋_GB2312"/>
          <w:sz w:val="32"/>
          <w:szCs w:val="32"/>
          <w:lang w:val="en-US" w:eastAsia="zh-CN"/>
        </w:rPr>
        <w:t>73.72</w:t>
      </w:r>
      <w:r>
        <w:rPr>
          <w:rFonts w:ascii="仿宋_GB2312" w:eastAsia="仿宋_GB2312"/>
          <w:sz w:val="32"/>
          <w:szCs w:val="32"/>
        </w:rPr>
        <w:t>%</w:t>
      </w:r>
      <w:r>
        <w:rPr>
          <w:rFonts w:hint="eastAsia" w:ascii="仿宋_GB2312" w:eastAsia="仿宋_GB2312"/>
          <w:sz w:val="32"/>
          <w:szCs w:val="32"/>
        </w:rPr>
        <w:t>。主要原因是</w:t>
      </w:r>
      <w:r>
        <w:rPr>
          <w:rFonts w:hint="default" w:ascii="Times New Roman" w:hAnsi="Times New Roman" w:eastAsia="仿宋" w:cs="Times New Roman"/>
          <w:color w:val="000000"/>
          <w:sz w:val="32"/>
          <w:szCs w:val="32"/>
          <w:lang w:val="en-US" w:eastAsia="zh-CN"/>
        </w:rPr>
        <w:t>2021年</w:t>
      </w:r>
      <w:r>
        <w:rPr>
          <w:rFonts w:hint="default" w:ascii="Times New Roman" w:hAnsi="Times New Roman" w:eastAsia="仿宋" w:cs="Times New Roman"/>
          <w:color w:val="000000"/>
          <w:sz w:val="32"/>
          <w:szCs w:val="32"/>
        </w:rPr>
        <w:t>接待批次为2批，</w:t>
      </w:r>
      <w:r>
        <w:rPr>
          <w:rFonts w:hint="eastAsia" w:ascii="仿宋_GB2312" w:eastAsia="仿宋_GB2312"/>
          <w:sz w:val="32"/>
          <w:szCs w:val="32"/>
          <w:lang w:val="en-US" w:eastAsia="zh-CN"/>
        </w:rPr>
        <w:t>2020年接待批次为1批</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default" w:ascii="Times New Roman" w:hAnsi="Times New Roman" w:eastAsia="仿宋" w:cs="Times New Roman"/>
          <w:sz w:val="32"/>
          <w:szCs w:val="32"/>
          <w:lang w:val="en-US" w:eastAsia="zh-CN"/>
        </w:rPr>
        <w:t>0.08</w:t>
      </w:r>
      <w:r>
        <w:rPr>
          <w:rFonts w:hint="default" w:ascii="Times New Roman" w:hAnsi="Times New Roman" w:eastAsia="仿宋_GB2312" w:cs="Times New Roman"/>
          <w:sz w:val="32"/>
          <w:szCs w:val="32"/>
        </w:rPr>
        <w:t>万元，主要用于执行公务开展业务活动开支的用餐费。国内公务接待</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0.08</w:t>
      </w:r>
      <w:r>
        <w:rPr>
          <w:rFonts w:hint="default" w:ascii="Times New Roman" w:hAnsi="Times New Roman" w:eastAsia="仿宋_GB2312" w:cs="Times New Roman"/>
          <w:sz w:val="32"/>
          <w:szCs w:val="32"/>
        </w:rPr>
        <w:t>万元，具体内容包括：</w:t>
      </w:r>
      <w:r>
        <w:rPr>
          <w:rFonts w:hint="default" w:ascii="Times New Roman" w:hAnsi="Times New Roman" w:eastAsia="仿宋" w:cs="Times New Roman"/>
          <w:color w:val="000000"/>
          <w:sz w:val="32"/>
          <w:szCs w:val="32"/>
        </w:rPr>
        <w:t>一是市支队稽查科督导我单位新冠肺炎防控相关工作，中午安排工作餐</w:t>
      </w:r>
      <w:r>
        <w:rPr>
          <w:rFonts w:hint="default" w:ascii="Times New Roman" w:hAnsi="Times New Roman" w:eastAsia="仿宋" w:cs="Times New Roman"/>
          <w:color w:val="000000"/>
          <w:sz w:val="32"/>
          <w:szCs w:val="32"/>
          <w:lang w:eastAsia="zh-CN"/>
        </w:rPr>
        <w:t>，</w:t>
      </w:r>
      <w:r>
        <w:rPr>
          <w:rFonts w:hint="default" w:ascii="Times New Roman" w:hAnsi="Times New Roman" w:eastAsia="仿宋" w:cs="Times New Roman"/>
          <w:color w:val="000000"/>
          <w:sz w:val="32"/>
          <w:szCs w:val="32"/>
          <w:lang w:val="en-US" w:eastAsia="zh-CN"/>
        </w:rPr>
        <w:t>金额为0.04万元</w:t>
      </w:r>
      <w:r>
        <w:rPr>
          <w:rFonts w:hint="default" w:ascii="Times New Roman" w:hAnsi="Times New Roman" w:eastAsia="仿宋" w:cs="Times New Roman"/>
          <w:color w:val="000000"/>
          <w:sz w:val="32"/>
          <w:szCs w:val="32"/>
        </w:rPr>
        <w:t>；二是市支队公共卫生科检查我县安全套的推广情况，中午安排工作餐</w:t>
      </w:r>
      <w:r>
        <w:rPr>
          <w:rFonts w:hint="default" w:ascii="Times New Roman" w:hAnsi="Times New Roman" w:eastAsia="仿宋" w:cs="Times New Roman"/>
          <w:color w:val="000000"/>
          <w:sz w:val="32"/>
          <w:szCs w:val="32"/>
          <w:lang w:eastAsia="zh-CN"/>
        </w:rPr>
        <w:t>，金额为</w:t>
      </w:r>
      <w:r>
        <w:rPr>
          <w:rFonts w:hint="eastAsia" w:eastAsia="仿宋" w:cs="Times New Roman"/>
          <w:color w:val="000000"/>
          <w:sz w:val="32"/>
          <w:szCs w:val="32"/>
          <w:lang w:val="en-US" w:eastAsia="zh-CN"/>
        </w:rPr>
        <w:t>0.04万元</w:t>
      </w:r>
      <w:r>
        <w:rPr>
          <w:rFonts w:hint="eastAsia" w:ascii="仿宋_GB2312" w:eastAsia="仿宋_GB2312"/>
          <w:sz w:val="32"/>
          <w:szCs w:val="32"/>
        </w:rPr>
        <w:t>。</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bookmarkStart w:id="44" w:name="_Toc15396610"/>
      <w:bookmarkStart w:id="45" w:name="_Toc15377218"/>
    </w:p>
    <w:p>
      <w:pPr>
        <w:spacing w:line="600" w:lineRule="exact"/>
        <w:ind w:firstLine="640"/>
        <w:outlineLvl w:val="1"/>
        <w:rPr>
          <w:rStyle w:val="27"/>
          <w:rFonts w:ascii="黑体" w:hAnsi="黑体" w:eastAsia="黑体"/>
        </w:rPr>
      </w:pPr>
      <w:r>
        <w:rPr>
          <w:rFonts w:hint="eastAsia" w:ascii="黑体" w:eastAsia="黑体"/>
          <w:sz w:val="32"/>
          <w:szCs w:val="32"/>
        </w:rPr>
        <w:t>八、</w:t>
      </w:r>
      <w:r>
        <w:rPr>
          <w:rStyle w:val="27"/>
          <w:rFonts w:hint="eastAsia" w:ascii="黑体" w:hAnsi="黑体" w:eastAsia="黑体"/>
          <w:b w:val="0"/>
        </w:rPr>
        <w:t>政府性基金预算支出决算情况说明</w:t>
      </w:r>
      <w:bookmarkEnd w:id="44"/>
      <w:bookmarkEnd w:id="45"/>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2"/>
        </w:numPr>
        <w:spacing w:line="600" w:lineRule="exact"/>
        <w:ind w:firstLine="640"/>
        <w:outlineLvl w:val="1"/>
        <w:rPr>
          <w:rStyle w:val="27"/>
          <w:rFonts w:ascii="黑体" w:hAnsi="黑体" w:eastAsia="黑体"/>
          <w:b w:val="0"/>
        </w:rPr>
      </w:pPr>
      <w:bookmarkStart w:id="46" w:name="_Toc15377219"/>
      <w:bookmarkStart w:id="47" w:name="_Toc15396611"/>
      <w:r>
        <w:rPr>
          <w:rStyle w:val="27"/>
          <w:rFonts w:hint="eastAsia" w:ascii="黑体" w:hAnsi="黑体" w:eastAsia="黑体"/>
          <w:b w:val="0"/>
        </w:rPr>
        <w:t>国有资本经营预算支出决算情况说明</w:t>
      </w:r>
      <w:bookmarkEnd w:id="46"/>
      <w:bookmarkEnd w:id="47"/>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2"/>
        </w:numPr>
        <w:spacing w:line="600" w:lineRule="exact"/>
        <w:ind w:firstLine="640"/>
        <w:outlineLvl w:val="1"/>
        <w:rPr>
          <w:rStyle w:val="27"/>
          <w:rFonts w:ascii="黑体" w:hAnsi="黑体" w:eastAsia="黑体"/>
          <w:b w:val="0"/>
        </w:rPr>
      </w:pPr>
      <w:bookmarkStart w:id="48" w:name="_Toc15396612"/>
      <w:bookmarkStart w:id="49" w:name="_Toc15377221"/>
      <w:r>
        <w:rPr>
          <w:rStyle w:val="27"/>
          <w:rFonts w:hint="eastAsia" w:ascii="黑体" w:hAnsi="黑体" w:eastAsia="黑体"/>
          <w:b w:val="0"/>
        </w:rPr>
        <w:t>其他重要事项的情况说明</w:t>
      </w:r>
      <w:bookmarkEnd w:id="48"/>
      <w:bookmarkEnd w:id="49"/>
    </w:p>
    <w:p>
      <w:pPr>
        <w:spacing w:line="600" w:lineRule="exact"/>
        <w:ind w:firstLine="643" w:firstLineChars="200"/>
        <w:outlineLvl w:val="2"/>
        <w:rPr>
          <w:rFonts w:ascii="仿宋" w:hAnsi="仿宋" w:eastAsia="仿宋"/>
          <w:sz w:val="32"/>
          <w:szCs w:val="32"/>
        </w:rPr>
      </w:pPr>
      <w:bookmarkStart w:id="50" w:name="_Toc15377222"/>
      <w:r>
        <w:rPr>
          <w:rFonts w:hint="eastAsia" w:ascii="仿宋" w:hAnsi="仿宋" w:eastAsia="仿宋"/>
          <w:b/>
          <w:sz w:val="32"/>
          <w:szCs w:val="32"/>
        </w:rPr>
        <w:t>（一）机关运行经费支出情况</w:t>
      </w:r>
      <w:bookmarkEnd w:id="50"/>
    </w:p>
    <w:p>
      <w:pPr>
        <w:spacing w:line="600" w:lineRule="exact"/>
        <w:ind w:firstLine="640" w:firstLineChars="200"/>
        <w:rPr>
          <w:rFonts w:hint="default" w:ascii="仿宋_GB2312" w:eastAsia="仿宋_GB2312"/>
          <w:sz w:val="32"/>
          <w:szCs w:val="32"/>
          <w:lang w:val="en-US" w:eastAsia="zh-CN"/>
        </w:rPr>
      </w:pPr>
      <w:r>
        <w:rPr>
          <w:rFonts w:ascii="仿宋_GB2312" w:eastAsia="仿宋_GB2312"/>
          <w:sz w:val="32"/>
          <w:szCs w:val="32"/>
        </w:rPr>
        <w:t>20</w:t>
      </w:r>
      <w:r>
        <w:rPr>
          <w:rFonts w:hint="eastAsia" w:ascii="仿宋_GB2312" w:eastAsia="仿宋_GB2312"/>
          <w:sz w:val="32"/>
          <w:szCs w:val="32"/>
        </w:rPr>
        <w:t>21年，</w:t>
      </w:r>
      <w:r>
        <w:rPr>
          <w:rStyle w:val="16"/>
          <w:rFonts w:hint="eastAsia" w:ascii="Times New Roman" w:hAnsi="Times New Roman" w:eastAsia="仿宋" w:cs="Times New Roman"/>
          <w:b w:val="0"/>
          <w:bCs/>
          <w:color w:val="000000"/>
          <w:sz w:val="32"/>
          <w:szCs w:val="32"/>
          <w:lang w:val="en-US" w:eastAsia="zh-CN"/>
        </w:rPr>
        <w:t>盐边县卫生和计划生育监督执法大队</w:t>
      </w:r>
      <w:r>
        <w:rPr>
          <w:rFonts w:hint="eastAsia" w:ascii="仿宋_GB2312" w:eastAsia="仿宋_GB2312"/>
          <w:sz w:val="32"/>
          <w:szCs w:val="32"/>
        </w:rPr>
        <w:t>机关运行经费支出</w:t>
      </w:r>
      <w:r>
        <w:rPr>
          <w:rFonts w:hint="eastAsia" w:ascii="仿宋_GB2312" w:eastAsia="仿宋_GB2312"/>
          <w:sz w:val="32"/>
          <w:szCs w:val="32"/>
          <w:lang w:val="en-US" w:eastAsia="zh-CN"/>
        </w:rPr>
        <w:t>13.72</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20年减少</w:t>
      </w:r>
      <w:r>
        <w:rPr>
          <w:rFonts w:hint="eastAsia" w:ascii="仿宋_GB2312" w:eastAsia="仿宋_GB2312"/>
          <w:sz w:val="32"/>
          <w:szCs w:val="32"/>
          <w:lang w:val="en-US" w:eastAsia="zh-CN"/>
        </w:rPr>
        <w:t>0.06</w:t>
      </w:r>
      <w:r>
        <w:rPr>
          <w:rFonts w:hint="eastAsia" w:ascii="仿宋_GB2312" w:eastAsia="仿宋_GB2312"/>
          <w:sz w:val="32"/>
          <w:szCs w:val="32"/>
        </w:rPr>
        <w:t>万元，下降</w:t>
      </w:r>
      <w:r>
        <w:rPr>
          <w:rFonts w:hint="eastAsia" w:ascii="仿宋_GB2312" w:eastAsia="仿宋_GB2312"/>
          <w:sz w:val="32"/>
          <w:szCs w:val="32"/>
          <w:lang w:val="en-US" w:eastAsia="zh-CN"/>
        </w:rPr>
        <w:t>0.44</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2020年度一职工退休。</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1" w:name="_Toc15377223"/>
      <w:r>
        <w:rPr>
          <w:rFonts w:hint="eastAsia" w:ascii="仿宋" w:hAnsi="仿宋" w:eastAsia="仿宋"/>
          <w:b/>
          <w:sz w:val="32"/>
          <w:szCs w:val="32"/>
        </w:rPr>
        <w:t>（二）政府采购支出情况</w:t>
      </w:r>
      <w:bookmarkEnd w:id="51"/>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Style w:val="16"/>
          <w:rFonts w:hint="eastAsia" w:ascii="Times New Roman" w:hAnsi="Times New Roman" w:eastAsia="仿宋" w:cs="Times New Roman"/>
          <w:b w:val="0"/>
          <w:bCs/>
          <w:color w:val="000000"/>
          <w:sz w:val="32"/>
          <w:szCs w:val="32"/>
          <w:lang w:val="en-US" w:eastAsia="zh-CN"/>
        </w:rPr>
        <w:t>盐边县卫生和计划生育监督执法大队</w:t>
      </w:r>
      <w:r>
        <w:rPr>
          <w:rFonts w:hint="eastAsia" w:ascii="仿宋_GB2312" w:eastAsia="仿宋_GB2312"/>
          <w:sz w:val="32"/>
          <w:szCs w:val="32"/>
        </w:rPr>
        <w:t>政府采购支出总额</w:t>
      </w:r>
      <w:r>
        <w:rPr>
          <w:rFonts w:hint="eastAsia" w:ascii="仿宋_GB2312" w:eastAsia="仿宋_GB2312"/>
          <w:sz w:val="32"/>
          <w:szCs w:val="32"/>
          <w:lang w:val="en-US" w:eastAsia="zh-CN"/>
        </w:rPr>
        <w:t>2.29</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2.29</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万元。主要用于购置办公家俱及电脑等办公设施。授予中小企业合同金额</w:t>
      </w:r>
      <w:r>
        <w:rPr>
          <w:rFonts w:hint="eastAsia" w:ascii="仿宋_GB2312" w:eastAsia="仿宋_GB2312"/>
          <w:sz w:val="32"/>
          <w:szCs w:val="32"/>
          <w:lang w:val="en-US" w:eastAsia="zh-CN"/>
        </w:rPr>
        <w:t>2.29</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2.29</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2" w:name="_Toc15377224"/>
      <w:r>
        <w:rPr>
          <w:rFonts w:hint="eastAsia" w:ascii="仿宋" w:hAnsi="仿宋" w:eastAsia="仿宋"/>
          <w:b/>
          <w:sz w:val="32"/>
          <w:szCs w:val="32"/>
        </w:rPr>
        <w:t>（三）国有资产占有使用情况</w:t>
      </w:r>
      <w:bookmarkEnd w:id="52"/>
    </w:p>
    <w:p>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Style w:val="16"/>
          <w:rFonts w:hint="eastAsia" w:ascii="Times New Roman" w:hAnsi="Times New Roman" w:eastAsia="仿宋" w:cs="Times New Roman"/>
          <w:b w:val="0"/>
          <w:bCs/>
          <w:color w:val="000000"/>
          <w:sz w:val="32"/>
          <w:szCs w:val="32"/>
          <w:lang w:val="en-US" w:eastAsia="zh-CN"/>
        </w:rPr>
        <w:t>盐边县卫生和计划生育监督执法大队</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val="en-US" w:eastAsia="zh-CN"/>
        </w:rPr>
        <w:t>基本公共卫生服务1</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个项目开展了绩效自评，2021年特定目标类部门预算项目绩效目标自评表见附件（第四部分）。</w:t>
      </w: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6"/>
          <w:rFonts w:ascii="黑体" w:hAnsi="黑体" w:eastAsia="黑体"/>
          <w:b w:val="0"/>
        </w:rPr>
      </w:pPr>
      <w:bookmarkStart w:id="53" w:name="_Toc15396613"/>
      <w:bookmarkStart w:id="54" w:name="_Toc15377225"/>
      <w:r>
        <w:rPr>
          <w:rFonts w:hint="eastAsia" w:ascii="黑体" w:hAnsi="黑体" w:eastAsia="黑体"/>
          <w:sz w:val="44"/>
          <w:szCs w:val="44"/>
        </w:rPr>
        <w:t>名</w:t>
      </w:r>
      <w:r>
        <w:rPr>
          <w:rStyle w:val="26"/>
          <w:rFonts w:hint="eastAsia" w:ascii="黑体" w:hAnsi="黑体" w:eastAsia="黑体"/>
          <w:b w:val="0"/>
        </w:rPr>
        <w:t>词解释</w:t>
      </w:r>
      <w:bookmarkEnd w:id="53"/>
      <w:bookmarkEnd w:id="54"/>
    </w:p>
    <w:p>
      <w:pPr>
        <w:spacing w:line="600" w:lineRule="exact"/>
        <w:jc w:val="left"/>
        <w:rPr>
          <w:rFonts w:ascii="宋体"/>
          <w:b/>
          <w:sz w:val="44"/>
          <w:szCs w:val="44"/>
        </w:rPr>
      </w:pPr>
    </w:p>
    <w:p>
      <w:pPr>
        <w:spacing w:line="560" w:lineRule="exact"/>
        <w:ind w:firstLine="643" w:firstLineChars="200"/>
        <w:rPr>
          <w:rFonts w:eastAsia="仿宋_GB2312"/>
          <w:sz w:val="32"/>
          <w:szCs w:val="32"/>
        </w:rPr>
      </w:pPr>
      <w:r>
        <w:rPr>
          <w:rFonts w:eastAsia="仿宋_GB2312"/>
          <w:b/>
          <w:sz w:val="32"/>
          <w:szCs w:val="32"/>
        </w:rPr>
        <w:t>1.财政拨款收入：</w:t>
      </w:r>
      <w:r>
        <w:rPr>
          <w:rFonts w:eastAsia="仿宋_GB2312"/>
          <w:sz w:val="32"/>
          <w:szCs w:val="32"/>
        </w:rPr>
        <w:t>指单位从同级财政部门取得的财政预算资金。</w:t>
      </w:r>
    </w:p>
    <w:p>
      <w:pPr>
        <w:spacing w:line="560" w:lineRule="exact"/>
        <w:ind w:firstLine="643" w:firstLineChars="200"/>
        <w:rPr>
          <w:rFonts w:eastAsia="仿宋_GB2312"/>
          <w:sz w:val="32"/>
          <w:szCs w:val="32"/>
        </w:rPr>
      </w:pPr>
      <w:r>
        <w:rPr>
          <w:rFonts w:hint="eastAsia" w:eastAsia="仿宋_GB2312"/>
          <w:b/>
          <w:sz w:val="32"/>
          <w:szCs w:val="32"/>
          <w:lang w:val="en-US" w:eastAsia="zh-CN"/>
        </w:rPr>
        <w:t>2</w:t>
      </w:r>
      <w:r>
        <w:rPr>
          <w:rFonts w:eastAsia="仿宋_GB2312"/>
          <w:b/>
          <w:sz w:val="32"/>
          <w:szCs w:val="32"/>
        </w:rPr>
        <w:t>.年初结转和结余：</w:t>
      </w:r>
      <w:r>
        <w:rPr>
          <w:rFonts w:eastAsia="仿宋_GB2312"/>
          <w:sz w:val="32"/>
          <w:szCs w:val="32"/>
        </w:rPr>
        <w:t xml:space="preserve">指以前年度尚未完成、结转到本年按有关规定继续使用的资金。 </w:t>
      </w:r>
    </w:p>
    <w:p>
      <w:pPr>
        <w:ind w:firstLine="643" w:firstLineChars="200"/>
        <w:rPr>
          <w:rFonts w:ascii="仿宋_GB2312" w:eastAsia="仿宋_GB2312"/>
          <w:color w:val="auto"/>
          <w:sz w:val="32"/>
          <w:szCs w:val="32"/>
        </w:rPr>
      </w:pPr>
      <w:r>
        <w:rPr>
          <w:rFonts w:hint="eastAsia" w:eastAsia="仿宋_GB2312" w:cs="Times New Roman"/>
          <w:b/>
          <w:color w:val="auto"/>
          <w:sz w:val="32"/>
          <w:szCs w:val="32"/>
          <w:lang w:val="en-US" w:eastAsia="zh-CN"/>
        </w:rPr>
        <w:t>3</w:t>
      </w:r>
      <w:r>
        <w:rPr>
          <w:rFonts w:eastAsia="仿宋_GB2312" w:cs="Times New Roman"/>
          <w:b/>
          <w:color w:val="auto"/>
          <w:sz w:val="32"/>
          <w:szCs w:val="32"/>
        </w:rPr>
        <w:t>.</w:t>
      </w:r>
      <w:r>
        <w:rPr>
          <w:rFonts w:hint="eastAsia" w:eastAsia="仿宋_GB2312" w:cs="Times New Roman"/>
          <w:b/>
          <w:color w:val="auto"/>
          <w:sz w:val="32"/>
          <w:szCs w:val="32"/>
        </w:rPr>
        <w:t>社会保障和就业</w:t>
      </w:r>
      <w:r>
        <w:rPr>
          <w:rFonts w:hint="eastAsia" w:eastAsia="仿宋_GB2312" w:cs="Times New Roman"/>
          <w:b/>
          <w:color w:val="auto"/>
          <w:sz w:val="32"/>
          <w:szCs w:val="32"/>
          <w:lang w:eastAsia="zh-CN"/>
        </w:rPr>
        <w:t>支出</w:t>
      </w:r>
      <w:r>
        <w:rPr>
          <w:rFonts w:hint="eastAsia" w:eastAsia="仿宋_GB2312" w:cs="Times New Roman"/>
          <w:b/>
          <w:color w:val="auto"/>
          <w:sz w:val="32"/>
          <w:szCs w:val="32"/>
        </w:rPr>
        <w:t>（类）</w:t>
      </w:r>
      <w:r>
        <w:rPr>
          <w:rFonts w:hint="eastAsia" w:eastAsia="仿宋_GB2312" w:cs="Times New Roman"/>
          <w:b/>
          <w:color w:val="auto"/>
          <w:sz w:val="32"/>
          <w:szCs w:val="32"/>
          <w:lang w:eastAsia="zh-CN"/>
        </w:rPr>
        <w:t>行政事业单位养老支出</w:t>
      </w:r>
      <w:r>
        <w:rPr>
          <w:rFonts w:hint="eastAsia" w:eastAsia="仿宋_GB2312" w:cs="Times New Roman"/>
          <w:b/>
          <w:color w:val="auto"/>
          <w:sz w:val="32"/>
          <w:szCs w:val="32"/>
        </w:rPr>
        <w:t>（款）</w:t>
      </w:r>
      <w:r>
        <w:rPr>
          <w:rFonts w:hint="eastAsia" w:eastAsia="仿宋_GB2312" w:cs="Times New Roman"/>
          <w:b/>
          <w:color w:val="auto"/>
          <w:sz w:val="32"/>
          <w:szCs w:val="32"/>
          <w:lang w:eastAsia="zh-CN"/>
        </w:rPr>
        <w:t>行政单位离退休</w:t>
      </w:r>
      <w:r>
        <w:rPr>
          <w:rFonts w:hint="eastAsia" w:eastAsia="仿宋_GB2312" w:cs="Times New Roman"/>
          <w:b/>
          <w:color w:val="auto"/>
          <w:sz w:val="32"/>
          <w:szCs w:val="32"/>
        </w:rPr>
        <w:t>（项）：</w:t>
      </w:r>
      <w:r>
        <w:rPr>
          <w:rFonts w:hint="eastAsia" w:ascii="仿宋_GB2312" w:eastAsia="仿宋_GB2312"/>
          <w:color w:val="auto"/>
          <w:sz w:val="32"/>
          <w:szCs w:val="32"/>
        </w:rPr>
        <w:t>指</w:t>
      </w:r>
      <w:r>
        <w:rPr>
          <w:rFonts w:hint="eastAsia" w:ascii="仿宋_GB2312" w:eastAsia="仿宋_GB2312"/>
          <w:color w:val="auto"/>
          <w:sz w:val="32"/>
          <w:szCs w:val="32"/>
          <w:lang w:val="en-US" w:eastAsia="zh-CN"/>
        </w:rPr>
        <w:t>反映行政单位（包括实行公务员管理的事业单位）开支的离退休经费</w:t>
      </w:r>
      <w:r>
        <w:rPr>
          <w:rFonts w:hint="eastAsia" w:ascii="仿宋_GB2312" w:eastAsia="仿宋_GB2312"/>
          <w:color w:val="auto"/>
          <w:sz w:val="32"/>
          <w:szCs w:val="32"/>
        </w:rPr>
        <w:t>。</w:t>
      </w:r>
    </w:p>
    <w:p>
      <w:pPr>
        <w:ind w:firstLine="643" w:firstLineChars="200"/>
        <w:rPr>
          <w:rFonts w:ascii="仿宋_GB2312" w:eastAsia="仿宋_GB2312"/>
          <w:color w:val="000000"/>
          <w:sz w:val="32"/>
          <w:szCs w:val="32"/>
        </w:rPr>
      </w:pPr>
      <w:r>
        <w:rPr>
          <w:rFonts w:hint="eastAsia" w:eastAsia="仿宋_GB2312" w:cs="Times New Roman"/>
          <w:b/>
          <w:sz w:val="32"/>
          <w:szCs w:val="32"/>
          <w:lang w:val="en-US" w:eastAsia="zh-CN"/>
        </w:rPr>
        <w:t>4</w:t>
      </w:r>
      <w:r>
        <w:rPr>
          <w:rFonts w:eastAsia="仿宋_GB2312" w:cs="Times New Roman"/>
          <w:b/>
          <w:sz w:val="32"/>
          <w:szCs w:val="32"/>
        </w:rPr>
        <w:t>.</w:t>
      </w:r>
      <w:r>
        <w:rPr>
          <w:rFonts w:hint="eastAsia" w:eastAsia="仿宋_GB2312" w:cs="Times New Roman"/>
          <w:b/>
          <w:sz w:val="32"/>
          <w:szCs w:val="32"/>
        </w:rPr>
        <w:t>社会保障和就业</w:t>
      </w:r>
      <w:r>
        <w:rPr>
          <w:rFonts w:hint="eastAsia" w:eastAsia="仿宋_GB2312" w:cs="Times New Roman"/>
          <w:b/>
          <w:sz w:val="32"/>
          <w:szCs w:val="32"/>
          <w:lang w:eastAsia="zh-CN"/>
        </w:rPr>
        <w:t>支出</w:t>
      </w:r>
      <w:r>
        <w:rPr>
          <w:rFonts w:hint="eastAsia" w:eastAsia="仿宋_GB2312" w:cs="Times New Roman"/>
          <w:b/>
          <w:sz w:val="32"/>
          <w:szCs w:val="32"/>
        </w:rPr>
        <w:t>（类）</w:t>
      </w:r>
      <w:r>
        <w:rPr>
          <w:rFonts w:hint="eastAsia" w:eastAsia="仿宋_GB2312" w:cs="Times New Roman"/>
          <w:b/>
          <w:sz w:val="32"/>
          <w:szCs w:val="32"/>
          <w:lang w:eastAsia="zh-CN"/>
        </w:rPr>
        <w:t>行政事业单位养老支出</w:t>
      </w:r>
      <w:r>
        <w:rPr>
          <w:rFonts w:hint="eastAsia" w:eastAsia="仿宋_GB2312" w:cs="Times New Roman"/>
          <w:b/>
          <w:sz w:val="32"/>
          <w:szCs w:val="32"/>
        </w:rPr>
        <w:t>（款）</w:t>
      </w:r>
      <w:r>
        <w:rPr>
          <w:rFonts w:hint="eastAsia" w:eastAsia="仿宋_GB2312" w:cs="Times New Roman"/>
          <w:b/>
          <w:sz w:val="32"/>
          <w:szCs w:val="32"/>
          <w:lang w:eastAsia="zh-CN"/>
        </w:rPr>
        <w:t>机关事业单位基本养老保险缴费支出</w:t>
      </w:r>
      <w:r>
        <w:rPr>
          <w:rFonts w:hint="eastAsia" w:eastAsia="仿宋_GB2312" w:cs="Times New Roman"/>
          <w:b/>
          <w:sz w:val="32"/>
          <w:szCs w:val="32"/>
        </w:rPr>
        <w:t>（项）</w:t>
      </w:r>
      <w:r>
        <w:rPr>
          <w:rFonts w:hint="eastAsia" w:ascii="仿宋_GB2312" w:eastAsia="仿宋_GB2312"/>
          <w:color w:val="000000"/>
          <w:sz w:val="32"/>
          <w:szCs w:val="32"/>
        </w:rPr>
        <w:t>：指</w:t>
      </w:r>
      <w:r>
        <w:rPr>
          <w:rFonts w:hint="eastAsia" w:ascii="仿宋_GB2312" w:eastAsia="仿宋_GB2312"/>
          <w:color w:val="000000"/>
          <w:sz w:val="32"/>
          <w:szCs w:val="32"/>
          <w:lang w:val="en-US" w:eastAsia="zh-CN"/>
        </w:rPr>
        <w:t>反映机关事业单位实施养老保险制度由单位缴纳的基本养老保险支出</w:t>
      </w:r>
      <w:r>
        <w:rPr>
          <w:rFonts w:hint="eastAsia" w:ascii="仿宋_GB2312" w:eastAsia="仿宋_GB2312"/>
          <w:color w:val="000000"/>
          <w:sz w:val="32"/>
          <w:szCs w:val="32"/>
        </w:rPr>
        <w:t>。</w:t>
      </w:r>
    </w:p>
    <w:p>
      <w:pPr>
        <w:ind w:firstLine="643" w:firstLineChars="200"/>
        <w:rPr>
          <w:rFonts w:hint="eastAsia" w:ascii="仿宋_GB2312" w:hAnsi="仿宋_GB2312" w:eastAsia="仿宋_GB2312" w:cs="仿宋_GB2312"/>
          <w:sz w:val="32"/>
          <w:szCs w:val="32"/>
          <w:lang w:val="en-US" w:eastAsia="zh-CN"/>
        </w:rPr>
      </w:pPr>
      <w:r>
        <w:rPr>
          <w:rFonts w:hint="eastAsia" w:eastAsia="仿宋_GB2312" w:cs="Times New Roman"/>
          <w:b/>
          <w:sz w:val="32"/>
          <w:szCs w:val="32"/>
          <w:lang w:val="en-US" w:eastAsia="zh-CN"/>
        </w:rPr>
        <w:t>5.卫生健康支出（类）卫生健康管理事务（款）行政运行（项）：</w:t>
      </w:r>
      <w:r>
        <w:rPr>
          <w:rFonts w:hint="eastAsia" w:ascii="仿宋_GB2312" w:eastAsia="仿宋_GB2312"/>
          <w:color w:val="000000"/>
          <w:sz w:val="32"/>
          <w:szCs w:val="32"/>
        </w:rPr>
        <w:t>指</w:t>
      </w:r>
      <w:r>
        <w:rPr>
          <w:rFonts w:hint="eastAsia" w:ascii="仿宋_GB2312" w:eastAsia="仿宋_GB2312"/>
          <w:color w:val="000000"/>
          <w:sz w:val="32"/>
          <w:szCs w:val="32"/>
          <w:lang w:val="en-US" w:eastAsia="zh-CN"/>
        </w:rPr>
        <w:t>反映行政单位（包括实行公务员管理的事业单位）的基本支出。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eastAsia="仿宋_GB2312" w:cs="Times New Roman"/>
          <w:b/>
          <w:sz w:val="32"/>
          <w:szCs w:val="32"/>
          <w:lang w:val="en-US" w:eastAsia="zh-CN"/>
        </w:rPr>
        <w:t>6</w:t>
      </w:r>
      <w:r>
        <w:rPr>
          <w:rFonts w:hint="eastAsia" w:eastAsia="仿宋_GB2312" w:cs="Times New Roman"/>
          <w:b/>
          <w:sz w:val="32"/>
          <w:szCs w:val="32"/>
        </w:rPr>
        <w:t>.</w:t>
      </w:r>
      <w:r>
        <w:rPr>
          <w:rFonts w:hint="eastAsia" w:eastAsia="仿宋_GB2312" w:cs="Times New Roman"/>
          <w:b/>
          <w:sz w:val="32"/>
          <w:szCs w:val="32"/>
          <w:lang w:val="en-US" w:eastAsia="zh-CN"/>
        </w:rPr>
        <w:t>卫生健康支出</w:t>
      </w:r>
      <w:r>
        <w:rPr>
          <w:rFonts w:hint="eastAsia" w:eastAsia="仿宋_GB2312" w:cs="Times New Roman"/>
          <w:b/>
          <w:sz w:val="32"/>
          <w:szCs w:val="32"/>
        </w:rPr>
        <w:t>（类）</w:t>
      </w:r>
      <w:r>
        <w:rPr>
          <w:rFonts w:hint="eastAsia" w:eastAsia="仿宋_GB2312" w:cs="Times New Roman"/>
          <w:b/>
          <w:sz w:val="32"/>
          <w:szCs w:val="32"/>
          <w:lang w:val="en-US" w:eastAsia="zh-CN"/>
        </w:rPr>
        <w:t>公共卫生</w:t>
      </w:r>
      <w:r>
        <w:rPr>
          <w:rFonts w:hint="eastAsia" w:eastAsia="仿宋_GB2312" w:cs="Times New Roman"/>
          <w:b/>
          <w:sz w:val="32"/>
          <w:szCs w:val="32"/>
        </w:rPr>
        <w:t>（款） 卫生监督机构（项）:</w:t>
      </w:r>
      <w:r>
        <w:rPr>
          <w:rFonts w:hint="eastAsia" w:eastAsia="仿宋_GB2312" w:cs="Times New Roman"/>
          <w:sz w:val="32"/>
          <w:szCs w:val="32"/>
          <w:lang w:val="en-US" w:eastAsia="zh-CN"/>
        </w:rPr>
        <w:t>反映卫生健康部门所属卫生监督机构的支出</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eastAsia="仿宋_GB2312" w:cs="Times New Roman"/>
          <w:b/>
          <w:sz w:val="32"/>
          <w:szCs w:val="32"/>
          <w:lang w:val="en-US" w:eastAsia="zh-CN"/>
        </w:rPr>
        <w:t>7.卫生健康支出</w:t>
      </w:r>
      <w:r>
        <w:rPr>
          <w:rFonts w:hint="eastAsia" w:eastAsia="仿宋_GB2312" w:cs="Times New Roman"/>
          <w:b/>
          <w:sz w:val="32"/>
          <w:szCs w:val="32"/>
        </w:rPr>
        <w:t>（类）</w:t>
      </w:r>
      <w:r>
        <w:rPr>
          <w:rFonts w:hint="eastAsia" w:eastAsia="仿宋_GB2312" w:cs="Times New Roman"/>
          <w:b/>
          <w:sz w:val="32"/>
          <w:szCs w:val="32"/>
          <w:lang w:val="en-US" w:eastAsia="zh-CN"/>
        </w:rPr>
        <w:t>公共卫生</w:t>
      </w:r>
      <w:r>
        <w:rPr>
          <w:rFonts w:hint="eastAsia" w:eastAsia="仿宋_GB2312" w:cs="Times New Roman"/>
          <w:b/>
          <w:sz w:val="32"/>
          <w:szCs w:val="32"/>
        </w:rPr>
        <w:t>（款） 基本公共卫生服务（项）:</w:t>
      </w:r>
      <w:r>
        <w:rPr>
          <w:rFonts w:hint="eastAsia" w:ascii="仿宋_GB2312" w:hAnsi="仿宋_GB2312" w:eastAsia="仿宋_GB2312" w:cs="仿宋_GB2312"/>
          <w:sz w:val="32"/>
          <w:szCs w:val="32"/>
          <w:lang w:val="en-US" w:eastAsia="zh-CN"/>
        </w:rPr>
        <w:t>反映基本公共卫生服务支出。</w:t>
      </w:r>
    </w:p>
    <w:p>
      <w:pPr>
        <w:pStyle w:val="2"/>
        <w:rPr>
          <w:rFonts w:hint="default" w:ascii="Times New Roman" w:hAnsi="Times New Roman" w:eastAsia="仿宋_GB2312" w:cs="Times New Roman"/>
          <w:sz w:val="32"/>
          <w:szCs w:val="32"/>
          <w:lang w:val="en-US" w:eastAsia="zh-CN"/>
        </w:rPr>
      </w:pPr>
      <w:r>
        <w:rPr>
          <w:rFonts w:hint="eastAsia" w:hAnsi="仿宋_GB2312" w:cs="仿宋_GB2312"/>
          <w:sz w:val="32"/>
          <w:szCs w:val="32"/>
          <w:lang w:val="en-US" w:eastAsia="zh-CN"/>
        </w:rPr>
        <w:t xml:space="preserve">  </w:t>
      </w:r>
      <w:r>
        <w:rPr>
          <w:rFonts w:hint="eastAsia" w:eastAsia="仿宋_GB2312" w:cs="Times New Roman"/>
          <w:b/>
          <w:sz w:val="32"/>
          <w:szCs w:val="32"/>
          <w:lang w:val="en-US" w:eastAsia="zh-CN"/>
        </w:rPr>
        <w:t xml:space="preserve">  </w:t>
      </w:r>
      <w:r>
        <w:rPr>
          <w:rFonts w:hint="eastAsia" w:cs="Times New Roman"/>
          <w:b/>
          <w:sz w:val="32"/>
          <w:szCs w:val="32"/>
          <w:lang w:val="en-US" w:eastAsia="zh-CN"/>
        </w:rPr>
        <w:t>8</w:t>
      </w:r>
      <w:r>
        <w:rPr>
          <w:rFonts w:hint="eastAsia" w:eastAsia="仿宋_GB2312" w:cs="Times New Roman"/>
          <w:b/>
          <w:sz w:val="32"/>
          <w:szCs w:val="32"/>
          <w:lang w:val="en-US" w:eastAsia="zh-CN"/>
        </w:rPr>
        <w:t>.卫生健康支出</w:t>
      </w:r>
      <w:r>
        <w:rPr>
          <w:rFonts w:hint="eastAsia" w:eastAsia="仿宋_GB2312" w:cs="Times New Roman"/>
          <w:b/>
          <w:sz w:val="32"/>
          <w:szCs w:val="32"/>
        </w:rPr>
        <w:t>（类）</w:t>
      </w:r>
      <w:r>
        <w:rPr>
          <w:rFonts w:hint="eastAsia" w:eastAsia="仿宋_GB2312" w:cs="Times New Roman"/>
          <w:b/>
          <w:sz w:val="32"/>
          <w:szCs w:val="32"/>
          <w:lang w:val="en-US" w:eastAsia="zh-CN"/>
        </w:rPr>
        <w:t>行政事业单位医疗</w:t>
      </w:r>
      <w:r>
        <w:rPr>
          <w:rFonts w:hint="eastAsia" w:eastAsia="仿宋_GB2312" w:cs="Times New Roman"/>
          <w:b/>
          <w:sz w:val="32"/>
          <w:szCs w:val="32"/>
        </w:rPr>
        <w:t>（款） 行政单位医疗（项）:</w:t>
      </w:r>
      <w:r>
        <w:rPr>
          <w:rFonts w:hint="eastAsia" w:hAnsi="仿宋_GB2312" w:cs="仿宋_GB2312"/>
          <w:sz w:val="32"/>
          <w:szCs w:val="32"/>
          <w:lang w:val="en-US" w:eastAsia="zh-CN"/>
        </w:rPr>
        <w:t>反映财政部门安排的行政单位（包括实行公务员管理的事业单位）基本医疗保险缴费经费</w:t>
      </w:r>
      <w:r>
        <w:rPr>
          <w:rFonts w:hint="default" w:ascii="Times New Roman" w:hAnsi="Times New Roman" w:eastAsia="仿宋_GB2312" w:cs="Times New Roman"/>
          <w:sz w:val="32"/>
          <w:szCs w:val="32"/>
          <w:lang w:val="en-US" w:eastAsia="zh-CN"/>
        </w:rPr>
        <w:t>。</w:t>
      </w:r>
      <w:r>
        <w:rPr>
          <w:rFonts w:hint="eastAsia" w:ascii="Times New Roman" w:cs="Times New Roman"/>
          <w:sz w:val="32"/>
          <w:szCs w:val="32"/>
          <w:lang w:val="en-US" w:eastAsia="zh-CN"/>
        </w:rPr>
        <w:t>未参加医疗保险的行政单位的公费医疗经费，按国家规定享受离休人员、红军老战士待遇人员的医疗经费。</w:t>
      </w:r>
    </w:p>
    <w:p>
      <w:pPr>
        <w:pStyle w:val="2"/>
        <w:ind w:firstLine="643" w:firstLineChars="200"/>
        <w:rPr>
          <w:rFonts w:hint="default" w:ascii="Times New Roman" w:hAnsi="Times New Roman" w:cs="Times New Roman"/>
          <w:lang w:val="en-US" w:eastAsia="zh-CN"/>
        </w:rPr>
      </w:pPr>
      <w:r>
        <w:rPr>
          <w:rFonts w:hint="eastAsia" w:cs="Times New Roman"/>
          <w:b/>
          <w:sz w:val="32"/>
          <w:szCs w:val="32"/>
          <w:lang w:val="en-US" w:eastAsia="zh-CN"/>
        </w:rPr>
        <w:t>10</w:t>
      </w:r>
      <w:r>
        <w:rPr>
          <w:rFonts w:hint="eastAsia" w:eastAsia="仿宋_GB2312" w:cs="Times New Roman"/>
          <w:b/>
          <w:sz w:val="32"/>
          <w:szCs w:val="32"/>
          <w:lang w:val="en-US" w:eastAsia="zh-CN"/>
        </w:rPr>
        <w:t>.卫生健康支出</w:t>
      </w:r>
      <w:r>
        <w:rPr>
          <w:rFonts w:hint="eastAsia" w:eastAsia="仿宋_GB2312" w:cs="Times New Roman"/>
          <w:b/>
          <w:sz w:val="32"/>
          <w:szCs w:val="32"/>
        </w:rPr>
        <w:t>（类）</w:t>
      </w:r>
      <w:r>
        <w:rPr>
          <w:rFonts w:hint="eastAsia" w:eastAsia="仿宋_GB2312" w:cs="Times New Roman"/>
          <w:b/>
          <w:sz w:val="32"/>
          <w:szCs w:val="32"/>
          <w:lang w:val="en-US" w:eastAsia="zh-CN"/>
        </w:rPr>
        <w:t>行政事业单位医疗</w:t>
      </w:r>
      <w:r>
        <w:rPr>
          <w:rFonts w:hint="eastAsia" w:eastAsia="仿宋_GB2312" w:cs="Times New Roman"/>
          <w:b/>
          <w:sz w:val="32"/>
          <w:szCs w:val="32"/>
        </w:rPr>
        <w:t>（款） 公务员医疗补助（项）:</w:t>
      </w:r>
      <w:r>
        <w:rPr>
          <w:rFonts w:hint="eastAsia" w:hAnsi="仿宋_GB2312" w:cs="仿宋_GB2312"/>
          <w:sz w:val="32"/>
          <w:szCs w:val="32"/>
          <w:lang w:val="en-US" w:eastAsia="zh-CN"/>
        </w:rPr>
        <w:t>反映财政部门安排的公务员医疗补助经费</w:t>
      </w:r>
      <w:r>
        <w:rPr>
          <w:rFonts w:hint="default" w:ascii="Times New Roman" w:hAnsi="Times New Roman" w:eastAsia="仿宋_GB2312" w:cs="Times New Roman"/>
          <w:sz w:val="32"/>
          <w:szCs w:val="32"/>
          <w:lang w:val="en-US" w:eastAsia="zh-CN"/>
        </w:rPr>
        <w:t>。</w:t>
      </w:r>
    </w:p>
    <w:p>
      <w:pPr>
        <w:ind w:firstLine="643" w:firstLineChars="200"/>
        <w:rPr>
          <w:rFonts w:ascii="仿宋_GB2312" w:eastAsia="仿宋_GB2312"/>
          <w:color w:val="000000"/>
          <w:sz w:val="32"/>
          <w:szCs w:val="32"/>
        </w:rPr>
      </w:pPr>
      <w:r>
        <w:rPr>
          <w:rFonts w:hint="eastAsia" w:eastAsia="仿宋_GB2312" w:cs="Times New Roman"/>
          <w:b/>
          <w:sz w:val="32"/>
          <w:szCs w:val="32"/>
          <w:lang w:val="en-US" w:eastAsia="zh-CN"/>
        </w:rPr>
        <w:t>11.住房保障支出（类）住房改革支出（款）住房公积金（项）：</w:t>
      </w:r>
      <w:r>
        <w:rPr>
          <w:rFonts w:hint="eastAsia" w:ascii="仿宋_GB2312" w:eastAsia="仿宋_GB2312"/>
          <w:color w:val="000000"/>
          <w:sz w:val="32"/>
          <w:szCs w:val="32"/>
        </w:rPr>
        <w:t>指</w:t>
      </w:r>
      <w:r>
        <w:rPr>
          <w:rFonts w:hint="eastAsia" w:ascii="仿宋_GB2312" w:eastAsia="仿宋_GB2312"/>
          <w:color w:val="000000"/>
          <w:sz w:val="32"/>
          <w:szCs w:val="32"/>
          <w:lang w:val="en-US" w:eastAsia="zh-CN"/>
        </w:rPr>
        <w:t>反映行政事业单位按人力资源和社会保障部、财政部规定的基本工资和津贴补贴以及规定比例为职工缴纳的住房公积金</w:t>
      </w:r>
      <w:r>
        <w:rPr>
          <w:rFonts w:hint="eastAsia" w:ascii="仿宋_GB2312" w:eastAsia="仿宋_GB2312"/>
          <w:color w:val="000000"/>
          <w:sz w:val="32"/>
          <w:szCs w:val="32"/>
        </w:rPr>
        <w:t>。</w:t>
      </w:r>
    </w:p>
    <w:p>
      <w:pPr>
        <w:spacing w:line="560" w:lineRule="exact"/>
        <w:ind w:firstLine="643" w:firstLineChars="200"/>
        <w:rPr>
          <w:rFonts w:eastAsia="仿宋_GB2312"/>
          <w:sz w:val="32"/>
          <w:szCs w:val="32"/>
        </w:rPr>
      </w:pPr>
      <w:r>
        <w:rPr>
          <w:rFonts w:hint="eastAsia" w:eastAsia="仿宋_GB2312"/>
          <w:b/>
          <w:sz w:val="32"/>
          <w:szCs w:val="32"/>
          <w:lang w:val="en-US" w:eastAsia="zh-CN"/>
        </w:rPr>
        <w:t>12</w:t>
      </w:r>
      <w:r>
        <w:rPr>
          <w:rFonts w:eastAsia="仿宋_GB2312"/>
          <w:b/>
          <w:sz w:val="32"/>
          <w:szCs w:val="32"/>
        </w:rPr>
        <w:t>.基本支出：</w:t>
      </w:r>
      <w:r>
        <w:rPr>
          <w:rFonts w:eastAsia="仿宋_GB2312"/>
          <w:sz w:val="32"/>
          <w:szCs w:val="32"/>
        </w:rPr>
        <w:t>指为保障机构正常运转、完成日常工作任务而发生的人员支出和公用支出。</w:t>
      </w:r>
    </w:p>
    <w:p>
      <w:pPr>
        <w:spacing w:line="560" w:lineRule="exact"/>
        <w:ind w:firstLine="643" w:firstLineChars="200"/>
        <w:rPr>
          <w:rFonts w:eastAsia="仿宋_GB2312"/>
          <w:sz w:val="32"/>
          <w:szCs w:val="32"/>
        </w:rPr>
      </w:pPr>
      <w:r>
        <w:rPr>
          <w:rFonts w:hint="eastAsia" w:eastAsia="仿宋_GB2312"/>
          <w:b/>
          <w:sz w:val="32"/>
          <w:szCs w:val="32"/>
          <w:lang w:val="en-US" w:eastAsia="zh-CN"/>
        </w:rPr>
        <w:t>13</w:t>
      </w:r>
      <w:r>
        <w:rPr>
          <w:rFonts w:eastAsia="仿宋_GB2312"/>
          <w:b/>
          <w:sz w:val="32"/>
          <w:szCs w:val="32"/>
        </w:rPr>
        <w:t>.项目支出：</w:t>
      </w:r>
      <w:r>
        <w:rPr>
          <w:rFonts w:eastAsia="仿宋_GB2312"/>
          <w:sz w:val="32"/>
          <w:szCs w:val="32"/>
        </w:rPr>
        <w:t xml:space="preserve">指在基本支出之外为完成特定行政任务和事业发展目标所发生的支出。 </w:t>
      </w:r>
    </w:p>
    <w:p>
      <w:pPr>
        <w:spacing w:line="560" w:lineRule="exact"/>
        <w:ind w:firstLine="643" w:firstLineChars="200"/>
        <w:rPr>
          <w:rFonts w:eastAsia="仿宋_GB2312"/>
          <w:sz w:val="32"/>
          <w:szCs w:val="32"/>
        </w:rPr>
      </w:pPr>
      <w:r>
        <w:rPr>
          <w:rFonts w:hint="eastAsia" w:eastAsia="仿宋_GB2312"/>
          <w:b/>
          <w:sz w:val="32"/>
          <w:szCs w:val="32"/>
          <w:lang w:val="en-US" w:eastAsia="zh-CN"/>
        </w:rPr>
        <w:t>14</w:t>
      </w:r>
      <w:r>
        <w:rPr>
          <w:rFonts w:eastAsia="仿宋_GB2312"/>
          <w:b/>
          <w:sz w:val="32"/>
          <w:szCs w:val="32"/>
        </w:rPr>
        <w:t>.“三公”经费：</w:t>
      </w: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3" w:firstLineChars="200"/>
        <w:rPr>
          <w:rFonts w:eastAsia="仿宋_GB2312"/>
          <w:sz w:val="32"/>
          <w:szCs w:val="32"/>
        </w:rPr>
      </w:pPr>
      <w:r>
        <w:rPr>
          <w:rFonts w:hint="eastAsia" w:eastAsia="仿宋_GB2312"/>
          <w:b/>
          <w:sz w:val="32"/>
          <w:szCs w:val="32"/>
          <w:lang w:val="en-US" w:eastAsia="zh-CN"/>
        </w:rPr>
        <w:t>15</w:t>
      </w:r>
      <w:r>
        <w:rPr>
          <w:rFonts w:eastAsia="仿宋_GB2312"/>
          <w:b/>
          <w:sz w:val="32"/>
          <w:szCs w:val="32"/>
        </w:rPr>
        <w:t>.机关运行经费：</w:t>
      </w: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6"/>
          <w:rFonts w:ascii="黑体" w:hAnsi="黑体" w:eastAsia="黑体"/>
          <w:b w:val="0"/>
        </w:rPr>
      </w:pPr>
      <w:bookmarkStart w:id="55" w:name="_Toc15377226"/>
      <w:r>
        <w:rPr>
          <w:rFonts w:ascii="宋体"/>
          <w:b/>
          <w:sz w:val="44"/>
          <w:szCs w:val="44"/>
        </w:rPr>
        <w:br w:type="page"/>
      </w:r>
      <w:bookmarkStart w:id="56" w:name="_Toc15396614"/>
      <w:r>
        <w:rPr>
          <w:rFonts w:hint="eastAsia" w:ascii="黑体" w:hAnsi="黑体" w:eastAsia="黑体"/>
          <w:sz w:val="44"/>
          <w:szCs w:val="44"/>
        </w:rPr>
        <w:t>第</w:t>
      </w:r>
      <w:r>
        <w:rPr>
          <w:rStyle w:val="26"/>
          <w:rFonts w:hint="eastAsia" w:ascii="黑体" w:hAnsi="黑体" w:eastAsia="黑体"/>
          <w:b w:val="0"/>
        </w:rPr>
        <w:t>四部分 附件</w:t>
      </w:r>
      <w:bookmarkEnd w:id="56"/>
    </w:p>
    <w:p>
      <w:pPr>
        <w:pStyle w:val="7"/>
        <w:spacing w:line="600" w:lineRule="exact"/>
        <w:ind w:firstLine="1800" w:firstLineChars="500"/>
        <w:jc w:val="both"/>
        <w:rPr>
          <w:rFonts w:hint="eastAsia"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盐边县卫生和计划生育监督执法大队</w:t>
      </w:r>
    </w:p>
    <w:p>
      <w:pPr>
        <w:pStyle w:val="7"/>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专项（项目）资金绩效自评报告</w:t>
      </w:r>
    </w:p>
    <w:p>
      <w:pPr>
        <w:pStyle w:val="7"/>
        <w:spacing w:line="240" w:lineRule="auto"/>
        <w:ind w:firstLine="0" w:firstLineChars="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val="en-US" w:eastAsia="zh-CN"/>
        </w:rPr>
        <w:t>基本公共卫生服务</w:t>
      </w:r>
      <w:r>
        <w:rPr>
          <w:rFonts w:hint="eastAsia" w:ascii="方正小标宋_GBK" w:hAnsi="黑体" w:eastAsia="方正小标宋_GBK" w:cs="黑体"/>
          <w:sz w:val="36"/>
          <w:szCs w:val="36"/>
        </w:rPr>
        <w:t>）</w:t>
      </w:r>
    </w:p>
    <w:p>
      <w:pPr>
        <w:pStyle w:val="7"/>
        <w:spacing w:line="600" w:lineRule="exact"/>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（一）项目基本情况。</w:t>
      </w:r>
    </w:p>
    <w:p>
      <w:pPr>
        <w:autoSpaceDE w:val="0"/>
        <w:autoSpaceDN w:val="0"/>
        <w:adjustRightInd w:val="0"/>
        <w:spacing w:line="600" w:lineRule="exact"/>
        <w:ind w:firstLine="643" w:firstLineChars="200"/>
        <w:jc w:val="left"/>
        <w:rPr>
          <w:rFonts w:ascii="Times New Roman" w:hAnsi="Times New Roman" w:eastAsia="仿宋_GB2312"/>
          <w:b/>
          <w:bCs/>
          <w:kern w:val="0"/>
          <w:sz w:val="32"/>
          <w:szCs w:val="32"/>
        </w:rPr>
      </w:pPr>
      <w:r>
        <w:rPr>
          <w:rFonts w:ascii="Times New Roman" w:hAnsi="Times New Roman" w:eastAsia="仿宋_GB2312"/>
          <w:b/>
          <w:bCs/>
          <w:kern w:val="0"/>
          <w:sz w:val="32"/>
          <w:szCs w:val="32"/>
        </w:rPr>
        <w:t>1．</w:t>
      </w:r>
      <w:r>
        <w:rPr>
          <w:rFonts w:hint="eastAsia" w:ascii="仿宋" w:hAnsi="仿宋" w:eastAsia="仿宋" w:cs="仿宋"/>
          <w:b/>
          <w:bCs/>
          <w:i w:val="0"/>
          <w:iCs w:val="0"/>
          <w:caps w:val="0"/>
          <w:color w:val="3D3D3D"/>
          <w:spacing w:val="-2"/>
          <w:sz w:val="32"/>
          <w:szCs w:val="32"/>
        </w:rPr>
        <w:t>部门主要职能</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32"/>
        <w:jc w:val="both"/>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实施卫生计生专项整治和日常监督检查；对公共场所卫生、生活饮用水卫生、学校卫生及消毒产品和涉及饮用水卫生安全产品进行监督检查；对医疗机构、采供血机构及其从业人员的执业活动进行监督检查，查处违法行为；打击非法行医和非法采供血；整顿和规范医疗服务秩序；对医疗卫生机构的放射诊疗、职业健康检查和职业病诊断工作进行监督检查，查处违法行为；对医疗机构、采供血机构、疾病预防控制机构的传染病疫情报告、疫情控制措施、消毒隔离制度执行情况、医疗废物处置情况和菌（毒）种管理情况等进行监督检查，查处违法行为；对母婴保健机构、计划生育技术服务机构服务内容和从业人员的行为规范进行监督，依法打击“两非”行为，做好计划生育违法违纪案件的督查督办；行政区域内卫生计生监督信息的收集、核实和上报；受理对违法行为的投诉、举报；开展卫生计生法律法规宣传教育和执法检查；完成卫生计生行政部门、中医药管理部门交办的食品安全、中医药监督等相关工作及职责范围内的工作。</w:t>
      </w:r>
    </w:p>
    <w:p>
      <w:pPr>
        <w:widowControl/>
        <w:numPr>
          <w:ilvl w:val="0"/>
          <w:numId w:val="0"/>
        </w:numPr>
        <w:pBdr>
          <w:top w:val="none" w:color="auto" w:sz="0" w:space="0"/>
          <w:left w:val="none" w:color="auto" w:sz="0" w:space="0"/>
          <w:bottom w:val="none" w:color="auto" w:sz="0" w:space="0"/>
          <w:right w:val="none" w:color="auto" w:sz="0" w:space="0"/>
        </w:pBdr>
        <w:autoSpaceDE/>
        <w:autoSpaceDN/>
        <w:adjustRightInd/>
        <w:spacing w:line="600" w:lineRule="atLeast"/>
        <w:ind w:firstLine="643" w:firstLineChars="200"/>
        <w:jc w:val="left"/>
        <w:rPr>
          <w:rFonts w:hint="eastAsia" w:ascii="Times New Roman" w:hAnsi="Times New Roman" w:eastAsia="仿宋_GB2312" w:cs="Times New Roman"/>
          <w:b/>
          <w:bCs/>
          <w:i w:val="0"/>
          <w:iCs w:val="0"/>
          <w:caps w:val="0"/>
          <w:spacing w:val="0"/>
          <w:kern w:val="0"/>
          <w:sz w:val="32"/>
          <w:szCs w:val="32"/>
          <w:lang w:val="en-US" w:eastAsia="zh-CN" w:bidi="ar"/>
        </w:rPr>
      </w:pPr>
      <w:r>
        <w:rPr>
          <w:rFonts w:hint="eastAsia" w:ascii="Times New Roman" w:hAnsi="Times New Roman" w:eastAsia="仿宋_GB2312" w:cs="Times New Roman"/>
          <w:b/>
          <w:bCs/>
          <w:i w:val="0"/>
          <w:iCs w:val="0"/>
          <w:caps w:val="0"/>
          <w:spacing w:val="0"/>
          <w:kern w:val="0"/>
          <w:sz w:val="32"/>
          <w:szCs w:val="32"/>
          <w:lang w:val="en-US" w:eastAsia="zh-CN" w:bidi="ar"/>
        </w:rPr>
        <w:t>2.项目立项、资金申报的依据。</w:t>
      </w:r>
    </w:p>
    <w:p>
      <w:pPr>
        <w:widowControl/>
        <w:numPr>
          <w:ilvl w:val="0"/>
          <w:numId w:val="0"/>
        </w:numPr>
        <w:pBdr>
          <w:top w:val="none" w:color="auto" w:sz="0" w:space="0"/>
          <w:left w:val="none" w:color="auto" w:sz="0" w:space="0"/>
          <w:bottom w:val="none" w:color="auto" w:sz="0" w:space="0"/>
          <w:right w:val="none" w:color="auto" w:sz="0" w:space="0"/>
        </w:pBdr>
        <w:autoSpaceDE/>
        <w:autoSpaceDN/>
        <w:adjustRightInd/>
        <w:spacing w:line="600" w:lineRule="atLeast"/>
        <w:ind w:firstLine="640" w:firstLineChars="20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根据《省财政厅省卫健委关于提前下达 2021 年基本公共卫生服务中夹补助资金的通知》（川财社〔2020〕 208 号 ）、《盐边县财政局关于提前下达下达 2021 年基本公共卫生服务中央补助资金的通知》（盐财资〔2021〕40号）及县卫生健康局资金分配表。</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rightChars="0" w:firstLine="643" w:firstLineChars="200"/>
        <w:jc w:val="left"/>
        <w:rPr>
          <w:rFonts w:hint="eastAsia" w:ascii="Times New Roman" w:hAnsi="Times New Roman" w:eastAsia="仿宋_GB2312" w:cs="Times New Roman"/>
          <w:b/>
          <w:bCs/>
          <w:i w:val="0"/>
          <w:iCs w:val="0"/>
          <w:caps w:val="0"/>
          <w:spacing w:val="0"/>
          <w:kern w:val="0"/>
          <w:sz w:val="32"/>
          <w:szCs w:val="32"/>
          <w:lang w:val="en-US" w:eastAsia="zh-CN" w:bidi="ar"/>
        </w:rPr>
      </w:pPr>
      <w:r>
        <w:rPr>
          <w:rFonts w:hint="eastAsia" w:ascii="Times New Roman" w:hAnsi="Times New Roman" w:eastAsia="仿宋_GB2312" w:cs="Times New Roman"/>
          <w:b/>
          <w:bCs/>
          <w:i w:val="0"/>
          <w:iCs w:val="0"/>
          <w:caps w:val="0"/>
          <w:spacing w:val="0"/>
          <w:kern w:val="0"/>
          <w:sz w:val="32"/>
          <w:szCs w:val="32"/>
          <w:lang w:val="en-US" w:eastAsia="zh-CN" w:bidi="ar"/>
        </w:rPr>
        <w:t>3.资金管理办法制定情况，资金支持具体项目的条件、范围与支持方式概况。</w:t>
      </w:r>
    </w:p>
    <w:p>
      <w:pPr>
        <w:widowControl/>
        <w:numPr>
          <w:ilvl w:val="0"/>
          <w:numId w:val="0"/>
        </w:numPr>
        <w:pBdr>
          <w:top w:val="none" w:color="auto" w:sz="0" w:space="0"/>
          <w:left w:val="none" w:color="auto" w:sz="0" w:space="0"/>
          <w:bottom w:val="none" w:color="auto" w:sz="0" w:space="0"/>
          <w:right w:val="none" w:color="auto" w:sz="0" w:space="0"/>
        </w:pBdr>
        <w:autoSpaceDE/>
        <w:autoSpaceDN/>
        <w:adjustRightInd/>
        <w:spacing w:line="600"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资金管理严格按制定的资金管理办法管理，项目资金严格按照基本公共卫生服务内容和重大公共卫生内容合理规范使用。每笔项目经费支出均上领导班子会讨论通过</w:t>
      </w:r>
      <w:r>
        <w:rPr>
          <w:rFonts w:hint="default" w:ascii="Times New Roman" w:hAnsi="Times New Roman" w:eastAsia="仿宋_GB2312" w:cs="Times New Roman"/>
          <w:kern w:val="2"/>
          <w:sz w:val="32"/>
          <w:szCs w:val="32"/>
          <w:lang w:val="en-US" w:eastAsia="zh-CN" w:bidi="ar-SA"/>
        </w:rPr>
        <w:t>，明确开支范围，细化资金用途</w:t>
      </w:r>
      <w:r>
        <w:rPr>
          <w:rFonts w:hint="eastAsia" w:ascii="Times New Roman" w:hAnsi="Times New Roman" w:eastAsia="仿宋_GB2312" w:cs="Times New Roman"/>
          <w:kern w:val="2"/>
          <w:sz w:val="32"/>
          <w:szCs w:val="32"/>
          <w:lang w:val="en-US" w:eastAsia="zh-CN" w:bidi="ar-SA"/>
        </w:rPr>
        <w:t>。</w:t>
      </w:r>
    </w:p>
    <w:p>
      <w:pPr>
        <w:widowControl/>
        <w:numPr>
          <w:ilvl w:val="0"/>
          <w:numId w:val="0"/>
        </w:numPr>
        <w:pBdr>
          <w:top w:val="none" w:color="auto" w:sz="0" w:space="0"/>
          <w:left w:val="none" w:color="auto" w:sz="0" w:space="0"/>
          <w:bottom w:val="none" w:color="auto" w:sz="0" w:space="0"/>
          <w:right w:val="none" w:color="auto" w:sz="0" w:space="0"/>
        </w:pBdr>
        <w:autoSpaceDE/>
        <w:autoSpaceDN/>
        <w:adjustRightInd/>
        <w:spacing w:line="600" w:lineRule="atLeast"/>
        <w:ind w:firstLine="643" w:firstLineChars="200"/>
        <w:jc w:val="left"/>
        <w:rPr>
          <w:rFonts w:hint="eastAsia" w:ascii="Times New Roman" w:hAnsi="Times New Roman" w:eastAsia="仿宋_GB2312" w:cs="Times New Roman"/>
          <w:b/>
          <w:bCs/>
          <w:i w:val="0"/>
          <w:iCs w:val="0"/>
          <w:caps w:val="0"/>
          <w:spacing w:val="0"/>
          <w:kern w:val="0"/>
          <w:sz w:val="32"/>
          <w:szCs w:val="32"/>
          <w:lang w:val="en-US" w:eastAsia="zh-CN" w:bidi="ar"/>
        </w:rPr>
      </w:pPr>
      <w:r>
        <w:rPr>
          <w:rFonts w:hint="eastAsia" w:ascii="Times New Roman" w:hAnsi="Times New Roman" w:eastAsia="仿宋_GB2312" w:cs="Times New Roman"/>
          <w:b/>
          <w:bCs/>
          <w:i w:val="0"/>
          <w:iCs w:val="0"/>
          <w:caps w:val="0"/>
          <w:spacing w:val="0"/>
          <w:kern w:val="0"/>
          <w:sz w:val="32"/>
          <w:szCs w:val="32"/>
          <w:lang w:val="en-US" w:eastAsia="zh-CN" w:bidi="ar"/>
        </w:rPr>
        <w:t>4.资金分配的原则及考虑因素。</w:t>
      </w:r>
    </w:p>
    <w:p>
      <w:pPr>
        <w:widowControl/>
        <w:numPr>
          <w:ilvl w:val="0"/>
          <w:numId w:val="0"/>
        </w:numPr>
        <w:pBdr>
          <w:top w:val="none" w:color="auto" w:sz="0" w:space="0"/>
          <w:left w:val="none" w:color="auto" w:sz="0" w:space="0"/>
          <w:bottom w:val="none" w:color="auto" w:sz="0" w:space="0"/>
          <w:right w:val="none" w:color="auto" w:sz="0" w:space="0"/>
        </w:pBdr>
        <w:autoSpaceDE/>
        <w:autoSpaceDN/>
        <w:adjustRightInd/>
        <w:spacing w:line="600" w:lineRule="atLeast"/>
        <w:ind w:firstLine="640" w:firstLineChars="20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资金用于职业病防治和卫生综合监督。</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b/>
          <w:bCs/>
          <w:i w:val="0"/>
          <w:iCs w:val="0"/>
          <w:caps w:val="0"/>
          <w:spacing w:val="0"/>
          <w:kern w:val="0"/>
          <w:sz w:val="32"/>
          <w:szCs w:val="32"/>
          <w:lang w:val="en-US" w:eastAsia="zh-CN" w:bidi="ar"/>
        </w:rPr>
      </w:pPr>
      <w:r>
        <w:rPr>
          <w:rFonts w:hint="eastAsia" w:ascii="Times New Roman" w:hAnsi="Times New Roman" w:eastAsia="仿宋_GB2312" w:cs="Times New Roman"/>
          <w:b/>
          <w:bCs/>
          <w:i w:val="0"/>
          <w:iCs w:val="0"/>
          <w:caps w:val="0"/>
          <w:spacing w:val="0"/>
          <w:kern w:val="0"/>
          <w:sz w:val="32"/>
          <w:szCs w:val="32"/>
          <w:lang w:val="en-US" w:eastAsia="zh-CN" w:bidi="ar"/>
        </w:rPr>
        <w:t>（二）项目绩效目标。</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bCs/>
          <w:i w:val="0"/>
          <w:iCs w:val="0"/>
          <w:caps w:val="0"/>
          <w:spacing w:val="0"/>
          <w:kern w:val="0"/>
          <w:sz w:val="32"/>
          <w:szCs w:val="32"/>
          <w:lang w:val="en-US" w:eastAsia="zh-CN" w:bidi="ar"/>
        </w:rPr>
        <w:t>1.项目主要内容。</w:t>
      </w:r>
      <w:r>
        <w:rPr>
          <w:rFonts w:hint="eastAsia" w:ascii="Times New Roman" w:hAnsi="Times New Roman" w:eastAsia="仿宋_GB2312" w:cs="Times New Roman"/>
          <w:kern w:val="2"/>
          <w:sz w:val="32"/>
          <w:szCs w:val="32"/>
          <w:lang w:val="en-US" w:eastAsia="zh-CN" w:bidi="ar-SA"/>
        </w:rPr>
        <w:t>重大公共卫生内容中的职业病防治和卫生健康综合监督。主要用于国家和省级卫生监督双随机监监测费、监督执法装备经费及对房屋维修维护费。</w:t>
      </w:r>
    </w:p>
    <w:p>
      <w:pPr>
        <w:widowControl/>
        <w:numPr>
          <w:ilvl w:val="0"/>
          <w:numId w:val="0"/>
        </w:numPr>
        <w:pBdr>
          <w:top w:val="none" w:color="auto" w:sz="0" w:space="0"/>
          <w:left w:val="none" w:color="auto" w:sz="0" w:space="0"/>
          <w:bottom w:val="none" w:color="auto" w:sz="0" w:space="0"/>
          <w:right w:val="none" w:color="auto" w:sz="0" w:space="0"/>
        </w:pBdr>
        <w:autoSpaceDE/>
        <w:autoSpaceDN/>
        <w:adjustRightInd/>
        <w:spacing w:line="600" w:lineRule="atLeast"/>
        <w:ind w:firstLine="643" w:firstLineChars="200"/>
        <w:jc w:val="left"/>
        <w:rPr>
          <w:rFonts w:ascii="Times New Roman" w:hAnsi="Times New Roman" w:eastAsia="仿宋_GB2312"/>
          <w:b/>
          <w:bCs/>
          <w:kern w:val="0"/>
          <w:sz w:val="32"/>
          <w:szCs w:val="32"/>
        </w:rPr>
      </w:pPr>
      <w:r>
        <w:rPr>
          <w:rFonts w:hint="eastAsia" w:ascii="Times New Roman" w:hAnsi="Times New Roman" w:eastAsia="仿宋_GB2312" w:cs="Times New Roman"/>
          <w:b/>
          <w:bCs/>
          <w:i w:val="0"/>
          <w:iCs w:val="0"/>
          <w:caps w:val="0"/>
          <w:spacing w:val="0"/>
          <w:kern w:val="0"/>
          <w:sz w:val="32"/>
          <w:szCs w:val="32"/>
          <w:lang w:val="en-US" w:eastAsia="zh-CN" w:bidi="ar"/>
        </w:rPr>
        <w:t>2.项目</w:t>
      </w:r>
      <w:r>
        <w:rPr>
          <w:rFonts w:ascii="Times New Roman" w:hAnsi="Times New Roman" w:eastAsia="仿宋_GB2312"/>
          <w:b/>
          <w:bCs/>
          <w:kern w:val="0"/>
          <w:sz w:val="32"/>
          <w:szCs w:val="32"/>
        </w:rPr>
        <w:t>应实现的具体绩效目标</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(1)完成国家和省级卫生监督双随机82户监督监测工作；项目实施6-10月，项目完成10月30日；</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对辖区内对辖区内公共场所、医疗市场、学校卫生、饮用水安全、放射卫生、职业卫生、传染病防治等开展监督执法工作，对违法行为依法进行调查取证，整顿和规范医疗服务市场秩序。项目实施1-12月，项目完成12月30日。</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（3）对各乡镇卫生计生监督协管进行考核，项目完成10月30日。</w:t>
      </w:r>
    </w:p>
    <w:p>
      <w:pPr>
        <w:autoSpaceDE w:val="0"/>
        <w:autoSpaceDN w:val="0"/>
        <w:adjustRightInd w:val="0"/>
        <w:spacing w:line="600" w:lineRule="exact"/>
        <w:ind w:firstLine="643" w:firstLineChars="200"/>
        <w:jc w:val="left"/>
        <w:rPr>
          <w:rFonts w:ascii="Times New Roman" w:hAnsi="Times New Roman" w:eastAsia="仿宋_GB2312"/>
          <w:b/>
          <w:bCs/>
          <w:kern w:val="0"/>
          <w:sz w:val="32"/>
          <w:szCs w:val="32"/>
        </w:rPr>
      </w:pPr>
      <w:r>
        <w:rPr>
          <w:rFonts w:ascii="Times New Roman" w:hAnsi="Times New Roman" w:eastAsia="仿宋_GB2312"/>
          <w:b/>
          <w:bCs/>
          <w:kern w:val="0"/>
          <w:sz w:val="32"/>
          <w:szCs w:val="32"/>
        </w:rPr>
        <w:t>3．分析评价申报内容是否与实际相符，申报目标是否合理可行。</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2021年申报内容与实际相符，申报目标合理可行。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（一）项目资金申报及批复情况</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根据《关于提前下达2021年基本公共卫生服务中央补助资金的通知》（盐财资行〔2021〕40号）及县卫生健康局资金分配表，下达2021年基本公共卫生服务中央补助资金80000元。</w:t>
      </w:r>
    </w:p>
    <w:p>
      <w:pPr>
        <w:autoSpaceDE w:val="0"/>
        <w:autoSpaceDN w:val="0"/>
        <w:adjustRightInd w:val="0"/>
        <w:spacing w:line="600" w:lineRule="exact"/>
        <w:ind w:firstLine="643" w:firstLineChars="200"/>
        <w:jc w:val="left"/>
        <w:rPr>
          <w:rFonts w:ascii="Times New Roman" w:hAnsi="Times New Roman" w:eastAsia="楷体_GB2312"/>
          <w:kern w:val="0"/>
          <w:sz w:val="32"/>
          <w:szCs w:val="32"/>
        </w:rPr>
      </w:pPr>
      <w:r>
        <w:rPr>
          <w:rFonts w:ascii="Times New Roman" w:hAnsi="Times New Roman" w:eastAsia="楷体_GB2312"/>
          <w:b/>
          <w:bCs/>
          <w:kern w:val="0"/>
          <w:sz w:val="32"/>
          <w:szCs w:val="32"/>
        </w:rPr>
        <w:t>（二）资金计划、到位及使用情况</w:t>
      </w:r>
      <w:r>
        <w:rPr>
          <w:rFonts w:ascii="Times New Roman" w:hAnsi="Times New Roman" w:eastAsia="楷体_GB2312"/>
          <w:kern w:val="0"/>
          <w:sz w:val="32"/>
          <w:szCs w:val="32"/>
        </w:rPr>
        <w:t>（可用表格形式反映）。</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hint="eastAsia" w:ascii="Times New Roman" w:hAnsi="Times New Roman" w:eastAsia="楷体_GB2312"/>
          <w:b/>
          <w:bCs/>
          <w:kern w:val="0"/>
          <w:sz w:val="32"/>
          <w:szCs w:val="32"/>
          <w:lang w:val="en-US" w:eastAsia="zh-CN"/>
        </w:rPr>
        <w:t>1.</w:t>
      </w:r>
      <w:r>
        <w:rPr>
          <w:rFonts w:ascii="Times New Roman" w:hAnsi="Times New Roman" w:eastAsia="楷体_GB2312"/>
          <w:b/>
          <w:bCs/>
          <w:kern w:val="0"/>
          <w:sz w:val="32"/>
          <w:szCs w:val="32"/>
        </w:rPr>
        <w:t>资金计划。</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2021年1月，根据《关于提前下达2021年基本公共卫生服务中央补助资金的通知》（盐财资行〔2021〕40号），下达2021年基本公共卫生服务中央补助资金80000元。</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2</w:t>
      </w:r>
      <w:r>
        <w:rPr>
          <w:rFonts w:hint="eastAsia" w:ascii="Times New Roman" w:hAnsi="Times New Roman" w:eastAsia="楷体_GB2312"/>
          <w:b/>
          <w:bCs/>
          <w:kern w:val="0"/>
          <w:sz w:val="32"/>
          <w:szCs w:val="32"/>
          <w:lang w:val="en-US" w:eastAsia="zh-CN"/>
        </w:rPr>
        <w:t>.</w:t>
      </w:r>
      <w:r>
        <w:rPr>
          <w:rFonts w:ascii="Times New Roman" w:hAnsi="Times New Roman" w:eastAsia="楷体_GB2312"/>
          <w:b/>
          <w:bCs/>
          <w:kern w:val="0"/>
          <w:sz w:val="32"/>
          <w:szCs w:val="32"/>
        </w:rPr>
        <w:t>资金到位。</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基本公共卫生服务中央补助资金80000元，资金全部到位，资金到位率100%。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3</w:t>
      </w:r>
      <w:r>
        <w:rPr>
          <w:rFonts w:hint="eastAsia" w:ascii="Times New Roman" w:hAnsi="Times New Roman" w:eastAsia="楷体_GB2312"/>
          <w:b/>
          <w:bCs/>
          <w:kern w:val="0"/>
          <w:sz w:val="32"/>
          <w:szCs w:val="32"/>
          <w:lang w:val="en-US" w:eastAsia="zh-CN"/>
        </w:rPr>
        <w:t>.</w:t>
      </w:r>
      <w:r>
        <w:rPr>
          <w:rFonts w:ascii="Times New Roman" w:hAnsi="Times New Roman" w:eastAsia="楷体_GB2312"/>
          <w:b/>
          <w:bCs/>
          <w:kern w:val="0"/>
          <w:sz w:val="32"/>
          <w:szCs w:val="32"/>
        </w:rPr>
        <w:t>资金使用。</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项目资金用于监督执法装备经费1.34万元，国家和省级卫生监督双随机监监测费2.43万元及房屋维修维护费4.23万元。支付进度、支付依据符合财务制度规定，与预算相符。</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（三）项目财务管理情况。</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有健全的财务制度，项目预算、招投标、合同签订、资金拨付严格按照财务管理制度进行管理。保证专款专用，资金发放复查由财务人员按照财务制度进行资金的审核、支付和核算，所有支出均以转账方式进行，在具体支付时，具备了资金发票、合同、验收清单等相关材料，手续是完善的，不存在虚假会计凭证的情况，会计严格执行财务管理制度，财务处理及时，核算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numPr>
          <w:ilvl w:val="0"/>
          <w:numId w:val="4"/>
        </w:numPr>
        <w:autoSpaceDE w:val="0"/>
        <w:autoSpaceDN w:val="0"/>
        <w:adjustRightInd w:val="0"/>
        <w:spacing w:line="600" w:lineRule="exact"/>
        <w:ind w:left="-10" w:leftChars="0" w:firstLine="640" w:firstLineChars="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项目组织架构及实施流程。</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我队严格按照“项目实施有计划、经费使用有审批、项目完成有总结”来管理项目资金。</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1.根据项目申报和经费下达情况编制项目采购需求，进行比选，签订合同。</w:t>
      </w:r>
    </w:p>
    <w:p>
      <w:pPr>
        <w:widowControl/>
        <w:pBdr>
          <w:top w:val="none" w:color="auto" w:sz="0" w:space="0"/>
          <w:left w:val="none" w:color="auto" w:sz="0" w:space="0"/>
          <w:bottom w:val="none" w:color="auto" w:sz="0" w:space="0"/>
          <w:right w:val="none" w:color="auto" w:sz="0" w:space="0"/>
        </w:pBdr>
        <w:autoSpaceDE/>
        <w:autoSpaceDN/>
        <w:adjustRightInd/>
        <w:spacing w:line="600" w:lineRule="atLeast"/>
        <w:ind w:firstLine="624" w:firstLineChars="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2.选中企业按合同提供服务。</w:t>
      </w:r>
    </w:p>
    <w:p>
      <w:pPr>
        <w:autoSpaceDE w:val="0"/>
        <w:autoSpaceDN w:val="0"/>
        <w:adjustRightInd w:val="0"/>
        <w:spacing w:line="600" w:lineRule="exact"/>
        <w:ind w:firstLine="640" w:firstLineChars="200"/>
        <w:jc w:val="left"/>
        <w:rPr>
          <w:rFonts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2"/>
          <w:sz w:val="32"/>
          <w:szCs w:val="32"/>
          <w:lang w:val="en-US" w:eastAsia="zh-CN" w:bidi="ar-SA"/>
        </w:rPr>
        <w:t>3.合同履行完毕，经验收合格后，按合同签订的进度拨付资金</w:t>
      </w:r>
      <w:r>
        <w:rPr>
          <w:rFonts w:hint="eastAsia" w:ascii="Times New Roman" w:hAnsi="Times New Roman" w:eastAsia="仿宋_GB2312" w:cs="Times New Roman"/>
          <w:kern w:val="0"/>
          <w:sz w:val="32"/>
          <w:szCs w:val="32"/>
          <w:lang w:val="en-US"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w:t>
      </w:r>
      <w:r>
        <w:rPr>
          <w:rFonts w:ascii="Times New Roman" w:hAnsi="Times New Roman" w:eastAsia="楷体_GB2312"/>
          <w:b/>
          <w:bCs/>
          <w:kern w:val="0"/>
          <w:sz w:val="32"/>
          <w:szCs w:val="32"/>
        </w:rPr>
        <w:t>项目管理情况。</w:t>
      </w:r>
    </w:p>
    <w:p>
      <w:pPr>
        <w:autoSpaceDE w:val="0"/>
        <w:autoSpaceDN w:val="0"/>
        <w:adjustRightInd w:val="0"/>
        <w:spacing w:line="600" w:lineRule="exac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经费使用科室对项目经费的使用和项目的实施负责，稽查科对项目的开展进行监督，分管领导对项目经费的使用严格审批。</w:t>
      </w:r>
    </w:p>
    <w:p>
      <w:pPr>
        <w:numPr>
          <w:ilvl w:val="0"/>
          <w:numId w:val="0"/>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ascii="Times New Roman" w:hAnsi="Times New Roman" w:eastAsia="楷体_GB2312"/>
          <w:kern w:val="0"/>
          <w:sz w:val="32"/>
          <w:szCs w:val="32"/>
          <w:lang w:eastAsia="zh-CN"/>
        </w:rPr>
        <w:t>（</w:t>
      </w:r>
      <w:r>
        <w:rPr>
          <w:rFonts w:hint="eastAsia" w:ascii="Times New Roman" w:hAnsi="Times New Roman" w:eastAsia="楷体_GB2312"/>
          <w:kern w:val="0"/>
          <w:sz w:val="32"/>
          <w:szCs w:val="32"/>
          <w:lang w:val="en-US" w:eastAsia="zh-CN"/>
        </w:rPr>
        <w:t>三</w:t>
      </w:r>
      <w:r>
        <w:rPr>
          <w:rFonts w:hint="eastAsia" w:ascii="Times New Roman" w:hAnsi="Times New Roman" w:eastAsia="楷体_GB2312"/>
          <w:kern w:val="0"/>
          <w:sz w:val="32"/>
          <w:szCs w:val="32"/>
          <w:lang w:eastAsia="zh-CN"/>
        </w:rPr>
        <w:t>）</w:t>
      </w:r>
      <w:r>
        <w:rPr>
          <w:rFonts w:ascii="Times New Roman" w:hAnsi="Times New Roman" w:eastAsia="楷体_GB2312"/>
          <w:b/>
          <w:bCs/>
          <w:kern w:val="0"/>
          <w:sz w:val="32"/>
          <w:szCs w:val="32"/>
        </w:rPr>
        <w:t>项目监管情况。</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jc w:val="left"/>
        <w:textAlignment w:val="auto"/>
        <w:rPr>
          <w:rFonts w:hint="default" w:ascii="Times New Roman" w:hAnsi="Times New Roman" w:eastAsia="楷体_GB2312"/>
          <w:kern w:val="0"/>
          <w:sz w:val="32"/>
          <w:szCs w:val="32"/>
          <w:lang w:val="en-US" w:eastAsia="zh-CN"/>
        </w:rPr>
      </w:pPr>
      <w:r>
        <w:rPr>
          <w:rFonts w:hint="eastAsia" w:ascii="Times New Roman" w:hAnsi="Times New Roman" w:eastAsia="楷体_GB2312"/>
          <w:kern w:val="0"/>
          <w:sz w:val="32"/>
          <w:szCs w:val="32"/>
          <w:lang w:val="en-US" w:eastAsia="zh-CN"/>
        </w:rPr>
        <w:t xml:space="preserve">  </w:t>
      </w:r>
      <w:r>
        <w:rPr>
          <w:rFonts w:hint="eastAsia" w:ascii="Times New Roman" w:hAnsi="Times New Roman" w:eastAsia="仿宋_GB2312" w:cs="Times New Roman"/>
          <w:kern w:val="0"/>
          <w:sz w:val="32"/>
          <w:szCs w:val="32"/>
          <w:lang w:val="en-US" w:eastAsia="zh-CN"/>
        </w:rPr>
        <w:t xml:space="preserve">     对</w:t>
      </w:r>
      <w:r>
        <w:rPr>
          <w:rFonts w:hint="default" w:ascii="Times New Roman" w:hAnsi="Times New Roman" w:eastAsia="仿宋_GB2312" w:cs="Times New Roman"/>
          <w:kern w:val="0"/>
          <w:sz w:val="32"/>
          <w:szCs w:val="32"/>
          <w:lang w:val="en-US" w:eastAsia="zh-CN"/>
        </w:rPr>
        <w:fldChar w:fldCharType="begin"/>
      </w:r>
      <w:r>
        <w:rPr>
          <w:rFonts w:hint="default" w:ascii="Times New Roman" w:hAnsi="Times New Roman" w:eastAsia="仿宋_GB2312" w:cs="Times New Roman"/>
          <w:kern w:val="0"/>
          <w:sz w:val="32"/>
          <w:szCs w:val="32"/>
          <w:lang w:val="en-US" w:eastAsia="zh-CN"/>
        </w:rPr>
        <w:instrText xml:space="preserve"> HYPERLINK "http://www.baidu.com/link?url=jZM2JH_m6xe_5LDXZ4fMTBxyNoJoOjys0si1H2kJkhjKiiYgD9mnFQK7FIC6NJNO5VFHq9ZaVdEtAmBQn_H6837xU9vAKxUKUFQl7kK4eCq" </w:instrText>
      </w:r>
      <w:r>
        <w:rPr>
          <w:rFonts w:hint="default" w:ascii="Times New Roman" w:hAnsi="Times New Roman" w:eastAsia="仿宋_GB2312" w:cs="Times New Roman"/>
          <w:kern w:val="0"/>
          <w:sz w:val="32"/>
          <w:szCs w:val="32"/>
          <w:lang w:val="en-US" w:eastAsia="zh-CN"/>
        </w:rPr>
        <w:fldChar w:fldCharType="separate"/>
      </w:r>
      <w:r>
        <w:rPr>
          <w:rFonts w:hint="eastAsia" w:ascii="Times New Roman" w:hAnsi="Times New Roman" w:eastAsia="仿宋_GB2312" w:cs="Times New Roman"/>
          <w:kern w:val="0"/>
          <w:sz w:val="32"/>
          <w:szCs w:val="32"/>
          <w:lang w:val="en-US" w:eastAsia="zh-CN"/>
        </w:rPr>
        <w:t>专项资金管理使用情况进行监督</w:t>
      </w:r>
      <w:r>
        <w:rPr>
          <w:rFonts w:hint="default" w:ascii="Times New Roman" w:hAnsi="Times New Roman" w:eastAsia="仿宋_GB2312" w:cs="Times New Roman"/>
          <w:kern w:val="0"/>
          <w:sz w:val="32"/>
          <w:szCs w:val="32"/>
          <w:lang w:val="en-US" w:eastAsia="zh-CN"/>
        </w:rPr>
        <w:fldChar w:fldCharType="end"/>
      </w:r>
      <w:r>
        <w:rPr>
          <w:rFonts w:hint="eastAsia" w:ascii="Calibri" w:hAnsi="Calibri" w:eastAsia="微软雅黑" w:cs="Calibri"/>
          <w:i w:val="0"/>
          <w:iCs w:val="0"/>
          <w:caps w:val="0"/>
          <w:color w:val="333333"/>
          <w:spacing w:val="0"/>
          <w:sz w:val="21"/>
          <w:szCs w:val="21"/>
          <w:u w:val="none"/>
          <w:lang w:eastAsia="zh-CN"/>
        </w:rPr>
        <w:t>，</w:t>
      </w:r>
      <w:r>
        <w:rPr>
          <w:rFonts w:hint="eastAsia" w:ascii="Times New Roman" w:hAnsi="Times New Roman" w:eastAsia="仿宋_GB2312" w:cs="Times New Roman"/>
          <w:kern w:val="0"/>
          <w:sz w:val="32"/>
          <w:szCs w:val="32"/>
          <w:lang w:val="en-US" w:eastAsia="zh-CN"/>
        </w:rPr>
        <w:t>按要求，专款专用，实报实销。</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（一）项目完成情况。</w:t>
      </w:r>
    </w:p>
    <w:p>
      <w:pPr>
        <w:numPr>
          <w:ilvl w:val="0"/>
          <w:numId w:val="0"/>
        </w:numPr>
        <w:autoSpaceDE w:val="0"/>
        <w:autoSpaceDN w:val="0"/>
        <w:adjustRightInd w:val="0"/>
        <w:spacing w:line="600" w:lineRule="exact"/>
        <w:ind w:firstLine="640"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1.数量和质量指标</w:t>
      </w:r>
    </w:p>
    <w:p>
      <w:pPr>
        <w:autoSpaceDE w:val="0"/>
        <w:autoSpaceDN w:val="0"/>
        <w:adjustRightInd w:val="0"/>
        <w:spacing w:line="600" w:lineRule="exact"/>
        <w:ind w:firstLine="640"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（1）监督检查各类机构（场所）1675户次，出具卫生监督意见书 858份，对存在的各种问题责令及时进行整改和查处。其中监督检查医疗卫生机构742户次，出具卫生监督意见书342份；监督检查各类公共场所738户次，出具卫生监督意见书412份；监督检查隔离医学观察场所7户次；出具卫生监督意见书7份；监督集中式供水单位12户次；出具卫生监督意见书12份；监督检查餐饮具消毒单6户次；出具卫生监督意见书6份；监督检查企业12户次；出具卫生监督意见书12份；监督检查学校105户次；出具卫生监督意见书47份；监督检查现制现售水经营单位15户次，供水设备75台次，出具卫生监督意见书15份。</w:t>
      </w:r>
    </w:p>
    <w:p>
      <w:pPr>
        <w:numPr>
          <w:ilvl w:val="0"/>
          <w:numId w:val="0"/>
        </w:numPr>
        <w:autoSpaceDE w:val="0"/>
        <w:autoSpaceDN w:val="0"/>
        <w:adjustRightInd w:val="0"/>
        <w:spacing w:line="600" w:lineRule="exact"/>
        <w:ind w:firstLine="640"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（2）受理卫生许可申请127户，办结127户，限时办结率达100%，群众满意度达98%。</w:t>
      </w:r>
    </w:p>
    <w:p>
      <w:pPr>
        <w:numPr>
          <w:ilvl w:val="0"/>
          <w:numId w:val="0"/>
        </w:numPr>
        <w:autoSpaceDE w:val="0"/>
        <w:autoSpaceDN w:val="0"/>
        <w:adjustRightInd w:val="0"/>
        <w:spacing w:line="600" w:lineRule="exact"/>
        <w:ind w:firstLine="640"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（3）打击非法行医，打击取缔流动游医摊点7个，黑诊所3家；收缴违法宣传物品、药品、酒精、牙模、手术钳、银针火罐等150余公斤。</w:t>
      </w:r>
    </w:p>
    <w:p>
      <w:pPr>
        <w:numPr>
          <w:ilvl w:val="0"/>
          <w:numId w:val="0"/>
        </w:numPr>
        <w:autoSpaceDE w:val="0"/>
        <w:autoSpaceDN w:val="0"/>
        <w:adjustRightInd w:val="0"/>
        <w:spacing w:line="600" w:lineRule="exact"/>
        <w:ind w:firstLine="640"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（4）按时圆满完成2020年度国家“双随机”监督抽检任务，监督完成数82户，监督完成率100%；抽样监测完成28家，抽检完成率100%；任务完成数82户，任务完成率100%，任务完结率100%。</w:t>
      </w:r>
    </w:p>
    <w:p>
      <w:pPr>
        <w:numPr>
          <w:ilvl w:val="0"/>
          <w:numId w:val="0"/>
        </w:numPr>
        <w:autoSpaceDE w:val="0"/>
        <w:autoSpaceDN w:val="0"/>
        <w:adjustRightInd w:val="0"/>
        <w:spacing w:line="600" w:lineRule="exact"/>
        <w:ind w:firstLine="640"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（5）2021年共受理举报投诉4件，并及时调查处理和回复。全年共立案查处各类违法案件70件，罚款金额为3.82万元。</w:t>
      </w:r>
    </w:p>
    <w:p>
      <w:pPr>
        <w:numPr>
          <w:ilvl w:val="0"/>
          <w:numId w:val="0"/>
        </w:numPr>
        <w:autoSpaceDE w:val="0"/>
        <w:autoSpaceDN w:val="0"/>
        <w:adjustRightInd w:val="0"/>
        <w:spacing w:line="600" w:lineRule="exact"/>
        <w:ind w:firstLine="643" w:firstLineChars="200"/>
        <w:jc w:val="left"/>
        <w:rPr>
          <w:rFonts w:hint="eastAsia" w:ascii="Times New Roman" w:hAnsi="Times New Roman" w:eastAsia="仿宋_GB2312" w:cs="Times New Roman"/>
          <w:kern w:val="0"/>
          <w:sz w:val="32"/>
          <w:szCs w:val="32"/>
          <w:lang w:val="zh-CN" w:eastAsia="zh-CN"/>
        </w:rPr>
      </w:pPr>
      <w:r>
        <w:rPr>
          <w:rFonts w:hint="eastAsia" w:ascii="Times New Roman" w:hAnsi="Times New Roman" w:eastAsia="仿宋_GB2312" w:cs="Times New Roman"/>
          <w:b/>
          <w:bCs/>
          <w:kern w:val="0"/>
          <w:sz w:val="32"/>
          <w:szCs w:val="32"/>
          <w:lang w:val="en-US" w:eastAsia="zh-CN"/>
        </w:rPr>
        <w:t>2.时效指标</w:t>
      </w:r>
      <w:r>
        <w:rPr>
          <w:rFonts w:hint="eastAsia" w:ascii="Times New Roman" w:hAnsi="Times New Roman" w:eastAsia="仿宋_GB2312" w:cs="Times New Roman"/>
          <w:kern w:val="0"/>
          <w:sz w:val="32"/>
          <w:szCs w:val="32"/>
          <w:lang w:val="en-US" w:eastAsia="zh-CN"/>
        </w:rPr>
        <w:t xml:space="preserve"> </w:t>
      </w:r>
      <w:r>
        <w:rPr>
          <w:rFonts w:hint="eastAsia" w:ascii="仿宋" w:hAnsi="仿宋" w:eastAsia="仿宋" w:cs="仿宋"/>
          <w:i w:val="0"/>
          <w:iCs w:val="0"/>
          <w:caps w:val="0"/>
          <w:color w:val="3D3D3D"/>
          <w:spacing w:val="-2"/>
          <w:sz w:val="32"/>
          <w:szCs w:val="32"/>
          <w:lang w:val="en-US" w:eastAsia="zh-CN"/>
        </w:rPr>
        <w:t xml:space="preserve">   </w:t>
      </w:r>
      <w:r>
        <w:rPr>
          <w:rFonts w:hint="eastAsia" w:ascii="Times New Roman" w:hAnsi="Times New Roman" w:eastAsia="仿宋_GB2312" w:cs="Times New Roman"/>
          <w:kern w:val="0"/>
          <w:sz w:val="32"/>
          <w:szCs w:val="32"/>
          <w:lang w:val="zh-CN" w:eastAsia="zh-CN"/>
        </w:rPr>
        <w:t>20</w:t>
      </w:r>
      <w:r>
        <w:rPr>
          <w:rFonts w:hint="eastAsia" w:ascii="Times New Roman" w:hAnsi="Times New Roman" w:eastAsia="仿宋_GB2312" w:cs="Times New Roman"/>
          <w:kern w:val="0"/>
          <w:sz w:val="32"/>
          <w:szCs w:val="32"/>
          <w:lang w:val="en-US" w:eastAsia="zh-CN"/>
        </w:rPr>
        <w:t>21</w:t>
      </w:r>
      <w:r>
        <w:rPr>
          <w:rFonts w:hint="eastAsia" w:ascii="Times New Roman" w:hAnsi="Times New Roman" w:eastAsia="仿宋_GB2312" w:cs="Times New Roman"/>
          <w:kern w:val="0"/>
          <w:sz w:val="32"/>
          <w:szCs w:val="32"/>
          <w:lang w:val="zh-CN" w:eastAsia="zh-CN"/>
        </w:rPr>
        <w:t>年度下达资金全部完成支付，严格按工作进度执行预算，12月支出</w:t>
      </w:r>
      <w:r>
        <w:rPr>
          <w:rFonts w:hint="eastAsia" w:ascii="Times New Roman" w:hAnsi="Times New Roman" w:eastAsia="仿宋_GB2312" w:cs="Times New Roman"/>
          <w:kern w:val="0"/>
          <w:sz w:val="32"/>
          <w:szCs w:val="32"/>
          <w:lang w:val="en-US" w:eastAsia="zh-CN"/>
        </w:rPr>
        <w:t>8</w:t>
      </w:r>
      <w:r>
        <w:rPr>
          <w:rFonts w:hint="eastAsia" w:ascii="Times New Roman" w:hAnsi="Times New Roman" w:eastAsia="仿宋_GB2312" w:cs="Times New Roman"/>
          <w:kern w:val="0"/>
          <w:sz w:val="32"/>
          <w:szCs w:val="32"/>
          <w:lang w:val="zh-CN" w:eastAsia="zh-CN"/>
        </w:rPr>
        <w:t>万元，完成全年支出的100% 。</w:t>
      </w:r>
    </w:p>
    <w:p>
      <w:pPr>
        <w:numPr>
          <w:ilvl w:val="0"/>
          <w:numId w:val="0"/>
        </w:numPr>
        <w:autoSpaceDE w:val="0"/>
        <w:autoSpaceDN w:val="0"/>
        <w:adjustRightInd w:val="0"/>
        <w:spacing w:line="600" w:lineRule="exact"/>
        <w:ind w:firstLine="643" w:firstLineChars="200"/>
        <w:jc w:val="left"/>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3.</w:t>
      </w:r>
      <w:r>
        <w:rPr>
          <w:rFonts w:hint="eastAsia" w:ascii="Times New Roman" w:hAnsi="Times New Roman" w:eastAsia="仿宋_GB2312" w:cs="Times New Roman"/>
          <w:b/>
          <w:bCs/>
          <w:kern w:val="0"/>
          <w:sz w:val="32"/>
          <w:szCs w:val="32"/>
          <w:lang w:val="zh-CN" w:eastAsia="zh-CN"/>
        </w:rPr>
        <w:t>成本指标</w:t>
      </w:r>
      <w:r>
        <w:rPr>
          <w:rFonts w:hint="eastAsia" w:ascii="Times New Roman" w:hAnsi="Times New Roman" w:eastAsia="仿宋_GB2312" w:cs="Times New Roman"/>
          <w:b/>
          <w:bCs/>
          <w:kern w:val="0"/>
          <w:sz w:val="32"/>
          <w:szCs w:val="32"/>
          <w:lang w:val="en-US" w:eastAsia="zh-CN"/>
        </w:rPr>
        <w:t xml:space="preserve">   </w:t>
      </w:r>
      <w:r>
        <w:rPr>
          <w:rFonts w:hint="eastAsia" w:ascii="Times New Roman" w:hAnsi="Times New Roman" w:eastAsia="仿宋_GB2312" w:cs="Times New Roman"/>
          <w:kern w:val="0"/>
          <w:sz w:val="32"/>
          <w:szCs w:val="32"/>
          <w:lang w:val="en-US" w:eastAsia="zh-CN"/>
        </w:rPr>
        <w:t xml:space="preserve"> </w:t>
      </w:r>
      <w:r>
        <w:rPr>
          <w:rFonts w:hint="eastAsia" w:ascii="Times New Roman" w:hAnsi="Times New Roman" w:eastAsia="仿宋_GB2312" w:cs="Times New Roman"/>
          <w:kern w:val="0"/>
          <w:sz w:val="32"/>
          <w:szCs w:val="32"/>
          <w:lang w:val="zh-CN" w:eastAsia="zh-CN"/>
        </w:rPr>
        <w:t>按下拨金额规范使用资金，</w:t>
      </w:r>
      <w:r>
        <w:rPr>
          <w:rFonts w:hint="default" w:ascii="Times New Roman" w:hAnsi="Times New Roman" w:eastAsia="仿宋_GB2312" w:cs="Times New Roman"/>
          <w:kern w:val="0"/>
          <w:sz w:val="32"/>
          <w:szCs w:val="32"/>
          <w:lang w:val="zh-CN" w:eastAsia="zh-CN"/>
        </w:rPr>
        <w:t>完成率为100%。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（二）项目效益情况。</w:t>
      </w:r>
    </w:p>
    <w:p>
      <w:pPr>
        <w:autoSpaceDE w:val="0"/>
        <w:autoSpaceDN w:val="0"/>
        <w:adjustRightInd w:val="0"/>
        <w:spacing w:line="600" w:lineRule="exact"/>
        <w:ind w:firstLine="643" w:firstLineChars="200"/>
        <w:jc w:val="left"/>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1.满意度指标</w:t>
      </w:r>
      <w:r>
        <w:rPr>
          <w:rFonts w:hint="eastAsia"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lang w:val="en-US" w:eastAsia="zh-CN"/>
        </w:rPr>
        <w:t>被抽查服务对象满意度测评达满意或基本满意90%及以上。</w:t>
      </w:r>
    </w:p>
    <w:p>
      <w:pPr>
        <w:autoSpaceDE w:val="0"/>
        <w:autoSpaceDN w:val="0"/>
        <w:adjustRightInd w:val="0"/>
        <w:spacing w:line="600" w:lineRule="exact"/>
        <w:ind w:firstLine="643"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2.社会效益</w:t>
      </w:r>
      <w:r>
        <w:rPr>
          <w:rFonts w:hint="eastAsia" w:ascii="Times New Roman" w:hAnsi="Times New Roman" w:eastAsia="仿宋_GB2312" w:cs="Times New Roman"/>
          <w:kern w:val="0"/>
          <w:sz w:val="32"/>
          <w:szCs w:val="32"/>
          <w:lang w:val="en-US" w:eastAsia="zh-CN"/>
        </w:rPr>
        <w:t xml:space="preserve">   扎实开展了卫生监督综合执法，对公共场所、供水单位、医疗机构、放射诊疗单位、职业卫生机构、医疗机构传染病防治、采供血机构、学校、计划生育技术服务机构、餐饮具消毒单位等机构进行了卫生监督。进一步规范医疗卫生行业综合监管秩序，非法行医大幅减少。</w:t>
      </w:r>
    </w:p>
    <w:p>
      <w:pPr>
        <w:autoSpaceDE w:val="0"/>
        <w:autoSpaceDN w:val="0"/>
        <w:adjustRightInd w:val="0"/>
        <w:spacing w:line="600" w:lineRule="exact"/>
        <w:ind w:firstLine="643" w:firstLineChars="20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3.可持续影响</w:t>
      </w:r>
      <w:r>
        <w:rPr>
          <w:rFonts w:hint="eastAsia" w:ascii="Times New Roman" w:hAnsi="Times New Roman" w:eastAsia="仿宋_GB2312" w:cs="Times New Roman"/>
          <w:kern w:val="0"/>
          <w:sz w:val="32"/>
          <w:szCs w:val="32"/>
          <w:lang w:val="en-US" w:eastAsia="zh-CN"/>
        </w:rPr>
        <w:t xml:space="preserve">   管理对象依法行医、规范执业意识、防控风险意识有所提高。</w:t>
      </w:r>
    </w:p>
    <w:p>
      <w:pPr>
        <w:autoSpaceDE w:val="0"/>
        <w:autoSpaceDN w:val="0"/>
        <w:adjustRightInd w:val="0"/>
        <w:spacing w:line="600" w:lineRule="exact"/>
        <w:ind w:firstLine="643" w:firstLineChars="200"/>
        <w:jc w:val="left"/>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4.经济效益</w:t>
      </w:r>
      <w:r>
        <w:rPr>
          <w:rFonts w:hint="eastAsia" w:ascii="Times New Roman" w:hAnsi="Times New Roman" w:eastAsia="仿宋_GB2312" w:cs="Times New Roman"/>
          <w:kern w:val="0"/>
          <w:sz w:val="32"/>
          <w:szCs w:val="32"/>
          <w:lang w:val="en-US" w:eastAsia="zh-CN"/>
        </w:rPr>
        <w:t xml:space="preserve">   年初预算8万元，全年实际执行数为8万元，执行率为100%。</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keepNext w:val="0"/>
        <w:keepLines w:val="0"/>
        <w:pageBreakBefore w:val="0"/>
        <w:kinsoku/>
        <w:wordWrap/>
        <w:overflowPunct/>
        <w:topLinePunct w:val="0"/>
        <w:autoSpaceDE/>
        <w:autoSpaceDN/>
        <w:bidi w:val="0"/>
        <w:spacing w:line="570" w:lineRule="exact"/>
        <w:ind w:firstLine="640" w:firstLineChars="200"/>
        <w:textAlignment w:val="auto"/>
        <w:rPr>
          <w:rFonts w:ascii="Times New Roman" w:hAnsi="Times New Roman" w:eastAsia="仿宋_GB2312"/>
          <w:kern w:val="0"/>
          <w:sz w:val="32"/>
          <w:szCs w:val="32"/>
        </w:rPr>
      </w:pP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lang w:val="zh-CN" w:eastAsia="zh-CN"/>
        </w:rPr>
        <w:t>我单位</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lang w:val="zh-CN" w:eastAsia="zh-CN"/>
        </w:rPr>
        <w:t>支出严格执行国家的相关财务管理制度，</w:t>
      </w:r>
      <w:r>
        <w:rPr>
          <w:rFonts w:hint="eastAsia" w:ascii="仿宋_GB2312" w:hAnsi="仿宋_GB2312" w:eastAsia="仿宋_GB2312" w:cs="仿宋_GB2312"/>
          <w:sz w:val="32"/>
          <w:szCs w:val="32"/>
          <w:lang w:val="en-US" w:eastAsia="zh-CN"/>
        </w:rPr>
        <w:t>按时间进度支付，达到执行进度，年终无结余，无超预算、无预算执行的情况，</w:t>
      </w:r>
      <w:r>
        <w:rPr>
          <w:rFonts w:hint="eastAsia" w:ascii="仿宋_GB2312" w:hAnsi="仿宋_GB2312" w:eastAsia="仿宋_GB2312" w:cs="仿宋_GB2312"/>
          <w:sz w:val="32"/>
          <w:szCs w:val="32"/>
          <w:lang w:val="zh-CN" w:eastAsia="zh-CN"/>
        </w:rPr>
        <w:t>保证了部门的正常运行和日常工作的正常开展，达到预期绩效目标。</w:t>
      </w:r>
    </w:p>
    <w:p>
      <w:pPr>
        <w:keepNext w:val="0"/>
        <w:keepLines w:val="0"/>
        <w:pageBreakBefore w:val="0"/>
        <w:kinsoku/>
        <w:wordWrap/>
        <w:overflowPunct/>
        <w:topLinePunct w:val="0"/>
        <w:autoSpaceDE/>
        <w:autoSpaceDN/>
        <w:bidi w:val="0"/>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Times New Roman" w:hAnsi="Times New Roman" w:eastAsia="楷体_GB2312" w:cs="Times New Roman"/>
          <w:kern w:val="0"/>
          <w:sz w:val="32"/>
          <w:szCs w:val="32"/>
          <w:lang w:val="en-US" w:eastAsia="zh-CN"/>
        </w:rPr>
        <w:t>存在的问题。</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在资金安排和使用上仍有不可预见性。</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autoSpaceDE w:val="0"/>
        <w:autoSpaceDN w:val="0"/>
        <w:adjustRightInd w:val="0"/>
        <w:spacing w:line="600" w:lineRule="exact"/>
        <w:ind w:firstLine="960" w:firstLineChars="3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无</w:t>
      </w:r>
      <w:r>
        <w:rPr>
          <w:rFonts w:ascii="Times New Roman" w:hAnsi="Times New Roman" w:eastAsia="仿宋_GB2312"/>
          <w:kern w:val="0"/>
          <w:sz w:val="32"/>
          <w:szCs w:val="32"/>
        </w:rPr>
        <w:t>。</w:t>
      </w:r>
    </w:p>
    <w:p>
      <w:pPr>
        <w:pStyle w:val="7"/>
        <w:spacing w:line="600" w:lineRule="exact"/>
        <w:ind w:firstLine="640" w:firstLineChars="200"/>
        <w:jc w:val="left"/>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 xml:space="preserve">   </w:t>
      </w:r>
    </w:p>
    <w:p>
      <w:pPr>
        <w:pStyle w:val="7"/>
        <w:spacing w:line="600" w:lineRule="exact"/>
        <w:ind w:firstLine="640" w:firstLineChars="200"/>
        <w:jc w:val="left"/>
        <w:rPr>
          <w:rFonts w:hint="eastAsia" w:ascii="黑体" w:hAnsi="黑体" w:eastAsia="黑体" w:cs="仿宋_GB2312"/>
          <w:sz w:val="32"/>
          <w:szCs w:val="32"/>
          <w:lang w:val="en-US" w:eastAsia="zh-CN"/>
        </w:rPr>
      </w:pPr>
    </w:p>
    <w:p>
      <w:pPr>
        <w:pStyle w:val="7"/>
        <w:spacing w:line="600" w:lineRule="exact"/>
        <w:ind w:firstLine="640" w:firstLineChars="200"/>
        <w:jc w:val="left"/>
        <w:rPr>
          <w:rFonts w:hint="eastAsia" w:ascii="黑体" w:hAnsi="黑体" w:eastAsia="黑体" w:cs="仿宋_GB2312"/>
          <w:sz w:val="32"/>
          <w:szCs w:val="32"/>
          <w:lang w:val="en-US" w:eastAsia="zh-CN"/>
        </w:rPr>
      </w:pPr>
    </w:p>
    <w:p>
      <w:pPr>
        <w:pStyle w:val="7"/>
        <w:spacing w:line="600" w:lineRule="exact"/>
        <w:ind w:firstLine="640" w:firstLineChars="200"/>
        <w:jc w:val="left"/>
        <w:rPr>
          <w:rFonts w:hint="eastAsia" w:ascii="黑体" w:hAnsi="黑体" w:eastAsia="黑体" w:cs="仿宋_GB2312"/>
          <w:sz w:val="32"/>
          <w:szCs w:val="32"/>
          <w:lang w:val="en-US" w:eastAsia="zh-CN"/>
        </w:rPr>
      </w:pPr>
    </w:p>
    <w:p>
      <w:pPr>
        <w:pStyle w:val="7"/>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黑体" w:hAnsi="黑体" w:eastAsia="黑体" w:cs="仿宋_GB2312"/>
          <w:sz w:val="32"/>
          <w:szCs w:val="32"/>
          <w:lang w:val="en-US" w:eastAsia="zh-CN"/>
        </w:rPr>
        <w:t xml:space="preserve">               </w:t>
      </w:r>
      <w:r>
        <w:rPr>
          <w:rFonts w:hint="eastAsia" w:ascii="仿宋_GB2312" w:hAnsi="仿宋_GB2312" w:eastAsia="仿宋_GB2312" w:cs="仿宋_GB2312"/>
          <w:sz w:val="32"/>
          <w:szCs w:val="32"/>
          <w:lang w:val="en-US" w:eastAsia="zh-CN"/>
        </w:rPr>
        <w:t>盐边县卫生和计划生育监督执法大队</w:t>
      </w:r>
    </w:p>
    <w:p>
      <w:pPr>
        <w:pStyle w:val="7"/>
        <w:spacing w:line="600" w:lineRule="exact"/>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2022年5月16日</w:t>
      </w:r>
    </w:p>
    <w:p>
      <w:pPr>
        <w:spacing w:line="572" w:lineRule="exact"/>
        <w:jc w:val="left"/>
        <w:outlineLvl w:val="0"/>
        <w:rPr>
          <w:rFonts w:hint="eastAsia" w:ascii="黑体" w:hAnsi="黑体" w:eastAsia="黑体" w:cs="黑体"/>
          <w:sz w:val="32"/>
          <w:szCs w:val="32"/>
        </w:rPr>
        <w:sectPr>
          <w:headerReference r:id="rId4" w:type="first"/>
          <w:footerReference r:id="rId6" w:type="first"/>
          <w:headerReference r:id="rId3" w:type="default"/>
          <w:footerReference r:id="rId5" w:type="default"/>
          <w:pgSz w:w="11906" w:h="16838"/>
          <w:pgMar w:top="1440" w:right="1800" w:bottom="1440" w:left="1800" w:header="851" w:footer="992" w:gutter="0"/>
          <w:pgNumType w:fmt="decimal" w:start="1"/>
          <w:cols w:space="425" w:num="1"/>
          <w:titlePg/>
          <w:docGrid w:type="lines" w:linePitch="312" w:charSpace="0"/>
        </w:sectPr>
      </w:pPr>
    </w:p>
    <w:p>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896"/>
        <w:gridCol w:w="1217"/>
        <w:gridCol w:w="1853"/>
        <w:gridCol w:w="1480"/>
        <w:gridCol w:w="2153"/>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textAlignment w:val="center"/>
              <w:rPr>
                <w:rFonts w:ascii="宋体" w:hAnsi="宋体" w:cs="宋体"/>
                <w:b/>
                <w:sz w:val="32"/>
                <w:szCs w:val="32"/>
              </w:rPr>
            </w:pPr>
            <w:bookmarkStart w:id="57" w:name="_Toc15396618"/>
            <w:r>
              <w:rPr>
                <w:rFonts w:hint="eastAsia" w:ascii="宋体" w:hAnsi="宋体" w:cs="宋体"/>
                <w:b/>
                <w:sz w:val="32"/>
                <w:szCs w:val="32"/>
              </w:rPr>
              <w:t>2021年100万元以</w:t>
            </w:r>
            <w:r>
              <w:rPr>
                <w:rFonts w:hint="eastAsia" w:ascii="宋体" w:hAnsi="宋体" w:cs="宋体"/>
                <w:b/>
                <w:sz w:val="32"/>
                <w:szCs w:val="32"/>
                <w:lang w:eastAsia="zh-CN"/>
              </w:rPr>
              <w:t>下</w:t>
            </w:r>
            <w:r>
              <w:rPr>
                <w:rFonts w:hint="eastAsia" w:ascii="宋体" w:hAnsi="宋体" w:cs="宋体"/>
                <w:b/>
                <w:sz w:val="32"/>
                <w:szCs w:val="32"/>
              </w:rPr>
              <w:t>（含）特定目标类部门预算项目绩效目标自评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2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盐边县卫生健康局</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盐边县卫生和计划生育监督执法大队</w:t>
            </w:r>
          </w:p>
        </w:tc>
      </w:tr>
      <w:tr>
        <w:tblPrEx>
          <w:tblCellMar>
            <w:top w:w="0" w:type="dxa"/>
            <w:left w:w="108" w:type="dxa"/>
            <w:bottom w:w="0" w:type="dxa"/>
            <w:right w:w="108" w:type="dxa"/>
          </w:tblCellMar>
        </w:tblPrEx>
        <w:trPr>
          <w:gridAfter w:val="1"/>
          <w:wAfter w:w="236" w:type="dxa"/>
          <w:trHeight w:val="341" w:hRule="atLeast"/>
        </w:trPr>
        <w:tc>
          <w:tcPr>
            <w:tcW w:w="287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项目预算</w:t>
            </w:r>
          </w:p>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预算</w:t>
            </w:r>
            <w:r>
              <w:rPr>
                <w:rFonts w:hint="eastAsia" w:ascii="宋体" w:hAnsi="宋体" w:cs="宋体"/>
                <w:kern w:val="0"/>
                <w:sz w:val="24"/>
                <w:lang w:eastAsia="zh-CN"/>
              </w:rPr>
              <w:t>数</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eastAsia" w:ascii="宋体" w:hAnsi="宋体" w:eastAsia="宋体" w:cs="宋体"/>
                <w:sz w:val="24"/>
                <w:lang w:val="en-US" w:eastAsia="zh-CN"/>
              </w:rPr>
            </w:pPr>
            <w:r>
              <w:rPr>
                <w:rFonts w:hint="eastAsia" w:ascii="宋体" w:hAnsi="宋体" w:cs="宋体"/>
                <w:sz w:val="24"/>
                <w:lang w:val="en-US" w:eastAsia="zh-CN"/>
              </w:rPr>
              <w:t>8</w:t>
            </w:r>
          </w:p>
        </w:tc>
      </w:tr>
      <w:tr>
        <w:tblPrEx>
          <w:tblCellMar>
            <w:top w:w="0" w:type="dxa"/>
            <w:left w:w="108" w:type="dxa"/>
            <w:bottom w:w="0" w:type="dxa"/>
            <w:right w:w="108" w:type="dxa"/>
          </w:tblCellMar>
        </w:tblPrEx>
        <w:trPr>
          <w:gridAfter w:val="1"/>
          <w:wAfter w:w="236" w:type="dxa"/>
          <w:trHeight w:val="555" w:hRule="atLeast"/>
        </w:trPr>
        <w:tc>
          <w:tcPr>
            <w:tcW w:w="28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val="en-US" w:eastAsia="zh-CN"/>
              </w:rPr>
            </w:pPr>
            <w:r>
              <w:rPr>
                <w:rFonts w:hint="eastAsia" w:ascii="宋体" w:hAnsi="宋体" w:cs="宋体"/>
                <w:sz w:val="24"/>
                <w:lang w:val="en-US" w:eastAsia="zh-CN"/>
              </w:rPr>
              <w:t>8</w:t>
            </w:r>
          </w:p>
        </w:tc>
      </w:tr>
      <w:tr>
        <w:tblPrEx>
          <w:tblCellMar>
            <w:top w:w="0" w:type="dxa"/>
            <w:left w:w="108" w:type="dxa"/>
            <w:bottom w:w="0" w:type="dxa"/>
            <w:right w:w="108" w:type="dxa"/>
          </w:tblCellMar>
        </w:tblPrEx>
        <w:trPr>
          <w:gridAfter w:val="1"/>
          <w:wAfter w:w="236" w:type="dxa"/>
          <w:trHeight w:val="341" w:hRule="atLeast"/>
        </w:trPr>
        <w:tc>
          <w:tcPr>
            <w:tcW w:w="28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val="en-US" w:eastAsia="zh-CN"/>
              </w:rPr>
            </w:pPr>
            <w:r>
              <w:rPr>
                <w:rFonts w:hint="eastAsia" w:ascii="宋体" w:hAnsi="宋体" w:cs="宋体"/>
                <w:sz w:val="24"/>
                <w:lang w:val="en-US" w:eastAsia="zh-CN"/>
              </w:rPr>
              <w:t>0</w:t>
            </w: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eastAsia="宋体" w:cs="宋体"/>
                <w:i w:val="0"/>
                <w:iCs w:val="0"/>
                <w:color w:val="000000"/>
                <w:kern w:val="0"/>
                <w:sz w:val="20"/>
                <w:szCs w:val="20"/>
                <w:u w:val="none"/>
                <w:lang w:val="en-US" w:eastAsia="zh-CN" w:bidi="ar"/>
              </w:rPr>
              <w:t>1.开展卫健法规宣传、专项整治行动和日常监督检查，创建文明（卫生）城市，卫生健康领域执法工作；2.依法依规办理卫生行政许可审批，推行卫生许可告知承诺制度；3.完成国家和省级卫生监督双随机抽检工作；4.强化打击非法行医力度，严肃查处非法行医行为；5.充分履行卫生监督机构的工作职责，依法对公共场所卫生、生活饮用水卫生、餐饮具集中消毒单位，学校卫生、医疗机构、放射诊疗及传染病防治等进行监督，对违法行为进行调查取证并给予处罚。</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eastAsia="宋体" w:cs="宋体"/>
                <w:i w:val="0"/>
                <w:iCs w:val="0"/>
                <w:color w:val="000000"/>
                <w:kern w:val="0"/>
                <w:sz w:val="21"/>
                <w:szCs w:val="21"/>
                <w:u w:val="none"/>
                <w:lang w:val="en-US" w:eastAsia="zh-CN" w:bidi="ar"/>
              </w:rPr>
              <w:t>1.2021年共受理卫生许可申请127户，办结127户，限时办结率达100%，群众满意度达98%。2.依法开展卫生监督执法工作， 2021年我大队出动卫生监督执法人员508人次，共监督检查各类机构（场所）1675户次，出具卫生监督意见书 858份，对存在的各种问题责令及时进行整改和查处。3.打击非法行医，打击取缔流动游医摊点7个，黑诊所3家；收缴违法宣传物品、药品、酒精、牙模、手术钳、银针火罐等150余公斤。4.按时圆满完成2020年度国家“双随机”监督抽检任务，监督完成数82户，监督完成率100%；抽样监测完成28家，抽检完成率100%；任务完成数82户，任务完成率100%，任务完结率100%。5.2021年共受理举报投诉4件，并及时调查处理和回复。全年共立案查处各类违法案件70件，罚款金额为3.82万元。</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896"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指标</w:t>
            </w: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bottom"/>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数量指标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指标1：完成国家和省级双随机28家采样检测任务</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28户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28户</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217" w:type="dxa"/>
            <w:vMerge w:val="continue"/>
            <w:tcBorders>
              <w:left w:val="single" w:color="000000" w:sz="4" w:space="0"/>
              <w:right w:val="single" w:color="000000"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320" w:lineRule="exact"/>
              <w:jc w:val="center"/>
              <w:textAlignment w:val="bottom"/>
              <w:rPr>
                <w:rFonts w:hint="eastAsia" w:ascii="仿宋_GB2312" w:hAnsi="仿宋_GB2312" w:eastAsia="仿宋_GB2312" w:cs="仿宋_GB2312"/>
                <w:kern w:val="0"/>
                <w:sz w:val="28"/>
                <w:szCs w:val="28"/>
              </w:rPr>
            </w:pP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指标2：完成国家双随机82家监督任务</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82户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82户</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217" w:type="dxa"/>
            <w:vMerge w:val="continue"/>
            <w:tcBorders>
              <w:left w:val="single" w:color="000000" w:sz="4" w:space="0"/>
              <w:right w:val="single" w:color="000000"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320" w:lineRule="exact"/>
              <w:jc w:val="center"/>
              <w:textAlignment w:val="bottom"/>
              <w:rPr>
                <w:rFonts w:hint="eastAsia" w:ascii="仿宋_GB2312" w:hAnsi="仿宋_GB2312" w:eastAsia="仿宋_GB2312" w:cs="仿宋_GB2312"/>
                <w:kern w:val="0"/>
                <w:sz w:val="28"/>
                <w:szCs w:val="28"/>
              </w:rPr>
            </w:pP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指标3：卫生计生监督协管服务考核</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2次</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p>
        </w:tc>
        <w:tc>
          <w:tcPr>
            <w:tcW w:w="1217" w:type="dxa"/>
            <w:vMerge w:val="continue"/>
            <w:tcBorders>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320" w:lineRule="exact"/>
              <w:jc w:val="center"/>
              <w:textAlignment w:val="bottom"/>
              <w:rPr>
                <w:rFonts w:ascii="仿宋_GB2312" w:hAnsi="仿宋_GB2312" w:eastAsia="仿宋_GB2312" w:cs="仿宋_GB2312"/>
                <w:sz w:val="28"/>
                <w:szCs w:val="28"/>
              </w:rPr>
            </w:pP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指标4：职业卫生</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37户</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指标1：双随机监督率</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28户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28户</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指标2：双随机采样率</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82户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82户</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指标3：监督信息录入率</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947户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1675户次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指标1：10月前完成</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按进度</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按进度完成</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指标2：卫生计生监督协管服务考核</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半年一次</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2次</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保证项目正常运行</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完成</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指标1：确保国家“双随机”采样检测任务完成。</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“双随机”检测完成，</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“双随机”检测完成，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 指标1：规范医疗卫生行业综合监管秩序，打击取缔非法行医等违法行为；</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保证非法行医大幅减少，公共场所，学校，生活饮用水，职业和放射卫生，医疗和传染病防治卫生标准进一步规范。</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全面确保</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生态效益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指标1：无</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kern w:val="2"/>
                <w:sz w:val="24"/>
                <w:szCs w:val="24"/>
                <w:u w:val="none"/>
                <w:lang w:val="en-US" w:eastAsia="zh-CN" w:bidi="ar-SA"/>
              </w:rPr>
            </w:pP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kern w:val="2"/>
                <w:sz w:val="24"/>
                <w:szCs w:val="24"/>
                <w:u w:val="none"/>
                <w:lang w:val="en-US" w:eastAsia="zh-CN" w:bidi="ar-SA"/>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提升管理对象依法行医、规范执业意识、防控风险；规范医疗服务市场，保障人民群众健康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提升管理对象依法行医、规范执业意识、防控风险；规范医疗服务市场，保障人民群众健康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管理对象依法行医、规范执业意识、防控风险意识有所提高</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指标1.被监管单位满意度</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抽样调查满意度达到基本满意及以上</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抽样调查满意度达到基本满意及以上</w:t>
            </w:r>
          </w:p>
        </w:tc>
      </w:tr>
      <w:tr>
        <w:tblPrEx>
          <w:tblCellMar>
            <w:top w:w="0" w:type="dxa"/>
            <w:left w:w="108" w:type="dxa"/>
            <w:bottom w:w="0" w:type="dxa"/>
            <w:right w:w="108" w:type="dxa"/>
          </w:tblCellMar>
        </w:tblPrEx>
        <w:trPr>
          <w:gridAfter w:val="1"/>
          <w:wAfter w:w="236" w:type="dxa"/>
          <w:trHeight w:val="530" w:hRule="atLeast"/>
        </w:trPr>
        <w:tc>
          <w:tcPr>
            <w:tcW w:w="1976" w:type="dxa"/>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896"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217"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8"/>
                <w:szCs w:val="28"/>
              </w:rPr>
            </w:pPr>
          </w:p>
        </w:tc>
        <w:tc>
          <w:tcPr>
            <w:tcW w:w="185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指标2：人民群众满意度</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抽样调查满意度达到基本满意及以上</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抽样调查满意度达到基本满意及以上</w:t>
            </w:r>
          </w:p>
        </w:tc>
      </w:tr>
    </w:tbl>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6"/>
          <w:rFonts w:hint="eastAsia" w:ascii="黑体" w:hAnsi="黑体" w:eastAsia="黑体"/>
          <w:b w:val="0"/>
        </w:rPr>
        <w:t>五部分 附表</w:t>
      </w:r>
      <w:bookmarkEnd w:id="55"/>
      <w:bookmarkEnd w:id="57"/>
      <w:bookmarkStart w:id="58" w:name="_Toc15396619"/>
    </w:p>
    <w:p>
      <w:pPr>
        <w:pStyle w:val="4"/>
        <w:rPr>
          <w:rFonts w:ascii="仿宋" w:hAnsi="仿宋" w:eastAsia="仿宋"/>
        </w:rPr>
      </w:pPr>
      <w:r>
        <w:rPr>
          <w:rFonts w:hint="eastAsia" w:ascii="仿宋" w:hAnsi="仿宋" w:eastAsia="仿宋"/>
          <w:b w:val="0"/>
        </w:rPr>
        <w:t>一、收</w:t>
      </w:r>
      <w:r>
        <w:rPr>
          <w:rStyle w:val="27"/>
          <w:rFonts w:hint="eastAsia" w:ascii="仿宋" w:hAnsi="仿宋" w:eastAsia="仿宋"/>
          <w:b w:val="0"/>
          <w:bCs w:val="0"/>
        </w:rPr>
        <w:t>入支出决算总表</w:t>
      </w:r>
      <w:bookmarkEnd w:id="58"/>
    </w:p>
    <w:p>
      <w:pPr>
        <w:pStyle w:val="4"/>
        <w:rPr>
          <w:rFonts w:ascii="仿宋" w:hAnsi="仿宋" w:eastAsia="仿宋"/>
        </w:rPr>
      </w:pPr>
      <w:bookmarkStart w:id="59" w:name="_Toc15396620"/>
      <w:r>
        <w:rPr>
          <w:rFonts w:hint="eastAsia" w:ascii="仿宋" w:hAnsi="仿宋" w:eastAsia="仿宋"/>
          <w:b w:val="0"/>
        </w:rPr>
        <w:t>二、收</w:t>
      </w:r>
      <w:r>
        <w:rPr>
          <w:rStyle w:val="27"/>
          <w:rFonts w:hint="eastAsia" w:ascii="仿宋" w:hAnsi="仿宋" w:eastAsia="仿宋"/>
          <w:b w:val="0"/>
          <w:bCs w:val="0"/>
        </w:rPr>
        <w:t>入决算表</w:t>
      </w:r>
      <w:bookmarkEnd w:id="59"/>
    </w:p>
    <w:p>
      <w:pPr>
        <w:pStyle w:val="4"/>
        <w:rPr>
          <w:rFonts w:ascii="仿宋" w:hAnsi="仿宋" w:eastAsia="仿宋"/>
        </w:rPr>
      </w:pPr>
      <w:bookmarkStart w:id="60" w:name="_Toc15396621"/>
      <w:r>
        <w:rPr>
          <w:rStyle w:val="27"/>
          <w:rFonts w:hint="eastAsia" w:ascii="仿宋" w:hAnsi="仿宋" w:eastAsia="仿宋"/>
          <w:b w:val="0"/>
          <w:bCs w:val="0"/>
        </w:rPr>
        <w:t>三、</w:t>
      </w:r>
      <w:r>
        <w:rPr>
          <w:rFonts w:hint="eastAsia" w:ascii="仿宋" w:hAnsi="仿宋" w:eastAsia="仿宋"/>
          <w:b w:val="0"/>
        </w:rPr>
        <w:t>支</w:t>
      </w:r>
      <w:r>
        <w:rPr>
          <w:rStyle w:val="27"/>
          <w:rFonts w:hint="eastAsia" w:ascii="仿宋" w:hAnsi="仿宋" w:eastAsia="仿宋"/>
          <w:b w:val="0"/>
          <w:bCs w:val="0"/>
        </w:rPr>
        <w:t>出决算表</w:t>
      </w:r>
      <w:bookmarkEnd w:id="60"/>
    </w:p>
    <w:p>
      <w:pPr>
        <w:pStyle w:val="4"/>
        <w:rPr>
          <w:rFonts w:ascii="仿宋" w:hAnsi="仿宋" w:eastAsia="仿宋"/>
          <w:b w:val="0"/>
        </w:rPr>
      </w:pPr>
      <w:bookmarkStart w:id="61" w:name="_Toc15396622"/>
      <w:r>
        <w:rPr>
          <w:rStyle w:val="27"/>
          <w:rFonts w:hint="eastAsia" w:ascii="仿宋" w:hAnsi="仿宋" w:eastAsia="仿宋"/>
          <w:b w:val="0"/>
          <w:bCs w:val="0"/>
        </w:rPr>
        <w:t>四、</w:t>
      </w:r>
      <w:r>
        <w:rPr>
          <w:rFonts w:hint="eastAsia" w:ascii="仿宋" w:hAnsi="仿宋" w:eastAsia="仿宋"/>
          <w:b w:val="0"/>
        </w:rPr>
        <w:t>财</w:t>
      </w:r>
      <w:r>
        <w:rPr>
          <w:rStyle w:val="27"/>
          <w:rFonts w:hint="eastAsia" w:ascii="仿宋" w:hAnsi="仿宋" w:eastAsia="仿宋"/>
          <w:b w:val="0"/>
          <w:bCs w:val="0"/>
        </w:rPr>
        <w:t>政拨款收入支出决算总表</w:t>
      </w:r>
      <w:bookmarkEnd w:id="61"/>
    </w:p>
    <w:p>
      <w:pPr>
        <w:pStyle w:val="4"/>
        <w:rPr>
          <w:rStyle w:val="27"/>
          <w:rFonts w:ascii="仿宋" w:hAnsi="仿宋" w:eastAsia="仿宋"/>
          <w:b w:val="0"/>
          <w:bCs w:val="0"/>
        </w:rPr>
      </w:pPr>
      <w:bookmarkStart w:id="62" w:name="_Toc15396623"/>
      <w:r>
        <w:rPr>
          <w:rStyle w:val="27"/>
          <w:rFonts w:hint="eastAsia" w:ascii="仿宋" w:hAnsi="仿宋" w:eastAsia="仿宋"/>
          <w:b w:val="0"/>
          <w:bCs w:val="0"/>
        </w:rPr>
        <w:t>五、</w:t>
      </w:r>
      <w:r>
        <w:rPr>
          <w:rFonts w:hint="eastAsia" w:ascii="仿宋" w:hAnsi="仿宋" w:eastAsia="仿宋"/>
          <w:b w:val="0"/>
        </w:rPr>
        <w:t>财</w:t>
      </w:r>
      <w:r>
        <w:rPr>
          <w:rStyle w:val="27"/>
          <w:rFonts w:hint="eastAsia" w:ascii="仿宋" w:hAnsi="仿宋" w:eastAsia="仿宋"/>
          <w:b w:val="0"/>
          <w:bCs w:val="0"/>
        </w:rPr>
        <w:t>政拨款支出决算明细表</w:t>
      </w:r>
      <w:bookmarkEnd w:id="62"/>
      <w:bookmarkStart w:id="63" w:name="_Toc15396624"/>
    </w:p>
    <w:p>
      <w:pPr>
        <w:pStyle w:val="4"/>
        <w:rPr>
          <w:rFonts w:ascii="仿宋" w:hAnsi="仿宋" w:eastAsia="仿宋"/>
        </w:rPr>
      </w:pPr>
      <w:r>
        <w:rPr>
          <w:rStyle w:val="27"/>
          <w:rFonts w:hint="eastAsia" w:ascii="仿宋" w:hAnsi="仿宋" w:eastAsia="仿宋"/>
          <w:b w:val="0"/>
          <w:bCs w:val="0"/>
        </w:rPr>
        <w:t>六、</w:t>
      </w:r>
      <w:r>
        <w:rPr>
          <w:rFonts w:hint="eastAsia" w:ascii="仿宋" w:hAnsi="仿宋" w:eastAsia="仿宋"/>
          <w:b w:val="0"/>
        </w:rPr>
        <w:t>一</w:t>
      </w:r>
      <w:r>
        <w:rPr>
          <w:rStyle w:val="27"/>
          <w:rFonts w:hint="eastAsia" w:ascii="仿宋" w:hAnsi="仿宋" w:eastAsia="仿宋"/>
          <w:b w:val="0"/>
          <w:bCs w:val="0"/>
        </w:rPr>
        <w:t>般公共预算财政拨款支出决算表</w:t>
      </w:r>
      <w:bookmarkEnd w:id="63"/>
    </w:p>
    <w:p>
      <w:pPr>
        <w:pStyle w:val="4"/>
        <w:rPr>
          <w:rFonts w:ascii="仿宋" w:hAnsi="仿宋" w:eastAsia="仿宋"/>
        </w:rPr>
      </w:pPr>
      <w:bookmarkStart w:id="64" w:name="_Toc15396625"/>
      <w:r>
        <w:rPr>
          <w:rStyle w:val="27"/>
          <w:rFonts w:hint="eastAsia" w:ascii="仿宋" w:hAnsi="仿宋" w:eastAsia="仿宋"/>
          <w:b w:val="0"/>
          <w:bCs w:val="0"/>
        </w:rPr>
        <w:t>七、</w:t>
      </w:r>
      <w:r>
        <w:rPr>
          <w:rFonts w:hint="eastAsia" w:ascii="仿宋" w:hAnsi="仿宋" w:eastAsia="仿宋"/>
          <w:b w:val="0"/>
        </w:rPr>
        <w:t>一</w:t>
      </w:r>
      <w:r>
        <w:rPr>
          <w:rStyle w:val="27"/>
          <w:rFonts w:hint="eastAsia" w:ascii="仿宋" w:hAnsi="仿宋" w:eastAsia="仿宋"/>
          <w:b w:val="0"/>
          <w:bCs w:val="0"/>
        </w:rPr>
        <w:t>般公共预算财政拨款支出决算明细表</w:t>
      </w:r>
      <w:bookmarkEnd w:id="64"/>
    </w:p>
    <w:p>
      <w:pPr>
        <w:pStyle w:val="4"/>
        <w:rPr>
          <w:rFonts w:ascii="仿宋" w:hAnsi="仿宋" w:eastAsia="仿宋"/>
        </w:rPr>
      </w:pPr>
      <w:bookmarkStart w:id="65" w:name="_Toc15396626"/>
      <w:r>
        <w:rPr>
          <w:rStyle w:val="27"/>
          <w:rFonts w:hint="eastAsia" w:ascii="仿宋" w:hAnsi="仿宋" w:eastAsia="仿宋"/>
          <w:b w:val="0"/>
          <w:bCs w:val="0"/>
        </w:rPr>
        <w:t>八、</w:t>
      </w:r>
      <w:r>
        <w:rPr>
          <w:rFonts w:hint="eastAsia" w:ascii="仿宋" w:hAnsi="仿宋" w:eastAsia="仿宋"/>
          <w:b w:val="0"/>
        </w:rPr>
        <w:t>一</w:t>
      </w:r>
      <w:r>
        <w:rPr>
          <w:rStyle w:val="27"/>
          <w:rFonts w:hint="eastAsia" w:ascii="仿宋" w:hAnsi="仿宋" w:eastAsia="仿宋"/>
          <w:b w:val="0"/>
          <w:bCs w:val="0"/>
        </w:rPr>
        <w:t>般公共预算财政拨款基本支出决算表</w:t>
      </w:r>
      <w:bookmarkEnd w:id="65"/>
    </w:p>
    <w:p>
      <w:pPr>
        <w:pStyle w:val="4"/>
        <w:rPr>
          <w:rFonts w:ascii="仿宋" w:hAnsi="仿宋" w:eastAsia="仿宋"/>
        </w:rPr>
      </w:pPr>
      <w:bookmarkStart w:id="66" w:name="_Toc15396627"/>
      <w:r>
        <w:rPr>
          <w:rStyle w:val="27"/>
          <w:rFonts w:hint="eastAsia" w:ascii="仿宋" w:hAnsi="仿宋" w:eastAsia="仿宋"/>
          <w:b w:val="0"/>
          <w:bCs w:val="0"/>
        </w:rPr>
        <w:t>九、</w:t>
      </w:r>
      <w:r>
        <w:rPr>
          <w:rFonts w:hint="eastAsia" w:ascii="仿宋" w:hAnsi="仿宋" w:eastAsia="仿宋"/>
          <w:b w:val="0"/>
        </w:rPr>
        <w:t>一</w:t>
      </w:r>
      <w:r>
        <w:rPr>
          <w:rStyle w:val="27"/>
          <w:rFonts w:hint="eastAsia" w:ascii="仿宋" w:hAnsi="仿宋" w:eastAsia="仿宋"/>
          <w:b w:val="0"/>
          <w:bCs w:val="0"/>
        </w:rPr>
        <w:t>般公共预算财政拨款项目支出决算表</w:t>
      </w:r>
      <w:bookmarkEnd w:id="66"/>
    </w:p>
    <w:p>
      <w:pPr>
        <w:pStyle w:val="4"/>
        <w:rPr>
          <w:rFonts w:ascii="仿宋" w:hAnsi="仿宋" w:eastAsia="仿宋"/>
        </w:rPr>
      </w:pPr>
      <w:bookmarkStart w:id="67" w:name="_Toc15396628"/>
      <w:r>
        <w:rPr>
          <w:rStyle w:val="27"/>
          <w:rFonts w:hint="eastAsia" w:ascii="仿宋" w:hAnsi="仿宋" w:eastAsia="仿宋"/>
          <w:b w:val="0"/>
          <w:bCs w:val="0"/>
        </w:rPr>
        <w:t>十、</w:t>
      </w:r>
      <w:r>
        <w:rPr>
          <w:rFonts w:hint="eastAsia" w:ascii="仿宋" w:hAnsi="仿宋" w:eastAsia="仿宋"/>
          <w:b w:val="0"/>
        </w:rPr>
        <w:t>一</w:t>
      </w:r>
      <w:r>
        <w:rPr>
          <w:rStyle w:val="27"/>
          <w:rFonts w:hint="eastAsia" w:ascii="仿宋" w:hAnsi="仿宋" w:eastAsia="仿宋"/>
          <w:b w:val="0"/>
          <w:bCs w:val="0"/>
        </w:rPr>
        <w:t>般公共预算财政拨款“三公”经费支出决算表</w:t>
      </w:r>
      <w:bookmarkEnd w:id="67"/>
    </w:p>
    <w:p>
      <w:pPr>
        <w:pStyle w:val="4"/>
        <w:rPr>
          <w:rFonts w:ascii="仿宋" w:hAnsi="仿宋" w:eastAsia="仿宋"/>
        </w:rPr>
      </w:pPr>
      <w:bookmarkStart w:id="68" w:name="_Toc15396629"/>
      <w:r>
        <w:rPr>
          <w:rStyle w:val="27"/>
          <w:rFonts w:hint="eastAsia" w:ascii="仿宋" w:hAnsi="仿宋" w:eastAsia="仿宋"/>
          <w:b w:val="0"/>
          <w:bCs w:val="0"/>
        </w:rPr>
        <w:t>十一、</w:t>
      </w:r>
      <w:r>
        <w:rPr>
          <w:rFonts w:hint="eastAsia" w:ascii="仿宋" w:hAnsi="仿宋" w:eastAsia="仿宋"/>
          <w:b w:val="0"/>
        </w:rPr>
        <w:t>政</w:t>
      </w:r>
      <w:r>
        <w:rPr>
          <w:rStyle w:val="27"/>
          <w:rFonts w:hint="eastAsia" w:ascii="仿宋" w:hAnsi="仿宋" w:eastAsia="仿宋"/>
          <w:b w:val="0"/>
          <w:bCs w:val="0"/>
        </w:rPr>
        <w:t>府性基金预算财政拨款收入支出决算表</w:t>
      </w:r>
      <w:bookmarkEnd w:id="68"/>
    </w:p>
    <w:p>
      <w:pPr>
        <w:pStyle w:val="4"/>
        <w:rPr>
          <w:rFonts w:ascii="仿宋" w:hAnsi="仿宋" w:eastAsia="仿宋"/>
        </w:rPr>
      </w:pPr>
      <w:bookmarkStart w:id="69" w:name="_Toc15396630"/>
      <w:r>
        <w:rPr>
          <w:rStyle w:val="27"/>
          <w:rFonts w:hint="eastAsia" w:ascii="仿宋" w:hAnsi="仿宋" w:eastAsia="仿宋"/>
          <w:b w:val="0"/>
          <w:bCs w:val="0"/>
        </w:rPr>
        <w:t>十二、</w:t>
      </w:r>
      <w:r>
        <w:rPr>
          <w:rFonts w:hint="eastAsia" w:ascii="仿宋" w:hAnsi="仿宋" w:eastAsia="仿宋"/>
          <w:b w:val="0"/>
        </w:rPr>
        <w:t>政</w:t>
      </w:r>
      <w:r>
        <w:rPr>
          <w:rStyle w:val="27"/>
          <w:rFonts w:hint="eastAsia" w:ascii="仿宋" w:hAnsi="仿宋" w:eastAsia="仿宋"/>
          <w:b w:val="0"/>
          <w:bCs w:val="0"/>
        </w:rPr>
        <w:t>府性基金预算财政拨款“三公”经费支出决算表</w:t>
      </w:r>
      <w:bookmarkEnd w:id="69"/>
    </w:p>
    <w:p>
      <w:pPr>
        <w:pStyle w:val="4"/>
        <w:rPr>
          <w:rStyle w:val="27"/>
          <w:rFonts w:ascii="仿宋" w:hAnsi="仿宋" w:eastAsia="仿宋"/>
          <w:b w:val="0"/>
          <w:bCs w:val="0"/>
        </w:rPr>
      </w:pPr>
      <w:bookmarkStart w:id="70" w:name="_Toc15396631"/>
      <w:r>
        <w:rPr>
          <w:rStyle w:val="27"/>
          <w:rFonts w:hint="eastAsia" w:ascii="仿宋" w:hAnsi="仿宋" w:eastAsia="仿宋"/>
          <w:b w:val="0"/>
          <w:bCs w:val="0"/>
        </w:rPr>
        <w:t>十三、</w:t>
      </w:r>
      <w:r>
        <w:rPr>
          <w:rFonts w:hint="eastAsia" w:ascii="仿宋" w:hAnsi="仿宋" w:eastAsia="仿宋"/>
          <w:b w:val="0"/>
        </w:rPr>
        <w:t>国</w:t>
      </w:r>
      <w:r>
        <w:rPr>
          <w:rStyle w:val="27"/>
          <w:rFonts w:hint="eastAsia" w:ascii="仿宋" w:hAnsi="仿宋" w:eastAsia="仿宋"/>
          <w:b w:val="0"/>
          <w:bCs w:val="0"/>
        </w:rPr>
        <w:t>有资本经营预算财政拨款收入支出决算表</w:t>
      </w:r>
      <w:bookmarkEnd w:id="70"/>
    </w:p>
    <w:p>
      <w:pPr>
        <w:rPr>
          <w:rFonts w:eastAsia="仿宋"/>
        </w:rPr>
      </w:pPr>
      <w:r>
        <w:rPr>
          <w:rStyle w:val="27"/>
          <w:rFonts w:hint="eastAsia" w:ascii="仿宋" w:hAnsi="仿宋" w:eastAsia="仿宋"/>
          <w:b w:val="0"/>
          <w:bCs w:val="0"/>
        </w:rPr>
        <w:t>十四、国有资本经营预算财政拨款支出决算表</w:t>
      </w:r>
    </w:p>
    <w:sectPr>
      <w:footerReference r:id="rId8" w:type="first"/>
      <w:footerReference r:id="rId7"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2"/>
                </w:pPr>
              </w:p>
            </w:txbxContent>
          </v:textbox>
        </v:shape>
      </w:pic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2053" o:spid="_x0000_s2053"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default" w:eastAsia="宋体"/>
        <w:lang w:val="en-US" w:eastAsia="zh-CN"/>
      </w:rPr>
    </w:pPr>
    <w:r>
      <w:rPr>
        <w:sz w:val="18"/>
      </w:rPr>
      <w:pict>
        <v:shape id="_x0000_s2054" o:spid="_x0000_s2054"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05E07A9E"/>
    <w:multiLevelType w:val="singleLevel"/>
    <w:tmpl w:val="05E07A9E"/>
    <w:lvl w:ilvl="0" w:tentative="0">
      <w:start w:val="1"/>
      <w:numFmt w:val="chineseCounting"/>
      <w:suff w:val="nothing"/>
      <w:lvlText w:val="（%1）"/>
      <w:lvlJc w:val="left"/>
      <w:pPr>
        <w:ind w:left="-10"/>
      </w:pPr>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BjY2U5ZjFiNGUzNzI1ZTBhZTVmMjhmOTQ4ZDcyOD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2726DDD"/>
    <w:rsid w:val="08DF6E8A"/>
    <w:rsid w:val="09E84329"/>
    <w:rsid w:val="0A2032A3"/>
    <w:rsid w:val="0B8A37D8"/>
    <w:rsid w:val="0F535353"/>
    <w:rsid w:val="10C055FF"/>
    <w:rsid w:val="118107EC"/>
    <w:rsid w:val="11DD6519"/>
    <w:rsid w:val="13A946F0"/>
    <w:rsid w:val="16BB723D"/>
    <w:rsid w:val="16C17146"/>
    <w:rsid w:val="18015F3F"/>
    <w:rsid w:val="1BE8440E"/>
    <w:rsid w:val="1D155CEE"/>
    <w:rsid w:val="20B84F6F"/>
    <w:rsid w:val="20F57F95"/>
    <w:rsid w:val="22966468"/>
    <w:rsid w:val="22B1635E"/>
    <w:rsid w:val="240371BF"/>
    <w:rsid w:val="25C741E6"/>
    <w:rsid w:val="27842671"/>
    <w:rsid w:val="294218D6"/>
    <w:rsid w:val="29FD04D3"/>
    <w:rsid w:val="2ABE7A3E"/>
    <w:rsid w:val="2EFA178C"/>
    <w:rsid w:val="2F2331F8"/>
    <w:rsid w:val="30B46D73"/>
    <w:rsid w:val="319F7F4E"/>
    <w:rsid w:val="3559782E"/>
    <w:rsid w:val="39AE70AB"/>
    <w:rsid w:val="39C80640"/>
    <w:rsid w:val="3C0C0783"/>
    <w:rsid w:val="3F9F3A96"/>
    <w:rsid w:val="44316F05"/>
    <w:rsid w:val="44782B1A"/>
    <w:rsid w:val="454714BF"/>
    <w:rsid w:val="493C27E9"/>
    <w:rsid w:val="496F39ED"/>
    <w:rsid w:val="49FF41D3"/>
    <w:rsid w:val="4BC537EF"/>
    <w:rsid w:val="4BE068DB"/>
    <w:rsid w:val="4BF6002B"/>
    <w:rsid w:val="4ECE2238"/>
    <w:rsid w:val="51DB4B86"/>
    <w:rsid w:val="53B10062"/>
    <w:rsid w:val="540208BE"/>
    <w:rsid w:val="541A646C"/>
    <w:rsid w:val="55333C3E"/>
    <w:rsid w:val="5CD801FC"/>
    <w:rsid w:val="63B864F0"/>
    <w:rsid w:val="64255BEF"/>
    <w:rsid w:val="64CA39A1"/>
    <w:rsid w:val="66B2360F"/>
    <w:rsid w:val="6AE4546E"/>
    <w:rsid w:val="6B1308FF"/>
    <w:rsid w:val="6B2C2051"/>
    <w:rsid w:val="6C4A05C8"/>
    <w:rsid w:val="6CF5239E"/>
    <w:rsid w:val="71E11F2A"/>
    <w:rsid w:val="72734D90"/>
    <w:rsid w:val="732E346C"/>
    <w:rsid w:val="752F4558"/>
    <w:rsid w:val="79E7B28D"/>
    <w:rsid w:val="7EA464E3"/>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r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2270;&#34920;%20&#22312;%20&#30416;&#36793;&#21355;&#35745;&#30417;&#30563;&#25191;&#27861;&#22823;&#38431;%202020&#24180;&#37096;&#38376;&#20915;&#31639;&#32534;&#21046;&#30340;&#35828;&#26126;.doc" TargetMode="External"/></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22270;&#34920;%20&#22312;%20&#30416;&#36793;&#21355;&#35745;&#30417;&#30563;&#25191;&#27861;&#22823;&#38431;%202020&#24180;&#37096;&#38376;&#20915;&#31639;&#32534;&#21046;&#30340;&#35828;&#26126;.doc" TargetMode="External"/></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22270;&#34920;%20&#22312;%20&#30416;&#36793;&#21355;&#35745;&#30417;&#30563;&#25191;&#27861;&#22823;&#38431;%202020&#24180;&#37096;&#38376;&#20915;&#31639;&#32534;&#21046;&#30340;&#35828;&#26126;.doc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2270;&#34920;%20&#22312;%20&#30416;&#36793;&#21355;&#35745;&#30417;&#30563;&#25191;&#27861;&#22823;&#38431;%202020&#24180;&#37096;&#38376;&#20915;&#31639;&#32534;&#21046;&#30340;&#35828;&#26126;.doc"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2270;&#34920;%20&#22312;%20&#30416;&#36793;&#21355;&#35745;&#30417;&#30563;&#25191;&#27861;&#22823;&#38431;%202020&#24180;&#37096;&#38376;&#20915;&#31639;&#32534;&#21046;&#30340;&#35828;&#26126;.doc"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22270;&#34920;%20&#22312;%20&#30416;&#36793;&#21355;&#35745;&#30417;&#30563;&#25191;&#27861;&#22823;&#38431;%202020&#24180;&#37096;&#38376;&#20915;&#31639;&#32534;&#21046;&#30340;&#35828;&#26126;.doc"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22270;&#34920;%20&#22312;%20&#30416;&#36793;&#21355;&#35745;&#30417;&#30563;&#25191;&#27861;&#22823;&#38431;%202020&#24180;&#37096;&#38376;&#20915;&#31639;&#32534;&#21046;&#30340;&#35828;&#26126;.doc"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400" b="0" i="0" u="none" strike="noStrike" kern="1200" spc="0" baseline="0">
                <a:solidFill>
                  <a:schemeClr val="tx1">
                    <a:lumMod val="65000"/>
                    <a:lumOff val="35000"/>
                  </a:schemeClr>
                </a:solidFill>
                <a:latin typeface="+mn-lt"/>
                <a:ea typeface="+mn-ea"/>
                <a:cs typeface="+mn-cs"/>
              </a:rPr>
              <a:t>收、支决算总计变动情况</a:t>
            </a:r>
            <a:endParaRPr sz="1400" b="0" i="0" u="none" strike="noStrike" kern="1200" spc="0" baseline="0">
              <a:solidFill>
                <a:schemeClr val="tx1">
                  <a:lumMod val="65000"/>
                  <a:lumOff val="35000"/>
                </a:schemeClr>
              </a:solidFill>
              <a:latin typeface="+mn-lt"/>
              <a:ea typeface="+mn-ea"/>
              <a:cs typeface="+mn-cs"/>
            </a:endParaRPr>
          </a:p>
        </c:rich>
      </c:tx>
      <c:layout/>
      <c:overlay val="0"/>
    </c:title>
    <c:autoTitleDeleted val="0"/>
    <c:plotArea>
      <c:layout/>
      <c:barChart>
        <c:barDir val="col"/>
        <c:grouping val="clustered"/>
        <c:varyColors val="0"/>
        <c:ser>
          <c:idx val="0"/>
          <c:order val="0"/>
          <c:tx>
            <c:strRef>
              <c:f>'[图表 在 盐边卫计监督执法大队 2020年部门决算编制的说明.doc]Sheet1'!$B$3</c:f>
              <c:strCache>
                <c:ptCount val="1"/>
                <c:pt idx="0">
                  <c:v>2020年</c:v>
                </c:pt>
              </c:strCache>
            </c:strRef>
          </c:tx>
          <c:spPr>
            <a:solidFill>
              <a:srgbClr val="5B9BD5">
                <a:alpha val="100000"/>
              </a:srgbClr>
            </a:solidFill>
            <a:ln w="3175">
              <a:noFill/>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盐边卫计监督执法大队 2020年部门决算编制的说明.doc]Sheet1'!$C$2:$D$2</c:f>
              <c:strCache>
                <c:ptCount val="2"/>
                <c:pt idx="0">
                  <c:v>收入</c:v>
                </c:pt>
                <c:pt idx="1">
                  <c:v>支出</c:v>
                </c:pt>
              </c:strCache>
            </c:strRef>
          </c:cat>
          <c:val>
            <c:numRef>
              <c:f>[001146da1]Sheet1!$C$3:$D$3</c:f>
              <c:numCache>
                <c:formatCode>General</c:formatCode>
                <c:ptCount val="2"/>
                <c:pt idx="0">
                  <c:v>136.22</c:v>
                </c:pt>
                <c:pt idx="1">
                  <c:v>136.22</c:v>
                </c:pt>
              </c:numCache>
            </c:numRef>
          </c:val>
        </c:ser>
        <c:ser>
          <c:idx val="1"/>
          <c:order val="1"/>
          <c:tx>
            <c:strRef>
              <c:f>'[图表 在 盐边卫计监督执法大队 2020年部门决算编制的说明.doc]Sheet1'!$B$4</c:f>
              <c:strCache>
                <c:ptCount val="1"/>
                <c:pt idx="0">
                  <c:v>2021年</c:v>
                </c:pt>
              </c:strCache>
            </c:strRef>
          </c:tx>
          <c:spPr>
            <a:solidFill>
              <a:srgbClr val="ED7D31">
                <a:alpha val="100000"/>
              </a:srgbClr>
            </a:solidFill>
            <a:ln w="3175">
              <a:noFill/>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盐边卫计监督执法大队 2020年部门决算编制的说明.doc]Sheet1'!$C$2:$D$2</c:f>
              <c:strCache>
                <c:ptCount val="2"/>
                <c:pt idx="0">
                  <c:v>收入</c:v>
                </c:pt>
                <c:pt idx="1">
                  <c:v>支出</c:v>
                </c:pt>
              </c:strCache>
            </c:strRef>
          </c:cat>
          <c:val>
            <c:numRef>
              <c:f>'[图表 在 盐边卫计监督执法大队 2020年部门决算编制的说明.doc]Sheet1'!$C$4:$D$4</c:f>
              <c:numCache>
                <c:formatCode>General</c:formatCode>
                <c:ptCount val="2"/>
                <c:pt idx="0">
                  <c:v>167.71</c:v>
                </c:pt>
                <c:pt idx="1">
                  <c:v>167.71</c:v>
                </c:pt>
              </c:numCache>
            </c:numRef>
          </c:val>
        </c:ser>
        <c:dLbls>
          <c:showLegendKey val="0"/>
          <c:showVal val="0"/>
          <c:showCatName val="0"/>
          <c:showSerName val="0"/>
          <c:showPercent val="0"/>
          <c:showBubbleSize val="0"/>
        </c:dLbls>
        <c:gapWidth val="219"/>
        <c:overlap val="-27"/>
        <c:axId val="679488082"/>
        <c:axId val="252502609"/>
      </c:barChart>
      <c:catAx>
        <c:axId val="67948808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2502609"/>
        <c:crosses val="autoZero"/>
        <c:auto val="1"/>
        <c:lblAlgn val="ctr"/>
        <c:lblOffset val="100"/>
        <c:noMultiLvlLbl val="0"/>
      </c:catAx>
      <c:valAx>
        <c:axId val="252502609"/>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ln w="3175" cap="flat" cmpd="sng" algn="ctr">
            <a:noFill/>
            <a:prstDash val="solid"/>
            <a:round/>
          </a:ln>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9488082"/>
        <c:crosses val="autoZero"/>
        <c:crossBetween val="between"/>
      </c:valAx>
      <c:spPr>
        <a:noFill/>
        <a:ln w="3175">
          <a:noFill/>
        </a:ln>
      </c:spPr>
    </c:plotArea>
    <c:legend>
      <c:legendPos val="r"/>
      <c:layout>
        <c:manualLayout>
          <c:xMode val="edge"/>
          <c:yMode val="edge"/>
          <c:x val="0.849861111111111"/>
          <c:y val="0.472069403300889"/>
          <c:w val="0.124027777777778"/>
          <c:h val="0.197418535759628"/>
        </c:manualLayout>
      </c:layout>
      <c:overlay val="0"/>
      <c:spPr>
        <a:noFill/>
        <a:ln w="3175">
          <a:noFill/>
        </a:ln>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noFill/>
    <a:ln w="9525" cap="flat" cmpd="sng" algn="ctr">
      <a:solidFill>
        <a:schemeClr val="tx1"/>
      </a:solidFill>
      <a:prstDash val="solid"/>
      <a:round/>
    </a:ln>
    <a:effectLst/>
  </c:spPr>
  <c:txPr>
    <a:bodyPr wrap="square"/>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spc="0" baseline="0">
                <a:solidFill>
                  <a:schemeClr val="tx1">
                    <a:lumMod val="65000"/>
                    <a:lumOff val="3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收</a:t>
            </a:r>
            <a:r>
              <a:rPr lang="en-US" altLang="zh-CN"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   </a:t>
            </a: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入</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416678239133454"/>
          <c:y val="0.0203131612357173"/>
        </c:manualLayout>
      </c:layout>
      <c:overlay val="0"/>
      <c:spPr>
        <a:noFill/>
        <a:ln>
          <a:noFill/>
        </a:ln>
        <a:effectLst/>
      </c:spPr>
    </c:title>
    <c:autoTitleDeleted val="0"/>
    <c:view3D>
      <c:rotX val="30"/>
      <c:rotY val="28"/>
      <c:depthPercent val="100"/>
      <c:rAngAx val="0"/>
      <c:perspective val="30"/>
    </c:view3D>
    <c:floor>
      <c:thickness val="0"/>
    </c:floor>
    <c:sideWall>
      <c:thickness val="0"/>
    </c:sideWall>
    <c:backWall>
      <c:thickness val="0"/>
    </c:backWall>
    <c:plotArea>
      <c:layout>
        <c:manualLayout>
          <c:layoutTarget val="inner"/>
          <c:xMode val="edge"/>
          <c:yMode val="edge"/>
          <c:x val="0.0852222222222222"/>
          <c:y val="0.213375661375661"/>
          <c:w val="0.826222222222222"/>
          <c:h val="0.692825396825397"/>
        </c:manualLayout>
      </c:layout>
      <c:pie3DChart>
        <c:varyColors val="1"/>
        <c:ser>
          <c:idx val="0"/>
          <c:order val="0"/>
          <c:tx>
            <c:strRef>
              <c:f>'[图表 在 盐边卫计监督执法大队 2020年部门决算编制的说明.doc]Sheet1'!$B$3</c:f>
              <c:strCache>
                <c:ptCount val="1"/>
                <c:pt idx="0">
                  <c:v>收入</c:v>
                </c:pt>
              </c:strCache>
            </c:strRef>
          </c:tx>
          <c:spPr>
            <a:ln w="9525">
              <a:solidFill>
                <a:schemeClr val="bg1"/>
              </a:solidFill>
            </a:ln>
            <a:scene3d>
              <a:camera prst="orthographicFront"/>
              <a:lightRig rig="threePt" dir="t"/>
            </a:scene3d>
            <a:sp3d contourW="9525"/>
          </c:spPr>
          <c:explosion val="0"/>
          <c:dPt>
            <c:idx val="0"/>
            <c:bubble3D val="0"/>
            <c:explosion val="0"/>
            <c:spPr>
              <a:solidFill>
                <a:srgbClr val="5B9BD5"/>
              </a:solidFill>
              <a:ln w="9525">
                <a:solidFill>
                  <a:schemeClr val="bg1"/>
                </a:solidFill>
              </a:ln>
              <a:effectLst/>
              <a:scene3d>
                <a:camera prst="orthographicFront"/>
                <a:lightRig rig="threePt" dir="t"/>
              </a:scene3d>
              <a:sp3d contourW="9525">
                <a:contourClr>
                  <a:schemeClr val="lt1"/>
                </a:contourClr>
              </a:sp3d>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0"/>
              <c:showSerName val="0"/>
              <c:showPercent val="1"/>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'[图表 在 盐边卫计监督执法大队 2020年部门决算编制的说明.doc]Sheet1'!$C$2</c:f>
              <c:strCache>
                <c:ptCount val="1"/>
                <c:pt idx="0">
                  <c:v>一般公共预算财政拨款收入</c:v>
                </c:pt>
              </c:strCache>
            </c:strRef>
          </c:cat>
          <c:val>
            <c:numRef>
              <c:f>'[图表 在 盐边卫计监督执法大队 2020年部门决算编制的说明.doc]Sheet1'!$C$3</c:f>
              <c:numCache>
                <c:formatCode>General</c:formatCode>
                <c:ptCount val="1"/>
                <c:pt idx="0">
                  <c:v>167.71</c:v>
                </c:pt>
              </c:numCache>
            </c:numRef>
          </c:val>
        </c:ser>
        <c:dLbls>
          <c:showLegendKey val="0"/>
          <c:showVal val="0"/>
          <c:showCatName val="0"/>
          <c:showSerName val="0"/>
          <c:showPercent val="0"/>
          <c:showBubbleSize val="0"/>
        </c:dLbls>
      </c:pie3DChart>
      <c:spPr>
        <a:noFill/>
        <a:ln>
          <a:noFill/>
        </a:ln>
        <a:effectLst/>
      </c:spPr>
    </c:plotArea>
    <c:legend>
      <c:legendPos val="b"/>
      <c:legendEntry>
        <c:idx val="0"/>
        <c:txPr>
          <a:bodyPr rot="0" spcFirstLastPara="0" vertOverflow="ellipsis" vert="horz" wrap="square" anchor="ctr" anchorCtr="1"/>
          <a:lstStyle/>
          <a:p>
            <a:pPr>
              <a:defRPr lang="zh-CN" sz="800" b="0" i="0" u="none" strike="noStrike" kern="800" cap="none" spc="0" normalizeH="0" baseline="0">
                <a:solidFill>
                  <a:schemeClr val="tx1"/>
                </a:solidFill>
                <a:uFill>
                  <a:solidFill>
                    <a:schemeClr val="tx1"/>
                  </a:solidFill>
                </a:uFill>
                <a:latin typeface="宋体" panose="02010600030101010101" charset="-122"/>
                <a:ea typeface="宋体" panose="02010600030101010101" charset="-122"/>
                <a:cs typeface="微软雅黑" panose="020B0503020204020204" pitchFamily="34" charset="-122"/>
                <a:sym typeface="微软雅黑" panose="020B0503020204020204" pitchFamily="34" charset="-122"/>
              </a:defRPr>
            </a:pPr>
          </a:p>
        </c:txPr>
      </c:legendEntry>
      <c:layout>
        <c:manualLayout>
          <c:xMode val="edge"/>
          <c:yMode val="edge"/>
          <c:x val="0.0541422935655013"/>
          <c:y val="0.912465263993648"/>
          <c:w val="0.917290164603455"/>
          <c:h val="0.0815799920603414"/>
        </c:manualLayout>
      </c:layout>
      <c:overlay val="0"/>
      <c:txPr>
        <a:bodyPr rot="0" spcFirstLastPara="0" vertOverflow="ellipsis" vert="horz" wrap="square" anchor="ctr" anchorCtr="1"/>
        <a:lstStyle/>
        <a:p>
          <a:pPr>
            <a:defRPr lang="zh-CN" sz="800" b="0" i="0" u="none" strike="noStrike" kern="800" cap="none" spc="0" normalizeH="0" baseline="0">
              <a:solidFill>
                <a:schemeClr val="tx1"/>
              </a:solidFill>
              <a:uFill>
                <a:solidFill>
                  <a:schemeClr val="tx1"/>
                </a:solidFill>
              </a:uFill>
              <a:latin typeface="宋体" panose="02010600030101010101" charset="-122"/>
              <a:ea typeface="宋体" panose="02010600030101010101" charset="-122"/>
              <a:cs typeface="微软雅黑" panose="020B0503020204020204" pitchFamily="34" charset="-122"/>
              <a:sym typeface="微软雅黑" panose="020B0503020204020204" pitchFamily="34" charset="-122"/>
            </a:defRPr>
          </a:pPr>
        </a:p>
      </c:txPr>
    </c:legend>
    <c:plotVisOnly val="1"/>
    <c:dispBlanksAs val="gap"/>
    <c:showDLblsOverMax val="0"/>
  </c:chart>
  <c:spPr>
    <a:noFill/>
    <a:ln w="9525" cap="flat" cmpd="sng" algn="ctr">
      <a:solidFill>
        <a:sysClr val="windowText" lastClr="000000"/>
      </a:solidFill>
      <a:prstDash val="solid"/>
      <a:round/>
    </a:ln>
    <a:effectLst>
      <a:outerShdw blurRad="63500" dist="37357" dir="2700000" sx="0" sy="0" rotWithShape="0">
        <a:scrgbClr r="0" g="0" b="0"/>
      </a:outerShdw>
    </a:effectLst>
  </c:spPr>
  <c:txPr>
    <a:bodyPr wrap="square"/>
    <a:lstStyle/>
    <a:p>
      <a:pPr>
        <a:defRPr lang="zh-CN">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spc="0" baseline="0">
                <a:solidFill>
                  <a:schemeClr val="tx1">
                    <a:lumMod val="65000"/>
                    <a:lumOff val="3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支</a:t>
            </a:r>
            <a:r>
              <a:rPr lang="en-US" altLang="zh-CN"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   </a:t>
            </a: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出</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view3D>
      <c:rotX val="50"/>
      <c:rotY val="28"/>
      <c:depthPercent val="100"/>
      <c:rAngAx val="0"/>
      <c:perspective val="30"/>
    </c:view3D>
    <c:floor>
      <c:thickness val="0"/>
    </c:floor>
    <c:sideWall>
      <c:thickness val="0"/>
    </c:sideWall>
    <c:backWall>
      <c:thickness val="0"/>
    </c:backWall>
    <c:plotArea>
      <c:layout>
        <c:manualLayout>
          <c:layoutTarget val="inner"/>
          <c:xMode val="edge"/>
          <c:yMode val="edge"/>
          <c:x val="0.053264584003554"/>
          <c:y val="0.159904184215652"/>
          <c:w val="0.826222222222222"/>
          <c:h val="0.692825396825397"/>
        </c:manualLayout>
      </c:layout>
      <c:pie3DChart>
        <c:varyColors val="1"/>
        <c:ser>
          <c:idx val="0"/>
          <c:order val="0"/>
          <c:tx>
            <c:strRef>
              <c:f>'[图表 在 盐边卫计监督执法大队 2020年部门决算编制的说明.doc1]Sheet1'!$B$3</c:f>
              <c:strCache>
                <c:ptCount val="1"/>
                <c:pt idx="0">
                  <c:v>支出</c:v>
                </c:pt>
              </c:strCache>
            </c:strRef>
          </c:tx>
          <c:spPr>
            <a:solidFill>
              <a:srgbClr val="5B9BD5"/>
            </a:solidFill>
            <a:ln w="9525">
              <a:solidFill>
                <a:schemeClr val="bg1"/>
              </a:solidFill>
            </a:ln>
            <a:scene3d>
              <a:camera prst="orthographicFront"/>
              <a:lightRig rig="threePt" dir="t"/>
            </a:scene3d>
            <a:sp3d contourW="9525"/>
          </c:spPr>
          <c:explosion val="0"/>
          <c:dPt>
            <c:idx val="0"/>
            <c:bubble3D val="0"/>
            <c:explosion val="0"/>
            <c:spPr>
              <a:solidFill>
                <a:srgbClr val="5B9BD5"/>
              </a:solidFill>
              <a:ln w="9525">
                <a:solidFill>
                  <a:schemeClr val="bg1"/>
                </a:solidFill>
              </a:ln>
              <a:effectLst/>
              <a:scene3d>
                <a:camera prst="orthographicFront"/>
                <a:lightRig rig="threePt" dir="t"/>
              </a:scene3d>
              <a:sp3d contourW="9525">
                <a:contourClr>
                  <a:schemeClr val="lt1"/>
                </a:contourClr>
              </a:sp3d>
            </c:spPr>
          </c:dPt>
          <c:dPt>
            <c:idx val="1"/>
            <c:bubble3D val="0"/>
            <c:explosion val="0"/>
            <c:spPr>
              <a:solidFill>
                <a:srgbClr val="ED7D31"/>
              </a:solidFill>
              <a:ln w="9525">
                <a:solidFill>
                  <a:schemeClr val="bg1"/>
                </a:solidFill>
              </a:ln>
              <a:effectLst/>
              <a:scene3d>
                <a:camera prst="orthographicFront"/>
                <a:lightRig rig="threePt" dir="t"/>
              </a:scene3d>
              <a:sp3d contourW="9525">
                <a:contourClr>
                  <a:schemeClr val="lt1"/>
                </a:contourClr>
              </a:sp3d>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0"/>
              <c:showSerName val="0"/>
              <c:showPercent val="1"/>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0"/>
              <c:showSerName val="0"/>
              <c:showPercent val="1"/>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'[图表 在 盐边卫计监督执法大队 2020年部门决算编制的说明.doc1]Sheet1'!$C$2:$D$2</c:f>
              <c:strCache>
                <c:ptCount val="2"/>
                <c:pt idx="0">
                  <c:v>基本支出</c:v>
                </c:pt>
                <c:pt idx="1">
                  <c:v>项目支出</c:v>
                </c:pt>
              </c:strCache>
            </c:strRef>
          </c:cat>
          <c:val>
            <c:numRef>
              <c:f>'[图表 在 盐边卫计监督执法大队 2020年部门决算编制的说明.doc1]Sheet1'!$C$3:$D$3</c:f>
              <c:numCache>
                <c:formatCode>General</c:formatCode>
                <c:ptCount val="2"/>
                <c:pt idx="0">
                  <c:v>152.7</c:v>
                </c:pt>
                <c:pt idx="1">
                  <c:v>15.01</c:v>
                </c:pt>
              </c:numCache>
            </c:numRef>
          </c:val>
        </c:ser>
        <c:dLbls>
          <c:showLegendKey val="0"/>
          <c:showVal val="0"/>
          <c:showCatName val="0"/>
          <c:showSerName val="0"/>
          <c:showPercent val="0"/>
          <c:showBubbleSize val="0"/>
        </c:dLbls>
      </c:pie3DChart>
      <c:spPr>
        <a:noFill/>
        <a:ln>
          <a:noFill/>
        </a:ln>
        <a:effectLst/>
      </c:spPr>
    </c:plotArea>
    <c:legend>
      <c:legendPos val="b"/>
      <c:legendEntry>
        <c:idx val="0"/>
        <c:txPr>
          <a:bodyPr rot="0" spcFirstLastPara="0" vertOverflow="ellipsis" vert="horz" wrap="square" anchor="ctr" anchorCtr="1"/>
          <a:lstStyle/>
          <a:p>
            <a:pPr>
              <a:defRPr lang="zh-CN" sz="800" b="0" i="0" u="none" strike="noStrike" kern="1200" cap="none" spc="0" normalizeH="0" baseline="0">
                <a:solidFill>
                  <a:schemeClr val="tx1"/>
                </a:solidFill>
                <a:uFill>
                  <a:solidFill>
                    <a:schemeClr val="tx1"/>
                  </a:solidFill>
                </a:uFill>
                <a:latin typeface="宋体" panose="02010600030101010101" charset="-122"/>
                <a:ea typeface="宋体" panose="02010600030101010101" charset="-122"/>
                <a:cs typeface="微软雅黑" panose="020B0503020204020204" pitchFamily="34" charset="-122"/>
                <a:sym typeface="微软雅黑" panose="020B0503020204020204" pitchFamily="34" charset="-122"/>
              </a:defRPr>
            </a:pPr>
          </a:p>
        </c:txPr>
      </c:legendEntry>
      <c:legendEntry>
        <c:idx val="1"/>
        <c:txPr>
          <a:bodyPr rot="0" spcFirstLastPara="0" vertOverflow="ellipsis" vert="horz" wrap="square" anchor="ctr" anchorCtr="1"/>
          <a:lstStyle/>
          <a:p>
            <a:pPr>
              <a:defRPr lang="zh-CN" sz="800" b="0" i="0" u="none" strike="noStrike" kern="1200" cap="none" spc="0" normalizeH="0" baseline="0">
                <a:solidFill>
                  <a:schemeClr val="tx1"/>
                </a:solidFill>
                <a:uFill>
                  <a:solidFill>
                    <a:schemeClr val="tx1"/>
                  </a:solidFill>
                </a:uFill>
                <a:latin typeface="宋体" panose="02010600030101010101" charset="-122"/>
                <a:ea typeface="宋体" panose="02010600030101010101" charset="-122"/>
                <a:cs typeface="微软雅黑" panose="020B0503020204020204" pitchFamily="34" charset="-122"/>
                <a:sym typeface="微软雅黑" panose="020B0503020204020204" pitchFamily="34" charset="-122"/>
              </a:defRPr>
            </a:pPr>
          </a:p>
        </c:txPr>
      </c:legendEntry>
      <c:layout>
        <c:manualLayout>
          <c:xMode val="edge"/>
          <c:yMode val="edge"/>
          <c:x val="0.77747139114849"/>
          <c:y val="0.441599661447313"/>
          <c:w val="0.218392389356129"/>
          <c:h val="0.175412611087601"/>
        </c:manualLayout>
      </c:layout>
      <c:overlay val="0"/>
      <c:txPr>
        <a:bodyPr rot="0" spcFirstLastPara="0" vertOverflow="ellipsis" vert="horz" wrap="square" anchor="ctr" anchorCtr="1"/>
        <a:lstStyle/>
        <a:p>
          <a:pPr>
            <a:defRPr lang="zh-CN" sz="800" b="0" i="0" u="none" strike="noStrike" kern="1200" cap="none" spc="0" normalizeH="0" baseline="0">
              <a:solidFill>
                <a:schemeClr val="tx1"/>
              </a:solidFill>
              <a:uFill>
                <a:solidFill>
                  <a:schemeClr val="tx1"/>
                </a:solidFill>
              </a:uFill>
              <a:latin typeface="宋体" panose="02010600030101010101" charset="-122"/>
              <a:ea typeface="宋体" panose="02010600030101010101" charset="-122"/>
              <a:cs typeface="微软雅黑" panose="020B0503020204020204" pitchFamily="34" charset="-122"/>
              <a:sym typeface="微软雅黑" panose="020B0503020204020204" pitchFamily="34" charset="-122"/>
            </a:defRPr>
          </a:pPr>
        </a:p>
      </c:txPr>
    </c:legend>
    <c:plotVisOnly val="1"/>
    <c:dispBlanksAs val="gap"/>
    <c:showDLblsOverMax val="0"/>
  </c:chart>
  <c:spPr>
    <a:noFill/>
    <a:ln w="9525" cap="flat" cmpd="sng" algn="ctr">
      <a:solidFill>
        <a:sysClr val="windowText" lastClr="000000"/>
      </a:solidFill>
      <a:prstDash val="solid"/>
      <a:round/>
    </a:ln>
    <a:effectLst>
      <a:outerShdw blurRad="63500" dist="37357" dir="2700000" sx="0" sy="0" rotWithShape="0">
        <a:scrgbClr r="0" g="0" b="0"/>
      </a:outerShdw>
    </a:effectLst>
  </c:spPr>
  <c:txPr>
    <a:bodyPr wrap="square"/>
    <a:lstStyle/>
    <a:p>
      <a:pPr>
        <a:defRPr lang="zh-CN">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400" b="0" i="0" u="none" strike="noStrike" kern="1200" spc="0" baseline="0">
                <a:solidFill>
                  <a:schemeClr val="tx1">
                    <a:lumMod val="65000"/>
                    <a:lumOff val="35000"/>
                  </a:schemeClr>
                </a:solidFill>
                <a:latin typeface="+mn-lt"/>
                <a:ea typeface="+mn-ea"/>
                <a:cs typeface="+mn-cs"/>
              </a:rPr>
              <a:t>财政拨款收、支决算总计变动情况</a:t>
            </a:r>
            <a:endParaRPr sz="1400" b="0" i="0" u="none" strike="noStrike" kern="1200" spc="0" baseline="0">
              <a:solidFill>
                <a:schemeClr val="tx1">
                  <a:lumMod val="65000"/>
                  <a:lumOff val="35000"/>
                </a:schemeClr>
              </a:solidFill>
              <a:latin typeface="+mn-lt"/>
              <a:ea typeface="+mn-ea"/>
              <a:cs typeface="+mn-cs"/>
            </a:endParaRPr>
          </a:p>
        </c:rich>
      </c:tx>
      <c:layout/>
      <c:overlay val="0"/>
    </c:title>
    <c:autoTitleDeleted val="0"/>
    <c:plotArea>
      <c:layout/>
      <c:barChart>
        <c:barDir val="col"/>
        <c:grouping val="clustered"/>
        <c:varyColors val="0"/>
        <c:ser>
          <c:idx val="0"/>
          <c:order val="0"/>
          <c:tx>
            <c:strRef>
              <c:f>'[图表 在 盐边卫计监督执法大队 2020年部门决算编制的说明.doc]Sheet1'!$B$3</c:f>
              <c:strCache>
                <c:ptCount val="1"/>
                <c:pt idx="0">
                  <c:v>2020年</c:v>
                </c:pt>
              </c:strCache>
            </c:strRef>
          </c:tx>
          <c:spPr>
            <a:solidFill>
              <a:srgbClr val="5B9BD5">
                <a:alpha val="100000"/>
              </a:srgbClr>
            </a:solidFill>
            <a:ln w="3175">
              <a:noFill/>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盐边卫计监督执法大队 2020年部门决算编制的说明.doc]Sheet1'!$C$2:$D$2</c:f>
              <c:strCache>
                <c:ptCount val="2"/>
                <c:pt idx="0">
                  <c:v>收入</c:v>
                </c:pt>
                <c:pt idx="1">
                  <c:v>支出</c:v>
                </c:pt>
              </c:strCache>
            </c:strRef>
          </c:cat>
          <c:val>
            <c:numRef>
              <c:f>[001146da1]Sheet1!$C$3:$D$3</c:f>
              <c:numCache>
                <c:formatCode>General</c:formatCode>
                <c:ptCount val="2"/>
                <c:pt idx="0">
                  <c:v>136.22</c:v>
                </c:pt>
                <c:pt idx="1">
                  <c:v>136.22</c:v>
                </c:pt>
              </c:numCache>
            </c:numRef>
          </c:val>
        </c:ser>
        <c:ser>
          <c:idx val="1"/>
          <c:order val="1"/>
          <c:tx>
            <c:strRef>
              <c:f>'[图表 在 盐边卫计监督执法大队 2020年部门决算编制的说明.doc]Sheet1'!$B$4</c:f>
              <c:strCache>
                <c:ptCount val="1"/>
                <c:pt idx="0">
                  <c:v>2021年</c:v>
                </c:pt>
              </c:strCache>
            </c:strRef>
          </c:tx>
          <c:spPr>
            <a:solidFill>
              <a:srgbClr val="ED7D31">
                <a:alpha val="100000"/>
              </a:srgbClr>
            </a:solidFill>
            <a:ln w="3175">
              <a:noFill/>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盐边卫计监督执法大队 2020年部门决算编制的说明.doc]Sheet1'!$C$2:$D$2</c:f>
              <c:strCache>
                <c:ptCount val="2"/>
                <c:pt idx="0">
                  <c:v>收入</c:v>
                </c:pt>
                <c:pt idx="1">
                  <c:v>支出</c:v>
                </c:pt>
              </c:strCache>
            </c:strRef>
          </c:cat>
          <c:val>
            <c:numRef>
              <c:f>'[图表 在 盐边卫计监督执法大队 2020年部门决算编制的说明.doc]Sheet1'!$C$4:$D$4</c:f>
              <c:numCache>
                <c:formatCode>General</c:formatCode>
                <c:ptCount val="2"/>
                <c:pt idx="0">
                  <c:v>167.71</c:v>
                </c:pt>
                <c:pt idx="1">
                  <c:v>167.71</c:v>
                </c:pt>
              </c:numCache>
            </c:numRef>
          </c:val>
        </c:ser>
        <c:dLbls>
          <c:showLegendKey val="0"/>
          <c:showVal val="0"/>
          <c:showCatName val="0"/>
          <c:showSerName val="0"/>
          <c:showPercent val="0"/>
          <c:showBubbleSize val="0"/>
        </c:dLbls>
        <c:gapWidth val="219"/>
        <c:overlap val="-27"/>
        <c:axId val="679488082"/>
        <c:axId val="252502609"/>
      </c:barChart>
      <c:catAx>
        <c:axId val="67948808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2502609"/>
        <c:crosses val="autoZero"/>
        <c:auto val="1"/>
        <c:lblAlgn val="ctr"/>
        <c:lblOffset val="100"/>
        <c:noMultiLvlLbl val="0"/>
      </c:catAx>
      <c:valAx>
        <c:axId val="252502609"/>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ln w="3175" cap="flat" cmpd="sng" algn="ctr">
            <a:noFill/>
            <a:prstDash val="solid"/>
            <a:round/>
          </a:ln>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9488082"/>
        <c:crosses val="autoZero"/>
        <c:crossBetween val="between"/>
      </c:valAx>
      <c:spPr>
        <a:noFill/>
        <a:ln w="3175">
          <a:noFill/>
        </a:ln>
      </c:spPr>
    </c:plotArea>
    <c:legend>
      <c:legendPos val="r"/>
      <c:layout>
        <c:manualLayout>
          <c:xMode val="edge"/>
          <c:yMode val="edge"/>
          <c:x val="0.849861111111111"/>
          <c:y val="0.472069403300889"/>
          <c:w val="0.124027777777778"/>
          <c:h val="0.197418535759628"/>
        </c:manualLayout>
      </c:layout>
      <c:overlay val="0"/>
      <c:spPr>
        <a:noFill/>
        <a:ln w="3175">
          <a:noFill/>
        </a:ln>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noFill/>
    <a:ln w="9525" cap="flat" cmpd="sng" algn="ctr">
      <a:solidFill>
        <a:schemeClr val="tx1"/>
      </a:solidFill>
      <a:prstDash val="solid"/>
      <a:round/>
    </a:ln>
    <a:effectLst/>
  </c:spPr>
  <c:txPr>
    <a:bodyPr wrap="square"/>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400" b="0" i="0" u="none" strike="noStrike" kern="1200" spc="0" baseline="0">
                <a:solidFill>
                  <a:schemeClr val="tx1">
                    <a:lumMod val="65000"/>
                    <a:lumOff val="35000"/>
                  </a:schemeClr>
                </a:solidFill>
                <a:latin typeface="+mn-lt"/>
                <a:ea typeface="+mn-ea"/>
                <a:cs typeface="+mn-cs"/>
              </a:rPr>
              <a:t>一般公共预算财政拨款支出决算变动情况</a:t>
            </a:r>
            <a:endParaRPr sz="1400" b="0" i="0" u="none" strike="noStrike" kern="1200" spc="0" baseline="0">
              <a:solidFill>
                <a:schemeClr val="tx1">
                  <a:lumMod val="65000"/>
                  <a:lumOff val="35000"/>
                </a:schemeClr>
              </a:solidFill>
              <a:latin typeface="+mn-lt"/>
              <a:ea typeface="+mn-ea"/>
              <a:cs typeface="+mn-cs"/>
            </a:endParaRPr>
          </a:p>
        </c:rich>
      </c:tx>
      <c:layout/>
      <c:overlay val="0"/>
    </c:title>
    <c:autoTitleDeleted val="0"/>
    <c:plotArea>
      <c:layout>
        <c:manualLayout>
          <c:layoutTarget val="inner"/>
          <c:xMode val="edge"/>
          <c:yMode val="edge"/>
          <c:x val="0.0903611111111111"/>
          <c:y val="0.143492063492064"/>
          <c:w val="0.742694444444444"/>
          <c:h val="0.782518518518519"/>
        </c:manualLayout>
      </c:layout>
      <c:barChart>
        <c:barDir val="col"/>
        <c:grouping val="clustered"/>
        <c:varyColors val="0"/>
        <c:ser>
          <c:idx val="0"/>
          <c:order val="0"/>
          <c:tx>
            <c:strRef>
              <c:f>'[图表 在 盐边卫计监督执法大队 2020年部门决算编制的说明.doc]Sheet1'!$B$3</c:f>
              <c:strCache>
                <c:ptCount val="1"/>
                <c:pt idx="0">
                  <c:v>2020年</c:v>
                </c:pt>
              </c:strCache>
            </c:strRef>
          </c:tx>
          <c:spPr>
            <a:solidFill>
              <a:srgbClr val="5B9BD5">
                <a:alpha val="100000"/>
              </a:srgbClr>
            </a:solidFill>
            <a:ln w="3175">
              <a:noFill/>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[001f01411]Sheet1!$C$2</c:f>
              <c:numCache>
                <c:formatCode>General</c:formatCode>
                <c:ptCount val="1"/>
              </c:numCache>
            </c:numRef>
          </c:cat>
          <c:val>
            <c:numRef>
              <c:f>[001f01411]Sheet1!$C$3</c:f>
              <c:numCache>
                <c:formatCode>General</c:formatCode>
                <c:ptCount val="1"/>
                <c:pt idx="0">
                  <c:v>136.22</c:v>
                </c:pt>
              </c:numCache>
            </c:numRef>
          </c:val>
        </c:ser>
        <c:ser>
          <c:idx val="1"/>
          <c:order val="1"/>
          <c:tx>
            <c:strRef>
              <c:f>'[图表 在 盐边卫计监督执法大队 2020年部门决算编制的说明.doc]Sheet1'!$B$4</c:f>
              <c:strCache>
                <c:ptCount val="1"/>
                <c:pt idx="0">
                  <c:v>2021年</c:v>
                </c:pt>
              </c:strCache>
            </c:strRef>
          </c:tx>
          <c:spPr>
            <a:solidFill>
              <a:srgbClr val="ED7D31">
                <a:alpha val="100000"/>
              </a:srgbClr>
            </a:solidFill>
            <a:ln w="3175">
              <a:noFill/>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[001f01411]Sheet1!$C$2</c:f>
              <c:numCache>
                <c:formatCode>General</c:formatCode>
                <c:ptCount val="1"/>
              </c:numCache>
            </c:numRef>
          </c:cat>
          <c:val>
            <c:numRef>
              <c:f>'[图表 在 盐边卫计监督执法大队 2020年部门决算编制的说明.doc]Sheet1'!$C$4</c:f>
              <c:numCache>
                <c:formatCode>General</c:formatCode>
                <c:ptCount val="1"/>
                <c:pt idx="0">
                  <c:v>167.71</c:v>
                </c:pt>
              </c:numCache>
            </c:numRef>
          </c:val>
        </c:ser>
        <c:dLbls>
          <c:showLegendKey val="0"/>
          <c:showVal val="0"/>
          <c:showCatName val="0"/>
          <c:showSerName val="0"/>
          <c:showPercent val="0"/>
          <c:showBubbleSize val="0"/>
        </c:dLbls>
        <c:gapWidth val="219"/>
        <c:overlap val="-27"/>
        <c:axId val="264706782"/>
        <c:axId val="376526137"/>
      </c:barChart>
      <c:catAx>
        <c:axId val="26470678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6526137"/>
        <c:crosses val="autoZero"/>
        <c:auto val="1"/>
        <c:lblAlgn val="ctr"/>
        <c:lblOffset val="100"/>
        <c:noMultiLvlLbl val="0"/>
      </c:catAx>
      <c:valAx>
        <c:axId val="376526137"/>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ln w="3175" cap="flat" cmpd="sng" algn="ctr">
            <a:noFill/>
            <a:prstDash val="solid"/>
            <a:round/>
          </a:ln>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64706782"/>
        <c:crosses val="autoZero"/>
        <c:crossBetween val="between"/>
      </c:valAx>
      <c:spPr>
        <a:noFill/>
        <a:ln w="3175">
          <a:noFill/>
        </a:ln>
      </c:spPr>
    </c:plotArea>
    <c:legend>
      <c:legendPos val="r"/>
      <c:layout>
        <c:manualLayout>
          <c:xMode val="edge"/>
          <c:yMode val="edge"/>
          <c:x val="0.779166666666667"/>
          <c:y val="0.471646212441811"/>
          <c:w val="0.174444444444444"/>
          <c:h val="0.201438848920863"/>
        </c:manualLayout>
      </c:layout>
      <c:overlay val="0"/>
      <c:spPr>
        <a:noFill/>
        <a:ln w="3175">
          <a:noFill/>
        </a:ln>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noFill/>
    <a:ln w="9525" cap="flat" cmpd="sng" algn="ctr">
      <a:solidFill>
        <a:schemeClr val="tx1"/>
      </a:solidFill>
      <a:prstDash val="solid"/>
      <a:round/>
    </a:ln>
    <a:effectLst/>
  </c:spPr>
  <c:txPr>
    <a:bodyPr wrap="square"/>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'[图表 在 盐边卫计监督执法大队 2020年部门决算编制的说明.doc]Sheet1'!$B$3</c:f>
              <c:strCache>
                <c:ptCount val="1"/>
                <c:pt idx="0">
                  <c:v>一般公共预算财政拨款支出</c:v>
                </c:pt>
              </c:strCache>
            </c:strRef>
          </c:tx>
          <c:spPr>
            <a:solidFill>
              <a:srgbClr val="5B9BD5">
                <a:alpha val="100000"/>
              </a:srgbClr>
            </a:solidFill>
            <a:ln w="3175">
              <a:noFill/>
            </a:ln>
          </c:spPr>
          <c:explosion val="0"/>
          <c:dPt>
            <c:idx val="0"/>
            <c:bubble3D val="0"/>
            <c:explosion val="0"/>
            <c:spPr>
              <a:solidFill>
                <a:schemeClr val="accent2"/>
              </a:solidFill>
              <a:ln w="3175">
                <a:noFill/>
              </a:ln>
            </c:spPr>
          </c:dPt>
          <c:dPt>
            <c:idx val="1"/>
            <c:bubble3D val="0"/>
            <c:explosion val="0"/>
            <c:spPr>
              <a:solidFill>
                <a:schemeClr val="accent1"/>
              </a:solidFill>
              <a:ln w="3175">
                <a:noFill/>
              </a:ln>
            </c:spPr>
          </c:dPt>
          <c:dPt>
            <c:idx val="2"/>
            <c:bubble3D val="0"/>
            <c:explosion val="0"/>
            <c:spPr>
              <a:solidFill>
                <a:srgbClr val="92D050"/>
              </a:solidFill>
              <a:ln w="3175">
                <a:noFill/>
              </a:ln>
            </c:spPr>
          </c:dPt>
          <c:dLbls>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inEnd"/>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'[图表 在 盐边卫计监督执法大队 2020年部门决算编制的说明.doc]Sheet1'!$C$2:$E$2</c:f>
              <c:strCache>
                <c:ptCount val="3"/>
                <c:pt idx="0">
                  <c:v>社会保障和就业（类）支出</c:v>
                </c:pt>
                <c:pt idx="1">
                  <c:v>卫生健康支出</c:v>
                </c:pt>
                <c:pt idx="2">
                  <c:v>住房保障支出</c:v>
                </c:pt>
              </c:strCache>
            </c:strRef>
          </c:cat>
          <c:val>
            <c:numRef>
              <c:f>'[图表 在 盐边卫计监督执法大队 2020年部门决算编制的说明.doc]Sheet1'!$C$3:$E$3</c:f>
              <c:numCache>
                <c:formatCode>General</c:formatCode>
                <c:ptCount val="3"/>
                <c:pt idx="0">
                  <c:v>15.3</c:v>
                </c:pt>
                <c:pt idx="1">
                  <c:v>140.48</c:v>
                </c:pt>
                <c:pt idx="2">
                  <c:v>11.93</c:v>
                </c:pt>
              </c:numCache>
            </c:numRef>
          </c:val>
        </c:ser>
        <c:dLbls>
          <c:showLegendKey val="0"/>
          <c:showVal val="0"/>
          <c:showCatName val="0"/>
          <c:showSerName val="0"/>
          <c:showPercent val="0"/>
          <c:showBubbleSize val="0"/>
        </c:dLbls>
      </c:pie3DChart>
      <c:spPr>
        <a:noFill/>
        <a:ln w="3175">
          <a:noFill/>
        </a:ln>
      </c:spPr>
    </c:plotArea>
    <c:legend>
      <c:legendPos val="r"/>
      <c:layout>
        <c:manualLayout>
          <c:xMode val="edge"/>
          <c:yMode val="edge"/>
          <c:x val="0.646666666666667"/>
          <c:y val="0.686772486772487"/>
          <c:w val="0.349"/>
          <c:h val="0.207"/>
        </c:manualLayout>
      </c:layout>
      <c:overlay val="0"/>
      <c:spPr>
        <a:noFill/>
        <a:ln w="3175">
          <a:noFill/>
        </a:ln>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noFill/>
    <a:ln w="9525" cap="flat" cmpd="sng" algn="ctr">
      <a:solidFill>
        <a:schemeClr val="tx1"/>
      </a:solidFill>
      <a:prstDash val="solid"/>
      <a:round/>
    </a:ln>
    <a:effectLst/>
  </c:spPr>
  <c:txPr>
    <a:bodyPr wrap="square"/>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'[图表 在 盐边卫计监督执法大队 2020年部门决算编制的说明.doc]Sheet1'!$B$3</c:f>
              <c:strCache>
                <c:ptCount val="1"/>
                <c:pt idx="0">
                  <c:v>“三公”经费财政拨款支出结构</c:v>
                </c:pt>
              </c:strCache>
            </c:strRef>
          </c:tx>
          <c:spPr>
            <a:solidFill>
              <a:srgbClr val="5B9BD5">
                <a:alpha val="100000"/>
              </a:srgbClr>
            </a:solidFill>
            <a:ln w="3175">
              <a:noFill/>
            </a:ln>
          </c:spPr>
          <c:explosion val="0"/>
          <c:dPt>
            <c:idx val="0"/>
            <c:bubble3D val="0"/>
            <c:explosion val="0"/>
            <c:spPr>
              <a:solidFill>
                <a:srgbClr val="00B050"/>
              </a:solidFill>
              <a:ln w="3175">
                <a:noFill/>
              </a:ln>
            </c:spPr>
          </c:dPt>
          <c:dPt>
            <c:idx val="1"/>
            <c:bubble3D val="0"/>
            <c:explosion val="0"/>
            <c:spPr>
              <a:solidFill>
                <a:srgbClr val="FF0000"/>
              </a:solidFill>
              <a:ln w="3175">
                <a:noFill/>
              </a:ln>
            </c:spPr>
          </c:dPt>
          <c:dPt>
            <c:idx val="2"/>
            <c:bubble3D val="0"/>
            <c:explosion val="0"/>
            <c:spPr>
              <a:solidFill>
                <a:schemeClr val="accent1"/>
              </a:solidFill>
              <a:ln w="3175">
                <a:noFill/>
              </a:ln>
            </c:spPr>
          </c:dPt>
          <c:dLbls>
            <c:dLbl>
              <c:idx val="0"/>
              <c:layout/>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1"/>
              <c:showBubbleSize val="0"/>
              <c:extLst>
                <c:ext xmlns:c15="http://schemas.microsoft.com/office/drawing/2012/chart" uri="{CE6537A1-D6FC-4f65-9D91-7224C49458BB}"/>
              </c:extLst>
            </c:dLbl>
            <c:dLbl>
              <c:idx val="1"/>
              <c:layout>
                <c:manualLayout>
                  <c:x val="0.118472222222222"/>
                  <c:y val="0.00275074058400339"/>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[00291e9c1]Sheet1!$C$2:$E$2</c:f>
              <c:strCache>
                <c:ptCount val="3"/>
                <c:pt idx="0">
                  <c:v>因公出国（境）费支出</c:v>
                </c:pt>
                <c:pt idx="1">
                  <c:v>公务用车购置及运行维护费支出</c:v>
                </c:pt>
                <c:pt idx="2">
                  <c:v>公务接待费支出</c:v>
                </c:pt>
              </c:strCache>
            </c:strRef>
          </c:cat>
          <c:val>
            <c:numRef>
              <c:f>'[图表 在 盐边卫计监督执法大队 2020年部门决算编制的说明.doc]Sheet1'!$C$3:$E$3</c:f>
              <c:numCache>
                <c:formatCode>General</c:formatCode>
                <c:ptCount val="3"/>
                <c:pt idx="0">
                  <c:v>0</c:v>
                </c:pt>
                <c:pt idx="1">
                  <c:v>0</c:v>
                </c:pt>
                <c:pt idx="2">
                  <c:v>0.08</c:v>
                </c:pt>
              </c:numCache>
            </c:numRef>
          </c:val>
        </c:ser>
        <c:dLbls>
          <c:showLegendKey val="0"/>
          <c:showVal val="0"/>
          <c:showCatName val="0"/>
          <c:showSerName val="0"/>
          <c:showPercent val="0"/>
          <c:showBubbleSize val="0"/>
        </c:dLbls>
      </c:pie3DChart>
      <c:spPr>
        <a:noFill/>
        <a:ln w="3175">
          <a:noFill/>
        </a:ln>
      </c:spPr>
    </c:plotArea>
    <c:legend>
      <c:legendPos val="r"/>
      <c:layout/>
      <c:overlay val="0"/>
      <c:spPr>
        <a:noFill/>
        <a:ln w="3175">
          <a:noFill/>
        </a:ln>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noFill/>
    <a:ln w="9525" cap="flat" cmpd="sng" algn="ctr">
      <a:solidFill>
        <a:schemeClr val="tx1"/>
      </a:solidFill>
      <a:prstDash val="solid"/>
      <a:round/>
    </a:ln>
    <a:effectLst/>
  </c:spPr>
  <c:txPr>
    <a:bodyPr wrap="square"/>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Info spid="_x0000_s2053" textRotate="1"/>
    <customShpInfo spid="_x0000_s205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31</Pages>
  <Words>11196</Words>
  <Characters>13470</Characters>
  <Lines>44</Lines>
  <Paragraphs>12</Paragraphs>
  <TotalTime>1</TotalTime>
  <ScaleCrop>false</ScaleCrop>
  <LinksUpToDate>false</LinksUpToDate>
  <CharactersWithSpaces>13631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WPS_756101939</cp:lastModifiedBy>
  <cp:lastPrinted>2022-08-06T02:23:00Z</cp:lastPrinted>
  <dcterms:modified xsi:type="dcterms:W3CDTF">2023-04-10T07:12:39Z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012B661D75EF48B09F77AB605E0FA68B</vt:lpwstr>
  </property>
</Properties>
</file>