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96475"/>
      <w:bookmarkStart w:id="2" w:name="_Toc15378441"/>
      <w:bookmarkStart w:id="3" w:name="_Toc15396597"/>
      <w:bookmarkStart w:id="4" w:name="_Toc15377425"/>
      <w:bookmarkStart w:id="5" w:name="_Toc15377193"/>
      <w:r>
        <w:rPr>
          <w:rFonts w:hint="eastAsia" w:ascii="方正小标宋简体" w:hAnsi="方正小标宋简体" w:eastAsia="方正小标宋简体" w:cs="方正小标宋简体"/>
          <w:sz w:val="72"/>
          <w:szCs w:val="72"/>
        </w:rPr>
        <w:t>2021年度</w:t>
      </w:r>
      <w:bookmarkEnd w:id="1"/>
      <w:bookmarkEnd w:id="2"/>
      <w:bookmarkEnd w:id="3"/>
      <w:bookmarkEnd w:id="4"/>
      <w:bookmarkEnd w:id="5"/>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lang w:eastAsia="zh-CN"/>
        </w:rPr>
      </w:pPr>
      <w:bookmarkStart w:id="6" w:name="_Toc15396476"/>
      <w:bookmarkStart w:id="7" w:name="_Toc15396598"/>
      <w:bookmarkStart w:id="8" w:name="_Toc15378442"/>
      <w:bookmarkStart w:id="9" w:name="_Toc15377194"/>
      <w:bookmarkStart w:id="10" w:name="_Toc15377426"/>
      <w:r>
        <w:rPr>
          <w:rFonts w:hint="eastAsia" w:ascii="方正小标宋简体" w:hAnsi="方正小标宋简体" w:eastAsia="方正小标宋简体" w:cs="方正小标宋简体"/>
          <w:sz w:val="72"/>
          <w:szCs w:val="72"/>
        </w:rPr>
        <w:t>盐边县</w:t>
      </w:r>
      <w:bookmarkEnd w:id="0"/>
      <w:bookmarkStart w:id="11" w:name="_Toc15306268"/>
      <w:r>
        <w:rPr>
          <w:rFonts w:hint="eastAsia" w:ascii="方正小标宋简体" w:hAnsi="方正小标宋简体" w:eastAsia="方正小标宋简体" w:cs="方正小标宋简体"/>
          <w:sz w:val="72"/>
          <w:szCs w:val="72"/>
          <w:lang w:eastAsia="zh-CN"/>
        </w:rPr>
        <w:t>新九镇卫生院</w:t>
      </w:r>
    </w:p>
    <w:p>
      <w:pPr>
        <w:adjustRightInd w:val="0"/>
        <w:snapToGrid w:val="0"/>
        <w:spacing w:line="360" w:lineRule="auto"/>
        <w:jc w:val="center"/>
        <w:outlineLvl w:val="0"/>
        <w:rPr>
          <w:rFonts w:ascii="方正小标宋简体" w:hAnsi="方正小标宋简体" w:eastAsia="方正小标宋简体" w:cs="方正小标宋简体"/>
          <w:b w:val="0"/>
          <w:bCs w:val="0"/>
          <w:sz w:val="72"/>
          <w:szCs w:val="72"/>
        </w:rPr>
      </w:pPr>
      <w:r>
        <w:rPr>
          <w:rFonts w:hint="eastAsia" w:ascii="方正小标宋简体" w:hAnsi="方正小标宋简体" w:eastAsia="方正小标宋简体" w:cs="方正小标宋简体"/>
          <w:sz w:val="72"/>
          <w:szCs w:val="72"/>
          <w:lang w:eastAsia="zh-CN"/>
        </w:rPr>
        <w:t>单位</w:t>
      </w:r>
      <w:r>
        <w:rPr>
          <w:rFonts w:hint="eastAsia" w:ascii="方正小标宋简体" w:hAnsi="方正小标宋简体" w:eastAsia="方正小标宋简体" w:cs="方正小标宋简体"/>
          <w:sz w:val="72"/>
          <w:szCs w:val="72"/>
        </w:rPr>
        <w:t>决算</w:t>
      </w:r>
      <w:bookmarkEnd w:id="6"/>
      <w:bookmarkEnd w:id="7"/>
      <w:bookmarkEnd w:id="8"/>
      <w:bookmarkEnd w:id="9"/>
      <w:bookmarkEnd w:id="10"/>
      <w:bookmarkEnd w:id="11"/>
      <w:r>
        <w:rPr>
          <w:rFonts w:hint="eastAsia" w:ascii="方正小标宋简体" w:hAnsi="方正小标宋简体" w:eastAsia="方正小标宋简体" w:cs="方正小标宋简体"/>
          <w:b w:val="0"/>
          <w:bCs w:val="0"/>
          <w:sz w:val="72"/>
          <w:szCs w:val="72"/>
          <w:lang w:eastAsia="zh-CN"/>
        </w:rPr>
        <w:t>公开编制说明</w:t>
      </w:r>
    </w:p>
    <w:p>
      <w:pPr>
        <w:adjustRightInd w:val="0"/>
        <w:snapToGrid w:val="0"/>
        <w:spacing w:line="360" w:lineRule="auto"/>
        <w:jc w:val="both"/>
        <w:outlineLvl w:val="0"/>
        <w:rPr>
          <w:rFonts w:ascii="方正小标宋简体" w:hAnsi="宋体" w:eastAsia="方正小标宋简体"/>
          <w:sz w:val="52"/>
          <w:szCs w:val="52"/>
        </w:rPr>
      </w:pPr>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0"/>
      </w:pPr>
      <w:r>
        <w:rPr>
          <w:rFonts w:hint="eastAsia"/>
        </w:rPr>
        <w:t>公开时间：2022年1</w:t>
      </w:r>
      <w:r>
        <w:rPr>
          <w:rFonts w:hint="eastAsia"/>
          <w:lang w:val="en-US" w:eastAsia="zh-CN"/>
        </w:rPr>
        <w:t>1</w:t>
      </w:r>
      <w:r>
        <w:rPr>
          <w:rFonts w:hint="eastAsia"/>
        </w:rPr>
        <w:t>月</w:t>
      </w:r>
      <w:r>
        <w:rPr>
          <w:rFonts w:hint="eastAsia"/>
          <w:lang w:val="en-US" w:eastAsia="zh-CN"/>
        </w:rPr>
        <w:t>1</w:t>
      </w:r>
      <w:r>
        <w:rPr>
          <w:rFonts w:hint="eastAsia"/>
        </w:rPr>
        <w:t>日</w:t>
      </w:r>
    </w:p>
    <w:p/>
    <w:p>
      <w:pPr>
        <w:pStyle w:val="10"/>
        <w:adjustRightInd w:val="0"/>
        <w:snapToGrid w:val="0"/>
        <w:spacing w:before="0" w:line="440" w:lineRule="exact"/>
        <w:jc w:val="left"/>
        <w:rPr>
          <w:rFonts w:hint="default" w:eastAsia="仿宋" w:cstheme="minorBidi"/>
          <w:sz w:val="24"/>
          <w:szCs w:val="24"/>
          <w:lang w:val="en-US" w:eastAsia="zh-CN"/>
        </w:rPr>
      </w:pPr>
      <w:r>
        <w:rPr>
          <w:rFonts w:hint="eastAsia"/>
          <w:sz w:val="24"/>
        </w:rPr>
        <w:t>第一部分单位概况</w:t>
      </w:r>
      <w:r>
        <w:rPr>
          <w:rFonts w:hint="eastAsia"/>
          <w:sz w:val="24"/>
          <w:lang w:val="en-US" w:eastAsia="zh-CN"/>
        </w:rPr>
        <w:t>.................................................4</w:t>
      </w:r>
    </w:p>
    <w:p>
      <w:pPr>
        <w:pStyle w:val="11"/>
        <w:adjustRightInd w:val="0"/>
        <w:snapToGrid w:val="0"/>
        <w:spacing w:line="440" w:lineRule="exact"/>
        <w:jc w:val="left"/>
        <w:rPr>
          <w:rFonts w:hint="default" w:eastAsia="宋体"/>
          <w:sz w:val="24"/>
          <w:lang w:val="en-US" w:eastAsia="zh-CN"/>
        </w:rPr>
      </w:pPr>
      <w:r>
        <w:rPr>
          <w:rFonts w:hint="eastAsia"/>
          <w:sz w:val="24"/>
        </w:rPr>
        <w:t>一、职能简介</w:t>
      </w:r>
      <w:r>
        <w:rPr>
          <w:rFonts w:hint="eastAsia"/>
          <w:sz w:val="24"/>
          <w:lang w:val="en-US" w:eastAsia="zh-CN"/>
        </w:rPr>
        <w:t>...................................................................................................4</w:t>
      </w:r>
    </w:p>
    <w:p>
      <w:pPr>
        <w:pStyle w:val="11"/>
        <w:adjustRightInd w:val="0"/>
        <w:snapToGrid w:val="0"/>
        <w:spacing w:line="440" w:lineRule="exact"/>
        <w:jc w:val="left"/>
        <w:rPr>
          <w:rFonts w:hint="eastAsia" w:asciiTheme="minorEastAsia" w:hAnsiTheme="minorEastAsia" w:eastAsiaTheme="minorEastAsia" w:cstheme="minorEastAsia"/>
          <w:sz w:val="24"/>
          <w:lang w:val="en-US" w:eastAsia="zh-CN"/>
        </w:rPr>
      </w:pPr>
      <w:r>
        <w:rPr>
          <w:rFonts w:hint="eastAsia" w:asciiTheme="minorEastAsia" w:hAnsiTheme="minorEastAsia" w:eastAsiaTheme="minorEastAsia" w:cstheme="minorEastAsia"/>
          <w:sz w:val="24"/>
        </w:rPr>
        <w:t>二、2021年重点工作完成情况</w:t>
      </w:r>
      <w:r>
        <w:rPr>
          <w:rFonts w:hint="eastAsia" w:asciiTheme="minorEastAsia" w:hAnsiTheme="minorEastAsia" w:eastAsiaTheme="minorEastAsia" w:cstheme="minorEastAsia"/>
          <w:sz w:val="24"/>
          <w:lang w:val="en-US" w:eastAsia="zh-CN"/>
        </w:rPr>
        <w:t>...................................4</w:t>
      </w:r>
    </w:p>
    <w:p>
      <w:pPr>
        <w:rPr>
          <w:rFonts w:hint="default"/>
          <w:lang w:val="en-US" w:eastAsia="zh-CN"/>
        </w:rPr>
      </w:pPr>
      <w:r>
        <w:rPr>
          <w:rFonts w:hint="eastAsia" w:asciiTheme="minorEastAsia" w:hAnsiTheme="minorEastAsia" w:eastAsiaTheme="minorEastAsia" w:cstheme="minorEastAsia"/>
          <w:sz w:val="24"/>
          <w:lang w:val="en-US" w:eastAsia="zh-CN"/>
        </w:rPr>
        <w:t xml:space="preserve">   三、机构设置 </w:t>
      </w:r>
      <w:r>
        <w:rPr>
          <w:rFonts w:hint="eastAsia"/>
          <w:sz w:val="24"/>
          <w:lang w:val="en-US" w:eastAsia="zh-CN"/>
        </w:rPr>
        <w:t>.................................................................................... .... 4</w:t>
      </w:r>
    </w:p>
    <w:p>
      <w:pPr>
        <w:pStyle w:val="10"/>
        <w:adjustRightInd w:val="0"/>
        <w:snapToGrid w:val="0"/>
        <w:spacing w:before="0" w:line="440" w:lineRule="exact"/>
        <w:jc w:val="left"/>
        <w:rPr>
          <w:rFonts w:hint="default" w:eastAsia="仿宋"/>
          <w:sz w:val="24"/>
          <w:szCs w:val="24"/>
          <w:lang w:val="en-US" w:eastAsia="zh-CN"/>
        </w:rPr>
      </w:pPr>
      <w:r>
        <w:rPr>
          <w:rFonts w:hint="eastAsia"/>
          <w:sz w:val="24"/>
        </w:rPr>
        <w:t>第二部分 2021年度单位决算情况说明</w:t>
      </w:r>
      <w:r>
        <w:rPr>
          <w:rFonts w:hint="eastAsia"/>
          <w:sz w:val="24"/>
          <w:lang w:val="en-US" w:eastAsia="zh-CN"/>
        </w:rPr>
        <w:t>................................6</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一、收入支出决算总体情况说明</w:t>
      </w:r>
      <w:r>
        <w:rPr>
          <w:rFonts w:hint="eastAsia"/>
          <w:sz w:val="24"/>
          <w:lang w:val="en-US" w:eastAsia="zh-CN"/>
        </w:rPr>
        <w:t>....................................................................6</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二、收入决算情况说明</w:t>
      </w:r>
      <w:r>
        <w:rPr>
          <w:rFonts w:hint="eastAsia"/>
          <w:sz w:val="24"/>
          <w:lang w:val="en-US" w:eastAsia="zh-CN"/>
        </w:rPr>
        <w:t>....................................................................................6</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三、支出决算情况说明</w:t>
      </w:r>
      <w:r>
        <w:rPr>
          <w:rFonts w:hint="eastAsia"/>
          <w:sz w:val="24"/>
          <w:lang w:val="en-US" w:eastAsia="zh-CN"/>
        </w:rPr>
        <w:t>....................................................................................7</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四、财政拨款收入支出决算总体情况说明</w:t>
      </w:r>
      <w:r>
        <w:rPr>
          <w:rFonts w:hint="eastAsia"/>
          <w:sz w:val="24"/>
          <w:lang w:val="en-US" w:eastAsia="zh-CN"/>
        </w:rPr>
        <w:t>.....................................................8</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五、一般公共预算财政拨款支出决算情况说明</w:t>
      </w:r>
      <w:r>
        <w:rPr>
          <w:rFonts w:hint="eastAsia"/>
          <w:sz w:val="24"/>
          <w:lang w:val="en-US" w:eastAsia="zh-CN"/>
        </w:rPr>
        <w:t>.............................................8</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六、一般公共预算财政拨款基本支出决算情况说明</w:t>
      </w:r>
      <w:r>
        <w:rPr>
          <w:rFonts w:hint="eastAsia"/>
          <w:sz w:val="24"/>
          <w:lang w:val="en-US" w:eastAsia="zh-CN"/>
        </w:rPr>
        <w:t>.....................................10</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七、“三公”经费财政拨款支出决算情况说明</w:t>
      </w:r>
      <w:r>
        <w:rPr>
          <w:rFonts w:hint="eastAsia"/>
          <w:sz w:val="24"/>
          <w:lang w:val="en-US" w:eastAsia="zh-CN"/>
        </w:rPr>
        <w:t>.............................................11</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八、政府性基金预算支出决算情况说明</w:t>
      </w:r>
      <w:r>
        <w:rPr>
          <w:rFonts w:hint="eastAsia"/>
          <w:sz w:val="24"/>
          <w:lang w:val="en-US" w:eastAsia="zh-CN"/>
        </w:rPr>
        <w:t>.........................................................13</w:t>
      </w:r>
    </w:p>
    <w:p>
      <w:pPr>
        <w:pStyle w:val="11"/>
        <w:adjustRightInd w:val="0"/>
        <w:snapToGrid w:val="0"/>
        <w:spacing w:line="440" w:lineRule="exact"/>
        <w:jc w:val="left"/>
        <w:rPr>
          <w:rFonts w:hint="default" w:eastAsia="宋体"/>
          <w:sz w:val="24"/>
          <w:lang w:val="en-US" w:eastAsia="zh-CN"/>
        </w:rPr>
      </w:pPr>
      <w:r>
        <w:rPr>
          <w:rFonts w:hint="eastAsia"/>
          <w:sz w:val="24"/>
        </w:rPr>
        <w:t>九、国有资本经营预算支出决算情况说明</w:t>
      </w:r>
      <w:r>
        <w:rPr>
          <w:rFonts w:hint="eastAsia"/>
          <w:sz w:val="24"/>
          <w:lang w:val="en-US" w:eastAsia="zh-CN"/>
        </w:rPr>
        <w:t>.....................................................13</w:t>
      </w:r>
    </w:p>
    <w:p>
      <w:pPr>
        <w:pStyle w:val="11"/>
        <w:adjustRightInd w:val="0"/>
        <w:snapToGrid w:val="0"/>
        <w:spacing w:line="440" w:lineRule="exact"/>
        <w:jc w:val="left"/>
        <w:rPr>
          <w:rFonts w:hint="default" w:eastAsia="宋体"/>
          <w:sz w:val="24"/>
          <w:lang w:val="en-US" w:eastAsia="zh-CN"/>
        </w:rPr>
      </w:pPr>
      <w:r>
        <w:rPr>
          <w:rFonts w:hint="eastAsia"/>
          <w:sz w:val="24"/>
        </w:rPr>
        <w:t>十、其他重要事项的情况说明</w:t>
      </w:r>
      <w:r>
        <w:rPr>
          <w:rFonts w:hint="eastAsia"/>
          <w:sz w:val="24"/>
          <w:lang w:val="en-US" w:eastAsia="zh-CN"/>
        </w:rPr>
        <w:t>.........................................................................13</w:t>
      </w:r>
    </w:p>
    <w:p>
      <w:pPr>
        <w:pStyle w:val="10"/>
        <w:adjustRightInd w:val="0"/>
        <w:snapToGrid w:val="0"/>
        <w:spacing w:before="0" w:line="440" w:lineRule="exact"/>
        <w:jc w:val="left"/>
        <w:rPr>
          <w:rFonts w:hint="default" w:eastAsia="仿宋" w:cstheme="minorBidi"/>
          <w:sz w:val="24"/>
          <w:szCs w:val="24"/>
          <w:lang w:val="en-US" w:eastAsia="zh-CN"/>
        </w:rPr>
      </w:pPr>
      <w:r>
        <w:rPr>
          <w:rFonts w:hint="eastAsia"/>
          <w:sz w:val="24"/>
        </w:rPr>
        <w:t>第三部分名词解释</w:t>
      </w:r>
      <w:r>
        <w:rPr>
          <w:rFonts w:hint="eastAsia"/>
          <w:sz w:val="24"/>
          <w:lang w:val="en-US" w:eastAsia="zh-CN"/>
        </w:rPr>
        <w:t>..................................................15</w:t>
      </w:r>
    </w:p>
    <w:p>
      <w:pPr>
        <w:pStyle w:val="10"/>
        <w:adjustRightInd w:val="0"/>
        <w:snapToGrid w:val="0"/>
        <w:spacing w:before="0" w:line="440" w:lineRule="exact"/>
        <w:jc w:val="left"/>
        <w:rPr>
          <w:rFonts w:hint="default"/>
          <w:sz w:val="24"/>
          <w:lang w:val="en-US" w:eastAsia="zh-CN"/>
        </w:rPr>
      </w:pPr>
      <w:r>
        <w:rPr>
          <w:rFonts w:hint="eastAsia"/>
          <w:sz w:val="24"/>
        </w:rPr>
        <w:t>第四部分附件</w:t>
      </w:r>
      <w:r>
        <w:rPr>
          <w:rFonts w:hint="eastAsia"/>
          <w:sz w:val="24"/>
          <w:lang w:val="en-US" w:eastAsia="zh-CN"/>
        </w:rPr>
        <w:t>......................................................18</w:t>
      </w:r>
    </w:p>
    <w:p>
      <w:pPr>
        <w:ind w:firstLine="480" w:firstLineChars="200"/>
        <w:rPr>
          <w:rFonts w:hint="default"/>
          <w:sz w:val="24"/>
          <w:lang w:val="en-US" w:eastAsia="zh-CN"/>
        </w:rPr>
      </w:pPr>
      <w:r>
        <w:rPr>
          <w:rFonts w:hint="eastAsia"/>
          <w:sz w:val="24"/>
          <w:lang w:val="en-US" w:eastAsia="zh-CN"/>
        </w:rPr>
        <w:t xml:space="preserve">附件1  2021年部门预算整体绩效自评 ......................................................18  </w:t>
      </w:r>
    </w:p>
    <w:p>
      <w:pPr>
        <w:pStyle w:val="2"/>
        <w:ind w:firstLine="480" w:firstLineChars="200"/>
        <w:rPr>
          <w:rFonts w:hint="default"/>
          <w:sz w:val="24"/>
          <w:lang w:val="en-US" w:eastAsia="zh-CN"/>
        </w:rPr>
      </w:pPr>
      <w:r>
        <w:rPr>
          <w:rFonts w:hint="eastAsia"/>
          <w:sz w:val="24"/>
          <w:lang w:val="en-US" w:eastAsia="zh-CN"/>
        </w:rPr>
        <w:t>附件2  2021年基本公共卫生绩效目标自评........................20</w:t>
      </w:r>
    </w:p>
    <w:p>
      <w:pPr>
        <w:pStyle w:val="2"/>
        <w:ind w:firstLine="480" w:firstLineChars="200"/>
        <w:rPr>
          <w:rFonts w:hint="default"/>
          <w:sz w:val="24"/>
          <w:lang w:val="en-US" w:eastAsia="zh-CN"/>
        </w:rPr>
      </w:pPr>
      <w:r>
        <w:rPr>
          <w:rFonts w:hint="eastAsia"/>
          <w:sz w:val="24"/>
          <w:lang w:val="en-US" w:eastAsia="zh-CN"/>
        </w:rPr>
        <w:t>附件3  2021年基药补助项目绩效目标自评........................23</w:t>
      </w:r>
    </w:p>
    <w:p>
      <w:pPr>
        <w:pStyle w:val="10"/>
        <w:adjustRightInd w:val="0"/>
        <w:snapToGrid w:val="0"/>
        <w:spacing w:before="0" w:line="440" w:lineRule="exact"/>
        <w:jc w:val="left"/>
        <w:rPr>
          <w:rFonts w:hint="default" w:eastAsia="仿宋" w:cstheme="minorBidi"/>
          <w:sz w:val="24"/>
          <w:szCs w:val="24"/>
          <w:lang w:val="en-US" w:eastAsia="zh-CN"/>
        </w:rPr>
      </w:pPr>
      <w:r>
        <w:rPr>
          <w:rFonts w:hint="eastAsia"/>
          <w:sz w:val="24"/>
        </w:rPr>
        <w:t>第五部分附表</w:t>
      </w:r>
      <w:r>
        <w:rPr>
          <w:rFonts w:hint="eastAsia"/>
          <w:sz w:val="24"/>
          <w:lang w:val="en-US" w:eastAsia="zh-CN"/>
        </w:rPr>
        <w:t>......................................................25</w:t>
      </w:r>
    </w:p>
    <w:p>
      <w:pPr>
        <w:pStyle w:val="11"/>
        <w:adjustRightInd w:val="0"/>
        <w:snapToGrid w:val="0"/>
        <w:spacing w:line="440" w:lineRule="exact"/>
        <w:jc w:val="left"/>
        <w:rPr>
          <w:rFonts w:hint="default" w:eastAsia="宋体"/>
          <w:sz w:val="24"/>
          <w:lang w:val="en-US" w:eastAsia="zh-CN"/>
        </w:rPr>
      </w:pPr>
      <w:r>
        <w:rPr>
          <w:rFonts w:hint="eastAsia"/>
          <w:sz w:val="24"/>
        </w:rPr>
        <w:t>一、收入支出决算总表</w:t>
      </w:r>
      <w:r>
        <w:rPr>
          <w:rFonts w:hint="eastAsia"/>
          <w:sz w:val="24"/>
          <w:lang w:val="en-US" w:eastAsia="zh-CN"/>
        </w:rPr>
        <w:t>......................................................................................25</w:t>
      </w:r>
    </w:p>
    <w:p>
      <w:pPr>
        <w:pStyle w:val="11"/>
        <w:adjustRightInd w:val="0"/>
        <w:snapToGrid w:val="0"/>
        <w:spacing w:line="440" w:lineRule="exact"/>
        <w:jc w:val="left"/>
        <w:rPr>
          <w:rFonts w:hint="default" w:eastAsia="宋体"/>
          <w:sz w:val="24"/>
          <w:lang w:val="en-US" w:eastAsia="zh-CN"/>
        </w:rPr>
      </w:pPr>
      <w:r>
        <w:rPr>
          <w:rFonts w:hint="eastAsia"/>
          <w:sz w:val="24"/>
        </w:rPr>
        <w:t>二、收入决算表</w:t>
      </w:r>
      <w:r>
        <w:rPr>
          <w:rFonts w:hint="eastAsia"/>
          <w:sz w:val="24"/>
          <w:lang w:val="en-US" w:eastAsia="zh-CN"/>
        </w:rPr>
        <w:t>..................................................................................................25</w:t>
      </w:r>
    </w:p>
    <w:p>
      <w:pPr>
        <w:pStyle w:val="11"/>
        <w:adjustRightInd w:val="0"/>
        <w:snapToGrid w:val="0"/>
        <w:spacing w:line="440" w:lineRule="exact"/>
        <w:jc w:val="left"/>
        <w:rPr>
          <w:rFonts w:hint="default" w:eastAsia="宋体"/>
          <w:sz w:val="24"/>
          <w:lang w:val="en-US" w:eastAsia="zh-CN"/>
        </w:rPr>
      </w:pPr>
      <w:r>
        <w:rPr>
          <w:rFonts w:hint="eastAsia"/>
          <w:sz w:val="24"/>
        </w:rPr>
        <w:t>三、支出决算表</w:t>
      </w:r>
      <w:r>
        <w:rPr>
          <w:rFonts w:hint="eastAsia"/>
          <w:sz w:val="24"/>
          <w:lang w:val="en-US" w:eastAsia="zh-CN"/>
        </w:rPr>
        <w:t>..................................................................................................25</w:t>
      </w:r>
    </w:p>
    <w:p>
      <w:pPr>
        <w:pStyle w:val="11"/>
        <w:adjustRightInd w:val="0"/>
        <w:snapToGrid w:val="0"/>
        <w:spacing w:line="440" w:lineRule="exact"/>
        <w:jc w:val="left"/>
        <w:rPr>
          <w:rFonts w:hint="default" w:eastAsia="宋体"/>
          <w:sz w:val="24"/>
          <w:lang w:val="en-US" w:eastAsia="zh-CN"/>
        </w:rPr>
      </w:pPr>
      <w:r>
        <w:rPr>
          <w:rFonts w:hint="eastAsia"/>
          <w:sz w:val="24"/>
        </w:rPr>
        <w:t>四、财政拨款收入支出决算总表</w:t>
      </w:r>
      <w:r>
        <w:rPr>
          <w:rFonts w:hint="eastAsia"/>
          <w:sz w:val="24"/>
          <w:lang w:val="en-US" w:eastAsia="zh-CN"/>
        </w:rPr>
        <w:t>......................................................................25</w:t>
      </w:r>
    </w:p>
    <w:p>
      <w:pPr>
        <w:pStyle w:val="11"/>
        <w:adjustRightInd w:val="0"/>
        <w:snapToGrid w:val="0"/>
        <w:spacing w:line="440" w:lineRule="exact"/>
        <w:jc w:val="left"/>
        <w:rPr>
          <w:rFonts w:hint="default" w:eastAsia="宋体"/>
          <w:sz w:val="24"/>
          <w:lang w:val="en-US" w:eastAsia="zh-CN"/>
        </w:rPr>
      </w:pPr>
      <w:r>
        <w:rPr>
          <w:rFonts w:hint="eastAsia"/>
          <w:sz w:val="24"/>
        </w:rPr>
        <w:t>五、财政拨款支出决算明细表</w:t>
      </w:r>
      <w:r>
        <w:rPr>
          <w:rFonts w:hint="eastAsia"/>
          <w:sz w:val="24"/>
          <w:lang w:val="en-US" w:eastAsia="zh-CN"/>
        </w:rPr>
        <w:t>..........................................................................25</w:t>
      </w:r>
    </w:p>
    <w:p>
      <w:pPr>
        <w:pStyle w:val="11"/>
        <w:adjustRightInd w:val="0"/>
        <w:snapToGrid w:val="0"/>
        <w:spacing w:line="440" w:lineRule="exact"/>
        <w:jc w:val="left"/>
        <w:rPr>
          <w:rFonts w:hint="default" w:eastAsia="宋体"/>
          <w:sz w:val="24"/>
          <w:lang w:val="en-US" w:eastAsia="zh-CN"/>
        </w:rPr>
      </w:pPr>
      <w:r>
        <w:rPr>
          <w:rFonts w:hint="eastAsia"/>
          <w:sz w:val="24"/>
        </w:rPr>
        <w:t>六、一般公共预算财政拨款支出决算表</w:t>
      </w:r>
      <w:r>
        <w:rPr>
          <w:rFonts w:hint="eastAsia"/>
          <w:sz w:val="24"/>
          <w:lang w:val="en-US" w:eastAsia="zh-CN"/>
        </w:rPr>
        <w:t>..........................................................25</w:t>
      </w:r>
    </w:p>
    <w:p>
      <w:pPr>
        <w:pStyle w:val="11"/>
        <w:adjustRightInd w:val="0"/>
        <w:snapToGrid w:val="0"/>
        <w:spacing w:line="440" w:lineRule="exact"/>
        <w:jc w:val="left"/>
        <w:rPr>
          <w:rFonts w:hint="default" w:eastAsia="宋体"/>
          <w:sz w:val="24"/>
          <w:lang w:val="en-US" w:eastAsia="zh-CN"/>
        </w:rPr>
      </w:pPr>
      <w:r>
        <w:rPr>
          <w:rFonts w:hint="eastAsia"/>
          <w:sz w:val="24"/>
        </w:rPr>
        <w:t>七、一般公共预算财政拨款支出决算明细表</w:t>
      </w:r>
      <w:r>
        <w:rPr>
          <w:rFonts w:hint="eastAsia"/>
          <w:sz w:val="24"/>
          <w:lang w:val="en-US" w:eastAsia="zh-CN"/>
        </w:rPr>
        <w:t>..................................................25</w:t>
      </w:r>
    </w:p>
    <w:p>
      <w:pPr>
        <w:pStyle w:val="11"/>
        <w:adjustRightInd w:val="0"/>
        <w:snapToGrid w:val="0"/>
        <w:spacing w:line="440" w:lineRule="exact"/>
        <w:jc w:val="left"/>
        <w:rPr>
          <w:rFonts w:hint="default" w:eastAsia="宋体"/>
          <w:sz w:val="24"/>
          <w:lang w:val="en-US" w:eastAsia="zh-CN"/>
        </w:rPr>
      </w:pPr>
      <w:r>
        <w:rPr>
          <w:rFonts w:hint="eastAsia"/>
          <w:sz w:val="24"/>
        </w:rPr>
        <w:t>八、一般公共预算财政拨款基本支出决算表</w:t>
      </w:r>
      <w:r>
        <w:rPr>
          <w:rFonts w:hint="eastAsia"/>
          <w:sz w:val="24"/>
          <w:lang w:val="en-US" w:eastAsia="zh-CN"/>
        </w:rPr>
        <w:t>..................................................25</w:t>
      </w:r>
    </w:p>
    <w:p>
      <w:pPr>
        <w:pStyle w:val="11"/>
        <w:adjustRightInd w:val="0"/>
        <w:snapToGrid w:val="0"/>
        <w:spacing w:line="440" w:lineRule="exact"/>
        <w:jc w:val="left"/>
        <w:rPr>
          <w:rFonts w:hint="default" w:eastAsia="宋体"/>
          <w:sz w:val="24"/>
          <w:lang w:val="en-US" w:eastAsia="zh-CN"/>
        </w:rPr>
      </w:pPr>
      <w:r>
        <w:rPr>
          <w:rFonts w:hint="eastAsia"/>
          <w:sz w:val="24"/>
        </w:rPr>
        <w:t>九、一般公共预算财政拨款项目支出决算表</w:t>
      </w:r>
      <w:r>
        <w:rPr>
          <w:rFonts w:hint="eastAsia"/>
          <w:sz w:val="24"/>
          <w:lang w:val="en-US" w:eastAsia="zh-CN"/>
        </w:rPr>
        <w:t>..................................................25</w:t>
      </w:r>
    </w:p>
    <w:p>
      <w:pPr>
        <w:pStyle w:val="11"/>
        <w:adjustRightInd w:val="0"/>
        <w:snapToGrid w:val="0"/>
        <w:spacing w:line="440" w:lineRule="exact"/>
        <w:jc w:val="left"/>
        <w:rPr>
          <w:rFonts w:hint="default" w:eastAsia="宋体"/>
          <w:sz w:val="24"/>
          <w:lang w:val="en-US" w:eastAsia="zh-CN"/>
        </w:rPr>
      </w:pPr>
      <w:r>
        <w:rPr>
          <w:rFonts w:hint="eastAsia"/>
          <w:sz w:val="24"/>
        </w:rPr>
        <w:t>十、一般公共预算财政拨款“三公”经费支出决算表</w:t>
      </w:r>
      <w:r>
        <w:rPr>
          <w:rFonts w:hint="eastAsia"/>
          <w:sz w:val="24"/>
          <w:lang w:val="en-US" w:eastAsia="zh-CN"/>
        </w:rPr>
        <w:t>...................................25</w:t>
      </w:r>
    </w:p>
    <w:p>
      <w:pPr>
        <w:pStyle w:val="11"/>
        <w:adjustRightInd w:val="0"/>
        <w:snapToGrid w:val="0"/>
        <w:spacing w:line="440" w:lineRule="exact"/>
        <w:jc w:val="left"/>
        <w:rPr>
          <w:rFonts w:hint="default" w:eastAsia="宋体"/>
          <w:sz w:val="24"/>
          <w:lang w:val="en-US" w:eastAsia="zh-CN"/>
        </w:rPr>
      </w:pPr>
      <w:r>
        <w:rPr>
          <w:rFonts w:hint="eastAsia"/>
          <w:sz w:val="24"/>
        </w:rPr>
        <w:t>十一、政府性基金预算财政拨款收入支出决算表</w:t>
      </w:r>
      <w:r>
        <w:rPr>
          <w:rFonts w:hint="eastAsia"/>
          <w:sz w:val="24"/>
          <w:lang w:val="en-US" w:eastAsia="zh-CN"/>
        </w:rPr>
        <w:t>...........................................25</w:t>
      </w:r>
    </w:p>
    <w:p>
      <w:pPr>
        <w:pStyle w:val="11"/>
        <w:adjustRightInd w:val="0"/>
        <w:snapToGrid w:val="0"/>
        <w:spacing w:line="440" w:lineRule="exact"/>
        <w:jc w:val="left"/>
        <w:rPr>
          <w:rFonts w:hint="default" w:eastAsia="宋体"/>
          <w:sz w:val="24"/>
          <w:lang w:val="en-US" w:eastAsia="zh-CN"/>
        </w:rPr>
      </w:pPr>
      <w:r>
        <w:rPr>
          <w:rFonts w:hint="eastAsia"/>
          <w:sz w:val="24"/>
        </w:rPr>
        <w:t>十二、政府性基金预算财政拨款“三公”经费支出决算表</w:t>
      </w:r>
      <w:r>
        <w:rPr>
          <w:rFonts w:hint="eastAsia"/>
          <w:sz w:val="24"/>
          <w:lang w:val="en-US" w:eastAsia="zh-CN"/>
        </w:rPr>
        <w:t>...........................25</w:t>
      </w:r>
    </w:p>
    <w:p>
      <w:pPr>
        <w:pStyle w:val="11"/>
        <w:adjustRightInd w:val="0"/>
        <w:snapToGrid w:val="0"/>
        <w:spacing w:line="440" w:lineRule="exact"/>
        <w:jc w:val="left"/>
        <w:rPr>
          <w:rFonts w:hint="default" w:eastAsia="宋体"/>
          <w:sz w:val="24"/>
          <w:lang w:val="en-US" w:eastAsia="zh-CN"/>
        </w:rPr>
      </w:pPr>
      <w:r>
        <w:rPr>
          <w:rFonts w:hint="eastAsia"/>
          <w:sz w:val="24"/>
        </w:rPr>
        <w:t>十三、国有资本经营预算财政拨款收入支出决算表</w:t>
      </w:r>
      <w:r>
        <w:rPr>
          <w:rFonts w:hint="eastAsia"/>
          <w:sz w:val="24"/>
          <w:lang w:val="en-US" w:eastAsia="zh-CN"/>
        </w:rPr>
        <w:t>.......................................25</w:t>
      </w:r>
    </w:p>
    <w:p>
      <w:pPr>
        <w:pStyle w:val="11"/>
        <w:adjustRightInd w:val="0"/>
        <w:snapToGrid w:val="0"/>
        <w:spacing w:line="440" w:lineRule="exact"/>
        <w:jc w:val="left"/>
        <w:rPr>
          <w:rFonts w:hint="default" w:eastAsia="宋体"/>
          <w:sz w:val="24"/>
          <w:lang w:val="en-US" w:eastAsia="zh-CN"/>
        </w:rPr>
      </w:pPr>
      <w:r>
        <w:rPr>
          <w:rFonts w:hint="eastAsia"/>
          <w:sz w:val="24"/>
        </w:rPr>
        <w:t>十四、国有资本经营预算财政拨款支出决算表</w:t>
      </w:r>
      <w:r>
        <w:rPr>
          <w:rFonts w:hint="eastAsia"/>
          <w:sz w:val="24"/>
          <w:lang w:val="en-US" w:eastAsia="zh-CN"/>
        </w:rPr>
        <w:t>...............................................25</w:t>
      </w:r>
    </w:p>
    <w:p>
      <w:pPr>
        <w:widowControl/>
        <w:adjustRightInd w:val="0"/>
        <w:snapToGrid w:val="0"/>
        <w:spacing w:line="440" w:lineRule="exact"/>
        <w:ind w:firstLine="1320" w:firstLineChars="550"/>
        <w:jc w:val="left"/>
        <w:rPr>
          <w:rFonts w:ascii="仿宋" w:hAnsi="仿宋" w:eastAsia="仿宋"/>
          <w:sz w:val="24"/>
        </w:rPr>
      </w:pPr>
    </w:p>
    <w:p>
      <w:pPr>
        <w:widowControl/>
        <w:spacing w:line="440" w:lineRule="exact"/>
        <w:jc w:val="left"/>
        <w:rPr>
          <w:rFonts w:ascii="仿宋" w:hAnsi="仿宋" w:eastAsia="仿宋"/>
          <w:bCs/>
          <w:kern w:val="44"/>
          <w:sz w:val="24"/>
        </w:rPr>
      </w:pPr>
      <w:bookmarkStart w:id="12" w:name="_Toc15396599"/>
      <w:bookmarkStart w:id="13" w:name="_Toc15377196"/>
      <w:r>
        <w:rPr>
          <w:rFonts w:ascii="仿宋" w:hAnsi="仿宋" w:eastAsia="仿宋"/>
          <w:b/>
          <w:sz w:val="24"/>
        </w:rPr>
        <w:br w:type="page"/>
      </w:r>
    </w:p>
    <w:p>
      <w:pPr>
        <w:pStyle w:val="3"/>
        <w:jc w:val="center"/>
        <w:rPr>
          <w:rStyle w:val="24"/>
          <w:rFonts w:ascii="黑体" w:hAnsi="黑体" w:eastAsia="黑体"/>
          <w:b/>
          <w:bCs w:val="0"/>
        </w:rPr>
      </w:pPr>
      <w:r>
        <w:rPr>
          <w:rFonts w:hint="eastAsia" w:ascii="黑体" w:hAnsi="黑体" w:eastAsia="黑体"/>
          <w:b w:val="0"/>
        </w:rPr>
        <w:t>第一部分 单位</w:t>
      </w:r>
      <w:r>
        <w:rPr>
          <w:rStyle w:val="24"/>
          <w:rFonts w:hint="eastAsia" w:ascii="黑体" w:hAnsi="黑体" w:eastAsia="黑体"/>
          <w:b w:val="0"/>
          <w:bCs w:val="0"/>
        </w:rPr>
        <w:t>概况</w:t>
      </w:r>
      <w:bookmarkEnd w:id="12"/>
      <w:bookmarkEnd w:id="13"/>
    </w:p>
    <w:p>
      <w:pPr>
        <w:widowControl/>
        <w:jc w:val="left"/>
        <w:rPr>
          <w:rFonts w:ascii="黑体" w:eastAsia="黑体"/>
          <w:sz w:val="32"/>
          <w:szCs w:val="32"/>
        </w:rPr>
      </w:pPr>
    </w:p>
    <w:p>
      <w:pPr>
        <w:pStyle w:val="4"/>
        <w:numPr>
          <w:ilvl w:val="0"/>
          <w:numId w:val="1"/>
        </w:numPr>
        <w:rPr>
          <w:rStyle w:val="25"/>
          <w:rFonts w:hint="eastAsia" w:ascii="黑体" w:hAnsi="黑体" w:eastAsia="黑体"/>
          <w:b w:val="0"/>
          <w:bCs w:val="0"/>
        </w:rPr>
      </w:pPr>
      <w:bookmarkStart w:id="14" w:name="_Toc15396600"/>
      <w:bookmarkStart w:id="15" w:name="_Toc15377197"/>
      <w:r>
        <w:rPr>
          <w:rStyle w:val="25"/>
          <w:rFonts w:hint="eastAsia" w:ascii="黑体" w:hAnsi="黑体" w:eastAsia="黑体"/>
          <w:b w:val="0"/>
          <w:bCs w:val="0"/>
        </w:rPr>
        <w:t>职能简介</w:t>
      </w:r>
    </w:p>
    <w:p>
      <w:pPr>
        <w:pStyle w:val="2"/>
        <w:adjustRightInd w:val="0"/>
        <w:snapToGrid w:val="0"/>
        <w:spacing w:before="93" w:line="600" w:lineRule="exact"/>
        <w:ind w:firstLine="640" w:firstLineChars="200"/>
        <w:outlineLvl w:val="2"/>
        <w:rPr>
          <w:rFonts w:hint="eastAsia" w:ascii="仿宋" w:hAnsi="仿宋" w:eastAsia="仿宋" w:cs="仿宋"/>
          <w:sz w:val="32"/>
          <w:szCs w:val="32"/>
        </w:rPr>
      </w:pPr>
      <w:r>
        <w:rPr>
          <w:rFonts w:hint="eastAsia" w:ascii="仿宋" w:hAnsi="仿宋" w:eastAsia="仿宋" w:cs="仿宋"/>
          <w:sz w:val="32"/>
          <w:szCs w:val="32"/>
        </w:rPr>
        <w:t>（1）宣传贯彻党和政府的各项医疗卫生方针政策，开展辖区内居民的基本公共卫生服务工作。贯彻落实国家基本药物制度，乡镇卫生院全部配备、使用基本药物; 实行网上统一采购、统一配送的基本药物采购机制;实施基本药物零差率销售。协助开展突发公共卫生事件应急调查和处置工作，承担区域内公共卫生相关信息的收集和报告。对所属行政村卫生室实行一体化管理，承担对村卫生室和乡村医生的业务管理和指导。协助做好区域内食品卫生、饮用水卫生、公共场所卫生、职业卫生等公共卫生工作；协助做好爱国卫生工作。</w:t>
      </w:r>
    </w:p>
    <w:p>
      <w:pPr>
        <w:numPr>
          <w:ilvl w:val="0"/>
          <w:numId w:val="0"/>
        </w:numPr>
        <w:ind w:firstLine="640" w:firstLineChars="200"/>
      </w:pPr>
      <w:r>
        <w:rPr>
          <w:rFonts w:hint="eastAsia" w:ascii="仿宋" w:hAnsi="仿宋" w:eastAsia="仿宋" w:cs="仿宋"/>
          <w:sz w:val="32"/>
          <w:szCs w:val="32"/>
        </w:rPr>
        <w:t>(2)提供基本医疗服务，开展农村常见病、多发病的诊断和治疗及诊断明确的慢性非传染性疾病的诊疗、护理。</w:t>
      </w:r>
    </w:p>
    <w:p>
      <w:pPr>
        <w:pStyle w:val="4"/>
        <w:rPr>
          <w:rFonts w:hint="eastAsia" w:ascii="黑体" w:hAnsi="黑体" w:eastAsia="黑体"/>
          <w:b w:val="0"/>
        </w:rPr>
      </w:pPr>
      <w:r>
        <w:rPr>
          <w:rFonts w:hint="eastAsia" w:ascii="黑体" w:hAnsi="黑体" w:eastAsia="黑体"/>
          <w:b w:val="0"/>
        </w:rPr>
        <w:t>二、2021年重点工作</w:t>
      </w:r>
      <w:bookmarkEnd w:id="14"/>
      <w:bookmarkEnd w:id="15"/>
      <w:r>
        <w:rPr>
          <w:rFonts w:hint="eastAsia" w:ascii="黑体" w:hAnsi="黑体" w:eastAsia="黑体"/>
          <w:b w:val="0"/>
        </w:rPr>
        <w:t>完成情况</w:t>
      </w:r>
    </w:p>
    <w:p>
      <w:pPr>
        <w:numPr>
          <w:ilvl w:val="0"/>
          <w:numId w:val="2"/>
        </w:numPr>
        <w:ind w:firstLine="640" w:firstLineChars="200"/>
        <w:jc w:val="left"/>
        <w:rPr>
          <w:rFonts w:hint="eastAsia" w:ascii="仿宋" w:hAnsi="仿宋" w:eastAsia="仿宋" w:cs="仿宋"/>
          <w:sz w:val="32"/>
          <w:szCs w:val="32"/>
          <w:lang w:val="en-US" w:eastAsia="zh-CN"/>
        </w:rPr>
      </w:pPr>
      <w:r>
        <w:rPr>
          <w:rFonts w:hint="eastAsia" w:ascii="仿宋" w:hAnsi="仿宋" w:eastAsia="仿宋" w:cs="仿宋"/>
          <w:color w:val="000000"/>
          <w:sz w:val="32"/>
          <w:szCs w:val="32"/>
        </w:rPr>
        <w:t>基本医疗：本年门诊总治疗</w:t>
      </w:r>
      <w:r>
        <w:rPr>
          <w:rFonts w:hint="eastAsia" w:ascii="仿宋" w:hAnsi="仿宋" w:eastAsia="仿宋" w:cs="仿宋"/>
          <w:color w:val="000000"/>
          <w:sz w:val="32"/>
          <w:szCs w:val="32"/>
          <w:lang w:val="en-US" w:eastAsia="zh-CN"/>
        </w:rPr>
        <w:t>8235</w:t>
      </w:r>
      <w:r>
        <w:rPr>
          <w:rFonts w:hint="eastAsia" w:ascii="仿宋" w:hAnsi="仿宋" w:eastAsia="仿宋" w:cs="仿宋"/>
          <w:color w:val="000000"/>
          <w:sz w:val="32"/>
          <w:szCs w:val="32"/>
        </w:rPr>
        <w:t>人次。</w:t>
      </w:r>
      <w:r>
        <w:rPr>
          <w:rFonts w:hint="eastAsia" w:ascii="仿宋" w:hAnsi="仿宋" w:eastAsia="仿宋" w:cs="仿宋"/>
          <w:sz w:val="32"/>
          <w:szCs w:val="32"/>
          <w:lang w:val="en-US" w:eastAsia="zh-CN"/>
        </w:rPr>
        <w:t>2021年</w:t>
      </w:r>
      <w:r>
        <w:rPr>
          <w:rFonts w:hint="eastAsia" w:ascii="仿宋" w:hAnsi="仿宋" w:eastAsia="仿宋" w:cs="仿宋"/>
          <w:sz w:val="32"/>
          <w:szCs w:val="32"/>
        </w:rPr>
        <w:t>住院</w:t>
      </w:r>
      <w:r>
        <w:rPr>
          <w:rFonts w:hint="eastAsia" w:ascii="仿宋" w:hAnsi="仿宋" w:eastAsia="仿宋" w:cs="仿宋"/>
          <w:sz w:val="32"/>
          <w:szCs w:val="32"/>
          <w:lang w:eastAsia="zh-CN"/>
        </w:rPr>
        <w:t>人次</w:t>
      </w:r>
      <w:r>
        <w:rPr>
          <w:rFonts w:hint="eastAsia" w:ascii="仿宋" w:hAnsi="仿宋" w:eastAsia="仿宋" w:cs="仿宋"/>
          <w:sz w:val="32"/>
          <w:szCs w:val="32"/>
          <w:lang w:val="en-US" w:eastAsia="zh-CN"/>
        </w:rPr>
        <w:t>12</w:t>
      </w:r>
      <w:r>
        <w:rPr>
          <w:rFonts w:hint="eastAsia" w:ascii="仿宋" w:hAnsi="仿宋" w:eastAsia="仿宋" w:cs="仿宋"/>
          <w:sz w:val="32"/>
          <w:szCs w:val="32"/>
        </w:rPr>
        <w:t>人次</w:t>
      </w:r>
      <w:r>
        <w:rPr>
          <w:rFonts w:hint="eastAsia" w:ascii="仿宋" w:hAnsi="仿宋" w:eastAsia="仿宋" w:cs="仿宋"/>
          <w:sz w:val="32"/>
          <w:szCs w:val="32"/>
          <w:lang w:val="en-US" w:eastAsia="zh-CN"/>
        </w:rPr>
        <w:t>。</w:t>
      </w:r>
    </w:p>
    <w:p>
      <w:pPr>
        <w:numPr>
          <w:ilvl w:val="0"/>
          <w:numId w:val="2"/>
        </w:numPr>
        <w:ind w:left="0" w:leftChars="0" w:firstLine="640" w:firstLineChars="200"/>
        <w:jc w:val="left"/>
        <w:rPr>
          <w:rFonts w:hint="eastAsia" w:ascii="仿宋" w:hAnsi="仿宋" w:eastAsia="仿宋" w:cs="仿宋"/>
          <w:sz w:val="32"/>
          <w:szCs w:val="32"/>
        </w:rPr>
      </w:pPr>
      <w:r>
        <w:rPr>
          <w:rFonts w:hint="eastAsia" w:ascii="仿宋" w:hAnsi="仿宋" w:eastAsia="仿宋" w:cs="仿宋"/>
          <w:sz w:val="32"/>
          <w:szCs w:val="32"/>
        </w:rPr>
        <w:t>基本公共卫生：开展了十四项公共卫生服务：其中慢性病（糖尿病</w:t>
      </w:r>
      <w:r>
        <w:rPr>
          <w:rFonts w:hint="eastAsia" w:ascii="仿宋" w:hAnsi="仿宋" w:eastAsia="仿宋" w:cs="仿宋"/>
          <w:sz w:val="32"/>
          <w:szCs w:val="32"/>
          <w:lang w:val="en-US" w:eastAsia="zh-CN"/>
        </w:rPr>
        <w:t>481</w:t>
      </w:r>
      <w:r>
        <w:rPr>
          <w:rFonts w:hint="eastAsia" w:ascii="仿宋" w:hAnsi="仿宋" w:eastAsia="仿宋" w:cs="仿宋"/>
          <w:sz w:val="32"/>
          <w:szCs w:val="32"/>
        </w:rPr>
        <w:t>人、高血压</w:t>
      </w:r>
      <w:r>
        <w:rPr>
          <w:rFonts w:hint="eastAsia" w:ascii="仿宋" w:hAnsi="仿宋" w:eastAsia="仿宋" w:cs="仿宋"/>
          <w:sz w:val="32"/>
          <w:szCs w:val="32"/>
          <w:lang w:val="en-US" w:eastAsia="zh-CN"/>
        </w:rPr>
        <w:t>1053</w:t>
      </w:r>
      <w:r>
        <w:rPr>
          <w:rFonts w:hint="eastAsia" w:ascii="仿宋" w:hAnsi="仿宋" w:eastAsia="仿宋" w:cs="仿宋"/>
          <w:sz w:val="32"/>
          <w:szCs w:val="32"/>
        </w:rPr>
        <w:t>人、重型精神病</w:t>
      </w:r>
      <w:r>
        <w:rPr>
          <w:rFonts w:hint="eastAsia" w:ascii="仿宋" w:hAnsi="仿宋" w:eastAsia="仿宋" w:cs="仿宋"/>
          <w:sz w:val="32"/>
          <w:szCs w:val="32"/>
          <w:lang w:val="en-US" w:eastAsia="zh-CN"/>
        </w:rPr>
        <w:t>72</w:t>
      </w:r>
      <w:r>
        <w:rPr>
          <w:rFonts w:hint="eastAsia" w:ascii="仿宋" w:hAnsi="仿宋" w:eastAsia="仿宋" w:cs="仿宋"/>
          <w:sz w:val="32"/>
          <w:szCs w:val="32"/>
        </w:rPr>
        <w:t>人）的随访及年度体检；老年人</w:t>
      </w:r>
      <w:r>
        <w:rPr>
          <w:rFonts w:hint="eastAsia" w:ascii="仿宋" w:hAnsi="仿宋" w:eastAsia="仿宋" w:cs="仿宋"/>
          <w:sz w:val="32"/>
          <w:szCs w:val="32"/>
          <w:lang w:val="en-US" w:eastAsia="zh-CN"/>
        </w:rPr>
        <w:t>1564</w:t>
      </w:r>
      <w:r>
        <w:rPr>
          <w:rFonts w:hint="eastAsia" w:ascii="仿宋" w:hAnsi="仿宋" w:eastAsia="仿宋" w:cs="仿宋"/>
          <w:sz w:val="32"/>
          <w:szCs w:val="32"/>
        </w:rPr>
        <w:t>人的中医药服务、年度体检；孕产妇保健</w:t>
      </w:r>
      <w:r>
        <w:rPr>
          <w:rFonts w:hint="eastAsia" w:ascii="仿宋" w:hAnsi="仿宋" w:eastAsia="仿宋" w:cs="仿宋"/>
          <w:sz w:val="32"/>
          <w:szCs w:val="32"/>
          <w:lang w:val="en-US" w:eastAsia="zh-CN"/>
        </w:rPr>
        <w:t>128</w:t>
      </w:r>
      <w:r>
        <w:rPr>
          <w:rFonts w:hint="eastAsia" w:ascii="仿宋" w:hAnsi="仿宋" w:eastAsia="仿宋" w:cs="仿宋"/>
          <w:sz w:val="32"/>
          <w:szCs w:val="32"/>
        </w:rPr>
        <w:t>人；0-6儿童保健</w:t>
      </w:r>
      <w:r>
        <w:rPr>
          <w:rFonts w:hint="eastAsia" w:ascii="仿宋" w:hAnsi="仿宋" w:eastAsia="仿宋" w:cs="仿宋"/>
          <w:sz w:val="32"/>
          <w:szCs w:val="32"/>
          <w:lang w:val="en-US" w:eastAsia="zh-CN"/>
        </w:rPr>
        <w:t>932</w:t>
      </w:r>
      <w:r>
        <w:rPr>
          <w:rFonts w:hint="eastAsia" w:ascii="仿宋" w:hAnsi="仿宋" w:eastAsia="仿宋" w:cs="仿宋"/>
          <w:sz w:val="32"/>
          <w:szCs w:val="32"/>
        </w:rPr>
        <w:t>人；预防接种</w:t>
      </w:r>
      <w:r>
        <w:rPr>
          <w:rFonts w:hint="eastAsia" w:ascii="仿宋" w:hAnsi="仿宋" w:eastAsia="仿宋" w:cs="仿宋"/>
          <w:sz w:val="32"/>
          <w:szCs w:val="32"/>
          <w:lang w:val="en-US" w:eastAsia="zh-CN"/>
        </w:rPr>
        <w:t>2829</w:t>
      </w:r>
      <w:r>
        <w:rPr>
          <w:rFonts w:hint="eastAsia" w:ascii="仿宋" w:hAnsi="仿宋" w:eastAsia="仿宋" w:cs="仿宋"/>
          <w:sz w:val="32"/>
          <w:szCs w:val="32"/>
        </w:rPr>
        <w:t>人次</w:t>
      </w:r>
      <w:r>
        <w:rPr>
          <w:rFonts w:hint="eastAsia" w:ascii="仿宋" w:hAnsi="仿宋" w:eastAsia="仿宋" w:cs="仿宋"/>
          <w:sz w:val="32"/>
          <w:szCs w:val="32"/>
          <w:lang w:eastAsia="zh-CN"/>
        </w:rPr>
        <w:t>；</w:t>
      </w:r>
      <w:r>
        <w:rPr>
          <w:rFonts w:hint="eastAsia" w:ascii="仿宋" w:hAnsi="仿宋" w:eastAsia="仿宋" w:cs="仿宋"/>
          <w:sz w:val="32"/>
          <w:szCs w:val="32"/>
        </w:rPr>
        <w:t>家庭医生签约1</w:t>
      </w:r>
      <w:r>
        <w:rPr>
          <w:rFonts w:hint="eastAsia" w:ascii="仿宋" w:hAnsi="仿宋" w:eastAsia="仿宋" w:cs="仿宋"/>
          <w:sz w:val="32"/>
          <w:szCs w:val="32"/>
          <w:lang w:val="en-US" w:eastAsia="zh-CN"/>
        </w:rPr>
        <w:t>5364</w:t>
      </w:r>
      <w:r>
        <w:rPr>
          <w:rFonts w:hint="eastAsia" w:ascii="仿宋" w:hAnsi="仿宋" w:eastAsia="仿宋" w:cs="仿宋"/>
          <w:sz w:val="32"/>
          <w:szCs w:val="32"/>
        </w:rPr>
        <w:t>人以及健康教育。</w:t>
      </w:r>
    </w:p>
    <w:p>
      <w:pPr>
        <w:pStyle w:val="2"/>
        <w:rPr>
          <w:rFonts w:hint="default" w:ascii="黑体" w:hAnsi="黑体" w:eastAsia="黑体" w:cs="黑体"/>
          <w:sz w:val="32"/>
          <w:szCs w:val="32"/>
          <w:lang w:val="en-US" w:eastAsia="zh-CN"/>
        </w:rPr>
      </w:pPr>
      <w:r>
        <w:rPr>
          <w:rFonts w:hint="eastAsia" w:ascii="黑体" w:hAnsi="黑体" w:eastAsia="黑体" w:cs="黑体"/>
          <w:sz w:val="32"/>
          <w:szCs w:val="32"/>
          <w:lang w:eastAsia="zh-CN"/>
        </w:rPr>
        <w:t>三</w:t>
      </w:r>
      <w:r>
        <w:rPr>
          <w:rFonts w:hint="eastAsia" w:ascii="黑体" w:hAnsi="黑体" w:eastAsia="黑体" w:cs="黑体"/>
          <w:sz w:val="32"/>
          <w:szCs w:val="32"/>
        </w:rPr>
        <w:t>、</w:t>
      </w:r>
      <w:r>
        <w:rPr>
          <w:rFonts w:hint="eastAsia" w:ascii="黑体" w:hAnsi="黑体" w:eastAsia="黑体" w:cs="黑体"/>
          <w:sz w:val="32"/>
          <w:szCs w:val="32"/>
          <w:lang w:val="en-US" w:eastAsia="zh-CN"/>
        </w:rPr>
        <w:t>机构设置</w:t>
      </w:r>
      <w:bookmarkStart w:id="67" w:name="_GoBack"/>
      <w:bookmarkEnd w:id="67"/>
    </w:p>
    <w:p>
      <w:pPr>
        <w:pStyle w:val="2"/>
        <w:ind w:firstLine="640" w:firstLineChars="200"/>
        <w:rPr>
          <w:rFonts w:hint="eastAsia" w:ascii="仿宋" w:hAnsi="仿宋" w:eastAsia="仿宋" w:cs="仿宋"/>
          <w:sz w:val="32"/>
          <w:szCs w:val="32"/>
        </w:rPr>
      </w:pPr>
      <w:r>
        <w:rPr>
          <w:rFonts w:hint="eastAsia" w:ascii="仿宋" w:hAnsi="仿宋" w:eastAsia="仿宋" w:cs="仿宋"/>
          <w:sz w:val="32"/>
          <w:szCs w:val="32"/>
        </w:rPr>
        <w:t>盐边县新九镇卫生院下属非独立核算单位0个，其中行政单位0个，参照公务员法管理的事业单位0个，其他事业单位0个。</w:t>
      </w:r>
    </w:p>
    <w:p>
      <w:pPr>
        <w:pStyle w:val="2"/>
        <w:numPr>
          <w:ilvl w:val="0"/>
          <w:numId w:val="0"/>
        </w:numPr>
        <w:rPr>
          <w:rFonts w:hint="eastAsia"/>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3"/>
        <w:ind w:right="440"/>
        <w:jc w:val="center"/>
        <w:rPr>
          <w:rStyle w:val="24"/>
          <w:rFonts w:ascii="黑体" w:hAnsi="黑体" w:eastAsia="黑体"/>
          <w:b w:val="0"/>
          <w:bCs/>
        </w:rPr>
      </w:pPr>
      <w:bookmarkStart w:id="16" w:name="_Toc15396602"/>
      <w:bookmarkStart w:id="17" w:name="_Toc15377204"/>
      <w:r>
        <w:rPr>
          <w:rFonts w:hint="eastAsia" w:ascii="黑体" w:hAnsi="黑体" w:eastAsia="黑体"/>
          <w:b w:val="0"/>
        </w:rPr>
        <w:t>第二部分 2021年度</w:t>
      </w:r>
      <w:r>
        <w:rPr>
          <w:rStyle w:val="24"/>
          <w:rFonts w:hint="eastAsia" w:ascii="黑体" w:hAnsi="黑体" w:eastAsia="黑体"/>
          <w:b w:val="0"/>
          <w:bCs/>
        </w:rPr>
        <w:t>单位决算情况说明</w:t>
      </w:r>
      <w:bookmarkEnd w:id="16"/>
      <w:bookmarkEnd w:id="17"/>
    </w:p>
    <w:p/>
    <w:p>
      <w:pPr>
        <w:pStyle w:val="23"/>
        <w:numPr>
          <w:ilvl w:val="0"/>
          <w:numId w:val="3"/>
        </w:numPr>
        <w:spacing w:line="600" w:lineRule="exact"/>
        <w:ind w:firstLineChars="0"/>
        <w:outlineLvl w:val="1"/>
        <w:rPr>
          <w:rStyle w:val="25"/>
          <w:rFonts w:ascii="黑体" w:hAnsi="黑体" w:eastAsia="黑体"/>
          <w:b w:val="0"/>
        </w:rPr>
      </w:pPr>
      <w:bookmarkStart w:id="18" w:name="_Toc15396603"/>
      <w:bookmarkStart w:id="19" w:name="_Toc15377205"/>
      <w:r>
        <w:rPr>
          <w:rFonts w:hint="eastAsia" w:ascii="黑体" w:hAnsi="黑体" w:eastAsia="黑体"/>
          <w:sz w:val="32"/>
          <w:szCs w:val="32"/>
        </w:rPr>
        <w:t>收</w:t>
      </w:r>
      <w:r>
        <w:rPr>
          <w:rStyle w:val="25"/>
          <w:rFonts w:hint="eastAsia" w:ascii="黑体" w:hAnsi="黑体" w:eastAsia="黑体"/>
          <w:b w:val="0"/>
        </w:rPr>
        <w:t>入支出决算总体情况说明</w:t>
      </w:r>
      <w:bookmarkEnd w:id="18"/>
      <w:bookmarkEnd w:id="19"/>
    </w:p>
    <w:p>
      <w:pPr>
        <w:spacing w:line="60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rPr>
        <w:t>2021年度收</w:t>
      </w:r>
      <w:r>
        <w:rPr>
          <w:rFonts w:hint="eastAsia" w:ascii="仿宋" w:hAnsi="仿宋" w:eastAsia="仿宋"/>
          <w:sz w:val="32"/>
          <w:szCs w:val="32"/>
          <w:lang w:eastAsia="zh-CN"/>
        </w:rPr>
        <w:t>入</w:t>
      </w:r>
      <w:r>
        <w:rPr>
          <w:rFonts w:hint="eastAsia" w:ascii="仿宋" w:hAnsi="仿宋" w:eastAsia="仿宋"/>
          <w:sz w:val="32"/>
          <w:szCs w:val="32"/>
          <w:lang w:val="en-US" w:eastAsia="zh-CN"/>
        </w:rPr>
        <w:t>443.13万元</w:t>
      </w:r>
      <w:r>
        <w:rPr>
          <w:rFonts w:hint="eastAsia" w:ascii="仿宋" w:hAnsi="仿宋" w:eastAsia="仿宋"/>
          <w:sz w:val="32"/>
          <w:szCs w:val="32"/>
        </w:rPr>
        <w:t>、支</w:t>
      </w:r>
      <w:r>
        <w:rPr>
          <w:rFonts w:hint="eastAsia" w:ascii="仿宋" w:hAnsi="仿宋" w:eastAsia="仿宋"/>
          <w:sz w:val="32"/>
          <w:szCs w:val="32"/>
          <w:lang w:eastAsia="zh-CN"/>
        </w:rPr>
        <w:t>出</w:t>
      </w:r>
      <w:r>
        <w:rPr>
          <w:rFonts w:hint="eastAsia" w:ascii="仿宋" w:hAnsi="仿宋" w:eastAsia="仿宋"/>
          <w:sz w:val="32"/>
          <w:szCs w:val="32"/>
          <w:lang w:val="en-US" w:eastAsia="zh-CN"/>
        </w:rPr>
        <w:t>528.05</w:t>
      </w:r>
      <w:r>
        <w:rPr>
          <w:rFonts w:hint="eastAsia" w:ascii="仿宋" w:hAnsi="仿宋" w:eastAsia="仿宋"/>
          <w:sz w:val="32"/>
          <w:szCs w:val="32"/>
        </w:rPr>
        <w:t>万元。与2020年相比，收</w:t>
      </w:r>
      <w:r>
        <w:rPr>
          <w:rFonts w:hint="eastAsia" w:ascii="仿宋" w:hAnsi="仿宋" w:eastAsia="仿宋"/>
          <w:sz w:val="32"/>
          <w:szCs w:val="32"/>
          <w:lang w:eastAsia="zh-CN"/>
        </w:rPr>
        <w:t>入增加</w:t>
      </w:r>
      <w:r>
        <w:rPr>
          <w:rFonts w:hint="eastAsia" w:ascii="仿宋" w:hAnsi="仿宋" w:eastAsia="仿宋"/>
          <w:sz w:val="32"/>
          <w:szCs w:val="32"/>
          <w:lang w:val="en-US" w:eastAsia="zh-CN"/>
        </w:rPr>
        <w:t>30.68万元，其原因为人员工资增加及部门拨入了其他资金；</w:t>
      </w:r>
      <w:r>
        <w:rPr>
          <w:rFonts w:hint="eastAsia" w:ascii="仿宋" w:hAnsi="仿宋" w:eastAsia="仿宋"/>
          <w:sz w:val="32"/>
          <w:szCs w:val="32"/>
        </w:rPr>
        <w:t>支</w:t>
      </w:r>
      <w:r>
        <w:rPr>
          <w:rFonts w:hint="eastAsia" w:ascii="仿宋" w:hAnsi="仿宋" w:eastAsia="仿宋"/>
          <w:sz w:val="32"/>
          <w:szCs w:val="32"/>
          <w:lang w:eastAsia="zh-CN"/>
        </w:rPr>
        <w:t>出</w:t>
      </w:r>
      <w:r>
        <w:rPr>
          <w:rFonts w:hint="eastAsia" w:ascii="仿宋" w:hAnsi="仿宋" w:eastAsia="仿宋"/>
          <w:sz w:val="32"/>
          <w:szCs w:val="32"/>
        </w:rPr>
        <w:t>增加</w:t>
      </w:r>
      <w:r>
        <w:rPr>
          <w:rFonts w:hint="eastAsia" w:ascii="仿宋" w:hAnsi="仿宋" w:eastAsia="仿宋"/>
          <w:sz w:val="32"/>
          <w:szCs w:val="32"/>
          <w:lang w:val="en-US" w:eastAsia="zh-CN"/>
        </w:rPr>
        <w:t>213.47</w:t>
      </w:r>
      <w:r>
        <w:rPr>
          <w:rFonts w:hint="eastAsia" w:ascii="仿宋" w:hAnsi="仿宋" w:eastAsia="仿宋"/>
          <w:sz w:val="32"/>
          <w:szCs w:val="32"/>
        </w:rPr>
        <w:t>万元</w:t>
      </w:r>
      <w:r>
        <w:rPr>
          <w:rFonts w:hint="eastAsia" w:ascii="仿宋" w:hAnsi="仿宋" w:eastAsia="仿宋"/>
          <w:sz w:val="32"/>
          <w:szCs w:val="32"/>
          <w:lang w:eastAsia="zh-CN"/>
        </w:rPr>
        <w:t>，</w:t>
      </w:r>
      <w:r>
        <w:rPr>
          <w:rFonts w:hint="eastAsia" w:ascii="仿宋" w:hAnsi="仿宋" w:eastAsia="仿宋"/>
          <w:sz w:val="32"/>
          <w:szCs w:val="32"/>
        </w:rPr>
        <w:t>主要变动原因是</w:t>
      </w:r>
      <w:r>
        <w:rPr>
          <w:rFonts w:hint="eastAsia" w:ascii="仿宋" w:hAnsi="仿宋" w:eastAsia="仿宋"/>
          <w:sz w:val="32"/>
          <w:szCs w:val="32"/>
          <w:lang w:eastAsia="zh-CN"/>
        </w:rPr>
        <w:t>项目支出</w:t>
      </w:r>
      <w:r>
        <w:rPr>
          <w:rFonts w:hint="eastAsia" w:ascii="仿宋" w:hAnsi="仿宋" w:eastAsia="仿宋"/>
          <w:sz w:val="32"/>
          <w:szCs w:val="32"/>
          <w:lang w:val="en-US" w:eastAsia="zh-CN"/>
        </w:rPr>
        <w:t>2020年的部分公共卫生经费在2021年支出，2021年购买了救护车及DR设备。</w:t>
      </w:r>
    </w:p>
    <w:p>
      <w:pPr>
        <w:pStyle w:val="2"/>
        <w:rPr>
          <w:rFonts w:hint="eastAsia"/>
          <w:lang w:val="en-US" w:eastAsia="zh-CN"/>
        </w:rPr>
      </w:pPr>
      <w:r>
        <w:rPr>
          <w:rFonts w:hint="eastAsia"/>
          <w:lang w:val="en-US" w:eastAsia="zh-CN"/>
        </w:rPr>
        <w:drawing>
          <wp:inline distT="0" distB="0" distL="114300" distR="114300">
            <wp:extent cx="4841875" cy="3324860"/>
            <wp:effectExtent l="4445" t="4445" r="11430" b="2349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pStyle w:val="23"/>
        <w:numPr>
          <w:ilvl w:val="0"/>
          <w:numId w:val="3"/>
        </w:numPr>
        <w:spacing w:line="600" w:lineRule="exact"/>
        <w:ind w:firstLineChars="0"/>
        <w:outlineLvl w:val="1"/>
        <w:rPr>
          <w:rStyle w:val="25"/>
          <w:rFonts w:ascii="黑体" w:hAnsi="黑体" w:eastAsia="黑体"/>
          <w:b w:val="0"/>
        </w:rPr>
      </w:pPr>
      <w:bookmarkStart w:id="20" w:name="_Toc15396604"/>
      <w:bookmarkStart w:id="21" w:name="_Toc15377206"/>
      <w:r>
        <w:rPr>
          <w:rFonts w:hint="eastAsia" w:ascii="黑体" w:hAnsi="黑体" w:eastAsia="黑体"/>
          <w:sz w:val="32"/>
          <w:szCs w:val="32"/>
        </w:rPr>
        <w:t>收</w:t>
      </w:r>
      <w:r>
        <w:rPr>
          <w:rStyle w:val="25"/>
          <w:rFonts w:hint="eastAsia" w:ascii="黑体" w:hAnsi="黑体" w:eastAsia="黑体"/>
          <w:b w:val="0"/>
        </w:rPr>
        <w:t>入决算情况说明</w:t>
      </w:r>
      <w:bookmarkEnd w:id="20"/>
      <w:bookmarkEnd w:id="21"/>
    </w:p>
    <w:p>
      <w:pPr>
        <w:spacing w:line="600" w:lineRule="exact"/>
        <w:ind w:firstLine="640" w:firstLineChars="200"/>
        <w:outlineLvl w:val="1"/>
        <w:rPr>
          <w:rFonts w:hint="eastAsia"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21年本年收入合计</w:t>
      </w:r>
      <w:r>
        <w:rPr>
          <w:rFonts w:hint="eastAsia" w:ascii="仿宋" w:hAnsi="仿宋" w:eastAsia="仿宋"/>
          <w:sz w:val="32"/>
          <w:szCs w:val="32"/>
          <w:lang w:val="en-US" w:eastAsia="zh-CN"/>
        </w:rPr>
        <w:t>443.13</w:t>
      </w:r>
      <w:r>
        <w:rPr>
          <w:rFonts w:hint="eastAsia" w:ascii="仿宋" w:hAnsi="仿宋" w:eastAsia="仿宋"/>
          <w:sz w:val="32"/>
          <w:szCs w:val="32"/>
        </w:rPr>
        <w:t>万元，其中：一般公共预算财政拨款收入</w:t>
      </w:r>
      <w:r>
        <w:rPr>
          <w:rFonts w:hint="eastAsia" w:ascii="仿宋" w:hAnsi="仿宋" w:eastAsia="仿宋"/>
          <w:sz w:val="32"/>
          <w:szCs w:val="32"/>
          <w:lang w:val="en-US" w:eastAsia="zh-CN"/>
        </w:rPr>
        <w:t>386.54</w:t>
      </w:r>
      <w:r>
        <w:rPr>
          <w:rFonts w:hint="eastAsia" w:ascii="仿宋" w:hAnsi="仿宋" w:eastAsia="仿宋"/>
          <w:sz w:val="32"/>
          <w:szCs w:val="32"/>
        </w:rPr>
        <w:t>万元，占</w:t>
      </w:r>
      <w:r>
        <w:rPr>
          <w:rFonts w:hint="eastAsia" w:ascii="仿宋" w:hAnsi="仿宋" w:eastAsia="仿宋"/>
          <w:sz w:val="32"/>
          <w:szCs w:val="32"/>
          <w:lang w:val="en-US" w:eastAsia="zh-CN"/>
        </w:rPr>
        <w:t>87.23</w:t>
      </w:r>
      <w:r>
        <w:rPr>
          <w:rFonts w:ascii="仿宋" w:hAnsi="仿宋" w:eastAsia="仿宋"/>
          <w:sz w:val="32"/>
          <w:szCs w:val="32"/>
        </w:rPr>
        <w:t>%</w:t>
      </w:r>
      <w:r>
        <w:rPr>
          <w:rFonts w:hint="eastAsia" w:ascii="仿宋" w:hAnsi="仿宋" w:eastAsia="仿宋"/>
          <w:sz w:val="32"/>
          <w:szCs w:val="32"/>
        </w:rPr>
        <w:t>；政府性基金预算财政拨款收入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；国有资本经营预算财政拨款收入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；上级补助收入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；事业收入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；附属单位上缴收入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；其他收入</w:t>
      </w:r>
      <w:r>
        <w:rPr>
          <w:rFonts w:hint="eastAsia" w:ascii="仿宋" w:hAnsi="仿宋" w:eastAsia="仿宋"/>
          <w:sz w:val="32"/>
          <w:szCs w:val="32"/>
          <w:lang w:val="en-US" w:eastAsia="zh-CN"/>
        </w:rPr>
        <w:t>56.59</w:t>
      </w:r>
      <w:r>
        <w:rPr>
          <w:rFonts w:hint="eastAsia" w:ascii="仿宋" w:hAnsi="仿宋" w:eastAsia="仿宋"/>
          <w:sz w:val="32"/>
          <w:szCs w:val="32"/>
        </w:rPr>
        <w:t>万元，占</w:t>
      </w:r>
      <w:r>
        <w:rPr>
          <w:rFonts w:hint="eastAsia" w:ascii="仿宋" w:hAnsi="仿宋" w:eastAsia="仿宋"/>
          <w:sz w:val="32"/>
          <w:szCs w:val="32"/>
          <w:lang w:val="en-US" w:eastAsia="zh-CN"/>
        </w:rPr>
        <w:t>12.77</w:t>
      </w:r>
      <w:r>
        <w:rPr>
          <w:rFonts w:ascii="仿宋" w:hAnsi="仿宋" w:eastAsia="仿宋"/>
          <w:sz w:val="32"/>
          <w:szCs w:val="32"/>
        </w:rPr>
        <w:t>%</w:t>
      </w:r>
      <w:r>
        <w:rPr>
          <w:rFonts w:hint="eastAsia" w:ascii="仿宋" w:hAnsi="仿宋" w:eastAsia="仿宋"/>
          <w:sz w:val="32"/>
          <w:szCs w:val="32"/>
        </w:rPr>
        <w:t>。</w:t>
      </w:r>
    </w:p>
    <w:p>
      <w:pPr>
        <w:spacing w:line="600" w:lineRule="exact"/>
        <w:jc w:val="center"/>
      </w:pPr>
      <w:r>
        <w:rPr>
          <w:rFonts w:hint="eastAsia" w:ascii="仿宋" w:hAnsi="仿宋" w:eastAsia="仿宋"/>
          <w:sz w:val="32"/>
          <w:szCs w:val="32"/>
        </w:rPr>
        <w:drawing>
          <wp:anchor distT="0" distB="0" distL="114300" distR="114300" simplePos="0" relativeHeight="251659264" behindDoc="1" locked="0" layoutInCell="1" allowOverlap="1">
            <wp:simplePos x="0" y="0"/>
            <wp:positionH relativeFrom="column">
              <wp:posOffset>222250</wp:posOffset>
            </wp:positionH>
            <wp:positionV relativeFrom="paragraph">
              <wp:posOffset>138430</wp:posOffset>
            </wp:positionV>
            <wp:extent cx="4775200" cy="2647315"/>
            <wp:effectExtent l="4445" t="4445" r="20955" b="15240"/>
            <wp:wrapTight wrapText="bothSides">
              <wp:wrapPolygon>
                <wp:start x="-20" y="-36"/>
                <wp:lineTo x="-20" y="21413"/>
                <wp:lineTo x="21522" y="21413"/>
                <wp:lineTo x="21522" y="-36"/>
                <wp:lineTo x="-20" y="-36"/>
              </wp:wrapPolygon>
            </wp:wrapTight>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pPr>
        <w:pStyle w:val="23"/>
        <w:numPr>
          <w:ilvl w:val="0"/>
          <w:numId w:val="3"/>
        </w:numPr>
        <w:spacing w:line="600" w:lineRule="exact"/>
        <w:ind w:firstLineChars="0"/>
        <w:outlineLvl w:val="1"/>
        <w:rPr>
          <w:rStyle w:val="25"/>
          <w:rFonts w:ascii="黑体" w:hAnsi="黑体" w:eastAsia="黑体"/>
          <w:b w:val="0"/>
        </w:rPr>
      </w:pPr>
      <w:bookmarkStart w:id="22" w:name="_Toc15396605"/>
      <w:bookmarkStart w:id="23" w:name="_Toc15377207"/>
      <w:r>
        <w:rPr>
          <w:rFonts w:hint="eastAsia" w:ascii="黑体" w:hAnsi="黑体" w:eastAsia="黑体"/>
          <w:sz w:val="32"/>
          <w:szCs w:val="32"/>
        </w:rPr>
        <w:t>支</w:t>
      </w:r>
      <w:r>
        <w:rPr>
          <w:rStyle w:val="25"/>
          <w:rFonts w:hint="eastAsia" w:ascii="黑体" w:hAnsi="黑体" w:eastAsia="黑体"/>
          <w:b w:val="0"/>
        </w:rPr>
        <w:t>出决算情况说明</w:t>
      </w:r>
      <w:bookmarkEnd w:id="22"/>
      <w:bookmarkEnd w:id="23"/>
    </w:p>
    <w:p>
      <w:pPr>
        <w:spacing w:line="600" w:lineRule="exact"/>
        <w:ind w:firstLine="640" w:firstLineChars="200"/>
        <w:outlineLvl w:val="1"/>
        <w:rPr>
          <w:rFonts w:hint="eastAsia"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21年本年支出合计</w:t>
      </w:r>
      <w:r>
        <w:rPr>
          <w:rFonts w:hint="eastAsia" w:ascii="仿宋" w:hAnsi="仿宋" w:eastAsia="仿宋"/>
          <w:sz w:val="32"/>
          <w:szCs w:val="32"/>
          <w:lang w:val="en-US" w:eastAsia="zh-CN"/>
        </w:rPr>
        <w:t>528.05</w:t>
      </w:r>
      <w:r>
        <w:rPr>
          <w:rFonts w:hint="eastAsia" w:ascii="仿宋" w:hAnsi="仿宋" w:eastAsia="仿宋"/>
          <w:sz w:val="32"/>
          <w:szCs w:val="32"/>
        </w:rPr>
        <w:t>万元，其中：基本支出</w:t>
      </w:r>
      <w:r>
        <w:rPr>
          <w:rFonts w:hint="eastAsia" w:ascii="仿宋" w:hAnsi="仿宋" w:eastAsia="仿宋"/>
          <w:sz w:val="32"/>
          <w:szCs w:val="32"/>
          <w:lang w:val="en-US" w:eastAsia="zh-CN"/>
        </w:rPr>
        <w:t>154.67</w:t>
      </w:r>
      <w:r>
        <w:rPr>
          <w:rFonts w:hint="eastAsia" w:ascii="仿宋" w:hAnsi="仿宋" w:eastAsia="仿宋"/>
          <w:sz w:val="32"/>
          <w:szCs w:val="32"/>
        </w:rPr>
        <w:t>万元，占</w:t>
      </w:r>
      <w:r>
        <w:rPr>
          <w:rFonts w:hint="eastAsia" w:ascii="仿宋" w:hAnsi="仿宋" w:eastAsia="仿宋"/>
          <w:sz w:val="32"/>
          <w:szCs w:val="32"/>
          <w:lang w:val="en-US" w:eastAsia="zh-CN"/>
        </w:rPr>
        <w:t>29.29</w:t>
      </w:r>
      <w:r>
        <w:rPr>
          <w:rFonts w:ascii="仿宋" w:hAnsi="仿宋" w:eastAsia="仿宋"/>
          <w:sz w:val="32"/>
          <w:szCs w:val="32"/>
        </w:rPr>
        <w:t>%</w:t>
      </w:r>
      <w:r>
        <w:rPr>
          <w:rFonts w:hint="eastAsia" w:ascii="仿宋" w:hAnsi="仿宋" w:eastAsia="仿宋"/>
          <w:sz w:val="32"/>
          <w:szCs w:val="32"/>
        </w:rPr>
        <w:t>；项目支出</w:t>
      </w:r>
      <w:r>
        <w:rPr>
          <w:rFonts w:hint="eastAsia" w:ascii="仿宋" w:hAnsi="仿宋" w:eastAsia="仿宋"/>
          <w:sz w:val="32"/>
          <w:szCs w:val="32"/>
          <w:lang w:val="en-US" w:eastAsia="zh-CN"/>
        </w:rPr>
        <w:t>373.37</w:t>
      </w:r>
      <w:r>
        <w:rPr>
          <w:rFonts w:hint="eastAsia" w:ascii="仿宋" w:hAnsi="仿宋" w:eastAsia="仿宋"/>
          <w:sz w:val="32"/>
          <w:szCs w:val="32"/>
        </w:rPr>
        <w:t>万元，占</w:t>
      </w:r>
      <w:r>
        <w:rPr>
          <w:rFonts w:hint="eastAsia" w:ascii="仿宋" w:hAnsi="仿宋" w:eastAsia="仿宋"/>
          <w:sz w:val="32"/>
          <w:szCs w:val="32"/>
          <w:lang w:val="en-US" w:eastAsia="zh-CN"/>
        </w:rPr>
        <w:t>70.71</w:t>
      </w:r>
      <w:r>
        <w:rPr>
          <w:rFonts w:ascii="仿宋" w:hAnsi="仿宋" w:eastAsia="仿宋"/>
          <w:sz w:val="32"/>
          <w:szCs w:val="32"/>
        </w:rPr>
        <w:t>%</w:t>
      </w:r>
      <w:r>
        <w:rPr>
          <w:rFonts w:hint="eastAsia" w:ascii="仿宋" w:hAnsi="仿宋" w:eastAsia="仿宋"/>
          <w:sz w:val="32"/>
          <w:szCs w:val="32"/>
        </w:rPr>
        <w:t>；上缴上级支出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；对附属单位补助支出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p>
    <w:p>
      <w:pPr>
        <w:spacing w:line="600" w:lineRule="exact"/>
        <w:jc w:val="center"/>
        <w:rPr>
          <w:rFonts w:hint="eastAsia" w:ascii="仿宋" w:hAnsi="仿宋" w:eastAsia="仿宋"/>
          <w:sz w:val="32"/>
          <w:szCs w:val="32"/>
        </w:rPr>
      </w:pPr>
      <w:r>
        <w:rPr>
          <w:rFonts w:hint="eastAsia" w:ascii="仿宋" w:hAnsi="仿宋" w:eastAsia="仿宋"/>
          <w:sz w:val="32"/>
          <w:szCs w:val="32"/>
        </w:rPr>
        <w:drawing>
          <wp:anchor distT="0" distB="0" distL="114300" distR="114300" simplePos="0" relativeHeight="251660288" behindDoc="1" locked="0" layoutInCell="1" allowOverlap="1">
            <wp:simplePos x="0" y="0"/>
            <wp:positionH relativeFrom="column">
              <wp:posOffset>404495</wp:posOffset>
            </wp:positionH>
            <wp:positionV relativeFrom="paragraph">
              <wp:posOffset>152400</wp:posOffset>
            </wp:positionV>
            <wp:extent cx="4575810" cy="2543810"/>
            <wp:effectExtent l="4445" t="4445" r="10795" b="23495"/>
            <wp:wrapTight wrapText="bothSides">
              <wp:wrapPolygon>
                <wp:start x="-21" y="-38"/>
                <wp:lineTo x="-21" y="21476"/>
                <wp:lineTo x="21561" y="21476"/>
                <wp:lineTo x="21561" y="-38"/>
                <wp:lineTo x="-21" y="-38"/>
              </wp:wrapPolygon>
            </wp:wrapTight>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spacing w:line="600" w:lineRule="exact"/>
        <w:jc w:val="center"/>
        <w:rPr>
          <w:rFonts w:hint="eastAsia" w:ascii="仿宋" w:hAnsi="仿宋" w:eastAsia="仿宋"/>
          <w:sz w:val="32"/>
          <w:szCs w:val="32"/>
        </w:rPr>
      </w:pPr>
    </w:p>
    <w:p>
      <w:pPr>
        <w:spacing w:line="600" w:lineRule="exact"/>
        <w:jc w:val="center"/>
      </w:pPr>
      <w:r>
        <w:rPr>
          <w:rFonts w:hint="eastAsia" w:ascii="仿宋" w:hAnsi="仿宋" w:eastAsia="仿宋"/>
          <w:sz w:val="32"/>
          <w:szCs w:val="32"/>
        </w:rPr>
        <w:t>（</w:t>
      </w:r>
    </w:p>
    <w:p>
      <w:pPr>
        <w:spacing w:line="600" w:lineRule="exact"/>
        <w:ind w:firstLine="640" w:firstLineChars="200"/>
        <w:outlineLvl w:val="1"/>
        <w:rPr>
          <w:rStyle w:val="25"/>
          <w:rFonts w:ascii="黑体" w:hAnsi="黑体" w:eastAsia="黑体"/>
          <w:b w:val="0"/>
        </w:rPr>
      </w:pPr>
      <w:bookmarkStart w:id="24" w:name="_Toc15377208"/>
      <w:bookmarkStart w:id="25" w:name="_Toc15396606"/>
      <w:r>
        <w:rPr>
          <w:rFonts w:hint="eastAsia" w:ascii="黑体" w:hAnsi="黑体" w:eastAsia="黑体"/>
          <w:sz w:val="32"/>
          <w:szCs w:val="32"/>
        </w:rPr>
        <w:t>四、财</w:t>
      </w:r>
      <w:r>
        <w:rPr>
          <w:rStyle w:val="25"/>
          <w:rFonts w:hint="eastAsia" w:ascii="黑体" w:hAnsi="黑体" w:eastAsia="黑体"/>
          <w:b w:val="0"/>
        </w:rPr>
        <w:t>政拨款收入支出决算总体情况说明</w:t>
      </w:r>
      <w:bookmarkEnd w:id="24"/>
      <w:bookmarkEnd w:id="25"/>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年财政拨款收</w:t>
      </w:r>
      <w:r>
        <w:rPr>
          <w:rFonts w:hint="eastAsia" w:ascii="仿宋" w:hAnsi="仿宋" w:eastAsia="仿宋" w:cs="仿宋"/>
          <w:sz w:val="32"/>
          <w:szCs w:val="32"/>
          <w:lang w:eastAsia="zh-CN"/>
        </w:rPr>
        <w:t>入</w:t>
      </w:r>
      <w:r>
        <w:rPr>
          <w:rFonts w:hint="eastAsia" w:ascii="仿宋" w:hAnsi="仿宋" w:eastAsia="仿宋" w:cs="仿宋"/>
          <w:sz w:val="32"/>
          <w:szCs w:val="32"/>
          <w:lang w:val="en-US" w:eastAsia="zh-CN"/>
        </w:rPr>
        <w:t>386.54万元</w:t>
      </w:r>
      <w:r>
        <w:rPr>
          <w:rFonts w:hint="eastAsia" w:ascii="仿宋" w:hAnsi="仿宋" w:eastAsia="仿宋" w:cs="仿宋"/>
          <w:sz w:val="32"/>
          <w:szCs w:val="32"/>
        </w:rPr>
        <w:t>、支</w:t>
      </w:r>
      <w:r>
        <w:rPr>
          <w:rFonts w:hint="eastAsia" w:ascii="仿宋" w:hAnsi="仿宋" w:eastAsia="仿宋" w:cs="仿宋"/>
          <w:sz w:val="32"/>
          <w:szCs w:val="32"/>
          <w:lang w:eastAsia="zh-CN"/>
        </w:rPr>
        <w:t>出</w:t>
      </w:r>
      <w:r>
        <w:rPr>
          <w:rFonts w:hint="eastAsia" w:ascii="仿宋" w:hAnsi="仿宋" w:eastAsia="仿宋" w:cs="仿宋"/>
          <w:sz w:val="32"/>
          <w:szCs w:val="32"/>
          <w:lang w:val="en-US" w:eastAsia="zh-CN"/>
        </w:rPr>
        <w:t>491.71</w:t>
      </w:r>
      <w:r>
        <w:rPr>
          <w:rFonts w:hint="eastAsia" w:ascii="仿宋" w:hAnsi="仿宋" w:eastAsia="仿宋" w:cs="仿宋"/>
          <w:sz w:val="32"/>
          <w:szCs w:val="32"/>
        </w:rPr>
        <w:t>万元。与20</w:t>
      </w:r>
      <w:r>
        <w:rPr>
          <w:rFonts w:hint="eastAsia" w:ascii="仿宋" w:hAnsi="仿宋" w:eastAsia="仿宋" w:cs="仿宋"/>
          <w:sz w:val="32"/>
          <w:szCs w:val="32"/>
          <w:lang w:val="en-US" w:eastAsia="zh-CN"/>
        </w:rPr>
        <w:t>20</w:t>
      </w:r>
      <w:r>
        <w:rPr>
          <w:rFonts w:hint="eastAsia" w:ascii="仿宋" w:hAnsi="仿宋" w:eastAsia="仿宋" w:cs="仿宋"/>
          <w:sz w:val="32"/>
          <w:szCs w:val="32"/>
        </w:rPr>
        <w:t>年相比，财政拨款收</w:t>
      </w:r>
      <w:r>
        <w:rPr>
          <w:rFonts w:hint="eastAsia" w:ascii="仿宋" w:hAnsi="仿宋" w:eastAsia="仿宋" w:cs="仿宋"/>
          <w:sz w:val="32"/>
          <w:szCs w:val="32"/>
          <w:lang w:eastAsia="zh-CN"/>
        </w:rPr>
        <w:t>入减少了</w:t>
      </w:r>
      <w:r>
        <w:rPr>
          <w:rFonts w:hint="eastAsia" w:ascii="仿宋" w:hAnsi="仿宋" w:eastAsia="仿宋" w:cs="仿宋"/>
          <w:sz w:val="32"/>
          <w:szCs w:val="32"/>
          <w:lang w:val="en-US" w:eastAsia="zh-CN"/>
        </w:rPr>
        <w:t>10.7万元，其原因为：2021年我院没有设备购置费；</w:t>
      </w:r>
      <w:r>
        <w:rPr>
          <w:rFonts w:hint="eastAsia" w:ascii="仿宋" w:hAnsi="仿宋" w:eastAsia="仿宋" w:cs="仿宋"/>
          <w:sz w:val="32"/>
          <w:szCs w:val="32"/>
        </w:rPr>
        <w:t>支</w:t>
      </w:r>
      <w:r>
        <w:rPr>
          <w:rFonts w:hint="eastAsia" w:ascii="仿宋" w:hAnsi="仿宋" w:eastAsia="仿宋" w:cs="仿宋"/>
          <w:sz w:val="32"/>
          <w:szCs w:val="32"/>
          <w:lang w:eastAsia="zh-CN"/>
        </w:rPr>
        <w:t>出增加</w:t>
      </w:r>
      <w:r>
        <w:rPr>
          <w:rFonts w:hint="eastAsia" w:ascii="仿宋" w:hAnsi="仿宋" w:eastAsia="仿宋" w:cs="仿宋"/>
          <w:sz w:val="32"/>
          <w:szCs w:val="32"/>
          <w:lang w:val="en-US" w:eastAsia="zh-CN"/>
        </w:rPr>
        <w:t>77.13</w:t>
      </w:r>
      <w:r>
        <w:rPr>
          <w:rFonts w:hint="eastAsia" w:ascii="仿宋" w:hAnsi="仿宋" w:eastAsia="仿宋" w:cs="仿宋"/>
          <w:sz w:val="32"/>
          <w:szCs w:val="32"/>
        </w:rPr>
        <w:t>万元</w:t>
      </w:r>
      <w:r>
        <w:rPr>
          <w:rFonts w:hint="eastAsia" w:ascii="仿宋" w:hAnsi="仿宋" w:eastAsia="仿宋" w:cs="仿宋"/>
          <w:sz w:val="32"/>
          <w:szCs w:val="32"/>
          <w:lang w:eastAsia="zh-CN"/>
        </w:rPr>
        <w:t>，其原因为：区划调整后我乡人口增加，公共卫生经费等支出增加，</w:t>
      </w:r>
      <w:r>
        <w:rPr>
          <w:rFonts w:hint="eastAsia" w:ascii="仿宋" w:hAnsi="仿宋" w:eastAsia="仿宋"/>
          <w:sz w:val="32"/>
          <w:szCs w:val="32"/>
          <w:lang w:val="en-US" w:eastAsia="zh-CN"/>
        </w:rPr>
        <w:t>2021年购买了救护车及DR设备</w:t>
      </w:r>
      <w:r>
        <w:rPr>
          <w:rFonts w:hint="eastAsia" w:ascii="仿宋" w:hAnsi="仿宋" w:eastAsia="仿宋" w:cs="仿宋"/>
          <w:sz w:val="32"/>
          <w:szCs w:val="32"/>
        </w:rPr>
        <w:t>。</w:t>
      </w:r>
    </w:p>
    <w:p>
      <w:pPr>
        <w:spacing w:line="600" w:lineRule="exact"/>
        <w:jc w:val="center"/>
        <w:rPr>
          <w:rFonts w:hint="eastAsia"/>
          <w:lang w:val="en-US" w:eastAsia="zh-CN"/>
        </w:rPr>
      </w:pPr>
      <w:r>
        <w:rPr>
          <w:rFonts w:hint="eastAsia"/>
          <w:lang w:val="en-US" w:eastAsia="zh-CN"/>
        </w:rPr>
        <w:drawing>
          <wp:anchor distT="0" distB="0" distL="114300" distR="114300" simplePos="0" relativeHeight="251660288" behindDoc="1" locked="0" layoutInCell="1" allowOverlap="1">
            <wp:simplePos x="0" y="0"/>
            <wp:positionH relativeFrom="column">
              <wp:posOffset>223520</wp:posOffset>
            </wp:positionH>
            <wp:positionV relativeFrom="paragraph">
              <wp:posOffset>204470</wp:posOffset>
            </wp:positionV>
            <wp:extent cx="4841875" cy="3324860"/>
            <wp:effectExtent l="4445" t="4445" r="11430" b="23495"/>
            <wp:wrapTight wrapText="bothSides">
              <wp:wrapPolygon>
                <wp:start x="-20" y="-29"/>
                <wp:lineTo x="-20" y="21505"/>
                <wp:lineTo x="21566" y="21505"/>
                <wp:lineTo x="21566" y="-29"/>
                <wp:lineTo x="-20" y="-29"/>
              </wp:wrapPolygon>
            </wp:wrapTight>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spacing w:line="600" w:lineRule="exact"/>
        <w:ind w:firstLine="640" w:firstLineChars="200"/>
        <w:outlineLvl w:val="1"/>
        <w:rPr>
          <w:rStyle w:val="25"/>
          <w:rFonts w:ascii="黑体" w:hAnsi="黑体" w:eastAsia="黑体"/>
          <w:b w:val="0"/>
        </w:rPr>
      </w:pPr>
      <w:bookmarkStart w:id="26" w:name="_Toc15377209"/>
      <w:bookmarkStart w:id="27" w:name="_Toc15396607"/>
      <w:r>
        <w:rPr>
          <w:rFonts w:hint="eastAsia" w:ascii="黑体" w:hAnsi="黑体" w:eastAsia="黑体"/>
          <w:sz w:val="32"/>
          <w:szCs w:val="32"/>
        </w:rPr>
        <w:t>五、</w:t>
      </w:r>
      <w:r>
        <w:rPr>
          <w:rFonts w:hint="eastAsia" w:ascii="黑体" w:hAnsi="黑体" w:eastAsia="黑体"/>
          <w:b/>
          <w:sz w:val="32"/>
          <w:szCs w:val="32"/>
        </w:rPr>
        <w:t>一</w:t>
      </w:r>
      <w:r>
        <w:rPr>
          <w:rStyle w:val="25"/>
          <w:rFonts w:hint="eastAsia" w:ascii="黑体" w:hAnsi="黑体" w:eastAsia="黑体"/>
          <w:b w:val="0"/>
        </w:rPr>
        <w:t>般公共预算财政拨款支出决算情况说明</w:t>
      </w:r>
      <w:bookmarkEnd w:id="26"/>
      <w:bookmarkEnd w:id="27"/>
    </w:p>
    <w:p>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pPr>
        <w:spacing w:line="54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491.71</w:t>
      </w:r>
      <w:r>
        <w:rPr>
          <w:rFonts w:hint="eastAsia" w:ascii="仿宋" w:hAnsi="仿宋" w:eastAsia="仿宋"/>
          <w:sz w:val="32"/>
          <w:szCs w:val="32"/>
        </w:rPr>
        <w:t>万元，占本年支出合计的</w:t>
      </w:r>
      <w:r>
        <w:rPr>
          <w:rFonts w:hint="eastAsia" w:ascii="仿宋" w:hAnsi="仿宋" w:eastAsia="仿宋"/>
          <w:sz w:val="32"/>
          <w:szCs w:val="32"/>
          <w:lang w:val="en-US" w:eastAsia="zh-CN"/>
        </w:rPr>
        <w:t>93.12</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20年相比，一般公共预算财政拨款支出增加</w:t>
      </w:r>
      <w:r>
        <w:rPr>
          <w:rFonts w:hint="eastAsia" w:ascii="仿宋" w:hAnsi="仿宋" w:eastAsia="仿宋"/>
          <w:sz w:val="32"/>
          <w:szCs w:val="32"/>
          <w:lang w:val="en-US" w:eastAsia="zh-CN"/>
        </w:rPr>
        <w:t>189.87</w:t>
      </w:r>
      <w:r>
        <w:rPr>
          <w:rFonts w:hint="eastAsia" w:ascii="仿宋" w:hAnsi="仿宋" w:eastAsia="仿宋"/>
          <w:sz w:val="32"/>
          <w:szCs w:val="32"/>
        </w:rPr>
        <w:t>万元。主要变动原因是</w:t>
      </w:r>
      <w:r>
        <w:rPr>
          <w:rFonts w:hint="eastAsia" w:ascii="仿宋" w:hAnsi="仿宋" w:eastAsia="仿宋" w:cs="仿宋"/>
          <w:sz w:val="32"/>
          <w:szCs w:val="32"/>
          <w:lang w:eastAsia="zh-CN"/>
        </w:rPr>
        <w:t>区划调整后我</w:t>
      </w:r>
      <w:r>
        <w:rPr>
          <w:rFonts w:hint="eastAsia"/>
          <w:lang w:val="en-US" w:eastAsia="zh-CN"/>
        </w:rPr>
        <w:drawing>
          <wp:anchor distT="0" distB="0" distL="114300" distR="114300" simplePos="0" relativeHeight="251661312" behindDoc="1" locked="0" layoutInCell="1" allowOverlap="1">
            <wp:simplePos x="0" y="0"/>
            <wp:positionH relativeFrom="column">
              <wp:posOffset>290195</wp:posOffset>
            </wp:positionH>
            <wp:positionV relativeFrom="paragraph">
              <wp:posOffset>690245</wp:posOffset>
            </wp:positionV>
            <wp:extent cx="4841875" cy="3629025"/>
            <wp:effectExtent l="4445" t="4445" r="11430" b="5080"/>
            <wp:wrapTight wrapText="bothSides">
              <wp:wrapPolygon>
                <wp:start x="-20" y="-26"/>
                <wp:lineTo x="-20" y="21517"/>
                <wp:lineTo x="21566" y="21517"/>
                <wp:lineTo x="21566" y="-26"/>
                <wp:lineTo x="-20" y="-26"/>
              </wp:wrapPolygon>
            </wp:wrapTight>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hint="eastAsia" w:ascii="仿宋" w:hAnsi="仿宋" w:eastAsia="仿宋" w:cs="仿宋"/>
          <w:sz w:val="32"/>
          <w:szCs w:val="32"/>
          <w:lang w:eastAsia="zh-CN"/>
        </w:rPr>
        <w:t>乡人口增加，公共卫生经费等支出增加，</w:t>
      </w:r>
      <w:r>
        <w:rPr>
          <w:rFonts w:hint="eastAsia" w:ascii="仿宋" w:hAnsi="仿宋" w:eastAsia="仿宋"/>
          <w:sz w:val="32"/>
          <w:szCs w:val="32"/>
          <w:lang w:val="en-US" w:eastAsia="zh-CN"/>
        </w:rPr>
        <w:t>2021年购买了救护车及DR设备</w:t>
      </w:r>
      <w:r>
        <w:rPr>
          <w:rFonts w:hint="eastAsia" w:ascii="仿宋" w:hAnsi="仿宋" w:eastAsia="仿宋" w:cs="仿宋"/>
          <w:sz w:val="32"/>
          <w:szCs w:val="32"/>
        </w:rPr>
        <w:t>。</w:t>
      </w:r>
    </w:p>
    <w:p>
      <w:pPr>
        <w:spacing w:line="600" w:lineRule="exact"/>
        <w:ind w:firstLine="640" w:firstLineChars="200"/>
        <w:outlineLvl w:val="2"/>
        <w:rPr>
          <w:rFonts w:hint="eastAsia" w:ascii="仿宋" w:hAnsi="仿宋" w:eastAsia="仿宋"/>
          <w:sz w:val="32"/>
          <w:szCs w:val="32"/>
        </w:rPr>
      </w:pPr>
      <w:bookmarkStart w:id="29" w:name="_Toc15377211"/>
    </w:p>
    <w:p>
      <w:pPr>
        <w:spacing w:line="600" w:lineRule="exact"/>
        <w:ind w:firstLine="643" w:firstLineChars="200"/>
        <w:outlineLvl w:val="2"/>
        <w:rPr>
          <w:rFonts w:ascii="仿宋" w:hAnsi="仿宋" w:eastAsia="仿宋"/>
          <w:b/>
          <w:sz w:val="32"/>
          <w:szCs w:val="32"/>
        </w:rPr>
      </w:pPr>
      <w:r>
        <w:rPr>
          <w:rFonts w:hint="eastAsia" w:ascii="仿宋" w:hAnsi="仿宋" w:eastAsia="仿宋"/>
          <w:b/>
          <w:sz w:val="32"/>
          <w:szCs w:val="32"/>
        </w:rPr>
        <w:t>（二）一般公共预算财政拨款支出决算结构情况</w:t>
      </w:r>
      <w:bookmarkEnd w:id="29"/>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491.71</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一般公共服务（类）</w:t>
      </w:r>
      <w:r>
        <w:rPr>
          <w:rFonts w:hint="eastAsia" w:ascii="仿宋" w:hAnsi="仿宋" w:eastAsia="仿宋"/>
          <w:sz w:val="32"/>
          <w:szCs w:val="32"/>
        </w:rPr>
        <w:t>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教育支出（类）</w:t>
      </w:r>
      <w:r>
        <w:rPr>
          <w:rFonts w:hint="eastAsia" w:ascii="仿宋" w:hAnsi="仿宋" w:eastAsia="仿宋"/>
          <w:b/>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科学技术（类）</w:t>
      </w:r>
      <w:r>
        <w:rPr>
          <w:rFonts w:hint="eastAsia" w:ascii="仿宋" w:hAnsi="仿宋" w:eastAsia="仿宋"/>
          <w:sz w:val="32"/>
          <w:szCs w:val="32"/>
        </w:rPr>
        <w:t>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文化旅游体育与传媒（类）支出</w:t>
      </w:r>
      <w:r>
        <w:rPr>
          <w:rFonts w:hint="eastAsia" w:ascii="仿宋" w:hAnsi="仿宋" w:eastAsia="仿宋"/>
          <w:b/>
          <w:bCs/>
          <w:sz w:val="32"/>
          <w:szCs w:val="32"/>
          <w:lang w:val="en-US" w:eastAsia="zh-CN"/>
        </w:rPr>
        <w:t>0</w:t>
      </w:r>
      <w:r>
        <w:rPr>
          <w:rFonts w:hint="eastAsia" w:ascii="仿宋" w:hAnsi="仿宋" w:eastAsia="仿宋"/>
          <w:b/>
          <w:bCs/>
          <w:sz w:val="32"/>
          <w:szCs w:val="32"/>
        </w:rPr>
        <w:t>万元，占</w:t>
      </w:r>
      <w:r>
        <w:rPr>
          <w:rFonts w:hint="eastAsia" w:ascii="仿宋" w:hAnsi="仿宋" w:eastAsia="仿宋"/>
          <w:b/>
          <w:bCs/>
          <w:sz w:val="32"/>
          <w:szCs w:val="32"/>
          <w:lang w:val="en-US" w:eastAsia="zh-CN"/>
        </w:rPr>
        <w:t>0</w:t>
      </w:r>
      <w:r>
        <w:rPr>
          <w:rFonts w:ascii="仿宋" w:hAnsi="仿宋" w:eastAsia="仿宋"/>
          <w:b/>
          <w:bCs/>
          <w:sz w:val="32"/>
          <w:szCs w:val="32"/>
        </w:rPr>
        <w:t>%</w:t>
      </w:r>
      <w:r>
        <w:rPr>
          <w:rFonts w:hint="eastAsia" w:ascii="仿宋" w:hAnsi="仿宋" w:eastAsia="仿宋"/>
          <w:sz w:val="32"/>
          <w:szCs w:val="32"/>
        </w:rPr>
        <w:t>；</w:t>
      </w:r>
      <w:r>
        <w:rPr>
          <w:rFonts w:hint="eastAsia" w:ascii="仿宋" w:hAnsi="仿宋" w:eastAsia="仿宋"/>
          <w:b/>
          <w:sz w:val="32"/>
          <w:szCs w:val="32"/>
        </w:rPr>
        <w:t>社会保障和就业（类）</w:t>
      </w:r>
      <w:r>
        <w:rPr>
          <w:rFonts w:hint="eastAsia" w:ascii="仿宋" w:hAnsi="仿宋" w:eastAsia="仿宋"/>
          <w:sz w:val="32"/>
          <w:szCs w:val="32"/>
        </w:rPr>
        <w:t>支出</w:t>
      </w:r>
      <w:r>
        <w:rPr>
          <w:rFonts w:hint="eastAsia" w:ascii="仿宋" w:hAnsi="仿宋" w:eastAsia="仿宋"/>
          <w:sz w:val="32"/>
          <w:szCs w:val="32"/>
          <w:lang w:val="en-US" w:eastAsia="zh-CN"/>
        </w:rPr>
        <w:t>15.73</w:t>
      </w:r>
      <w:r>
        <w:rPr>
          <w:rFonts w:hint="eastAsia" w:ascii="仿宋" w:hAnsi="仿宋" w:eastAsia="仿宋"/>
          <w:sz w:val="32"/>
          <w:szCs w:val="32"/>
        </w:rPr>
        <w:t>万元，占</w:t>
      </w:r>
      <w:r>
        <w:rPr>
          <w:rFonts w:hint="eastAsia" w:ascii="仿宋" w:hAnsi="仿宋" w:eastAsia="仿宋"/>
          <w:sz w:val="32"/>
          <w:szCs w:val="32"/>
          <w:lang w:val="en-US" w:eastAsia="zh-CN"/>
        </w:rPr>
        <w:t>3.2</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b/>
          <w:bCs/>
          <w:sz w:val="32"/>
          <w:szCs w:val="32"/>
          <w:lang w:val="en-US" w:eastAsia="zh-CN"/>
        </w:rPr>
        <w:t>461.37</w:t>
      </w:r>
      <w:r>
        <w:rPr>
          <w:rFonts w:hint="eastAsia" w:ascii="仿宋" w:hAnsi="仿宋" w:eastAsia="仿宋"/>
          <w:sz w:val="32"/>
          <w:szCs w:val="32"/>
        </w:rPr>
        <w:t>万元，占</w:t>
      </w:r>
      <w:r>
        <w:rPr>
          <w:rFonts w:hint="eastAsia" w:ascii="仿宋" w:hAnsi="仿宋" w:eastAsia="仿宋"/>
          <w:sz w:val="32"/>
          <w:szCs w:val="32"/>
          <w:lang w:val="en-US" w:eastAsia="zh-CN"/>
        </w:rPr>
        <w:t>93.83</w:t>
      </w:r>
      <w:r>
        <w:rPr>
          <w:rFonts w:ascii="仿宋" w:hAnsi="仿宋" w:eastAsia="仿宋"/>
          <w:sz w:val="32"/>
          <w:szCs w:val="32"/>
        </w:rPr>
        <w:t>%</w:t>
      </w:r>
      <w:r>
        <w:rPr>
          <w:rFonts w:hint="eastAsia" w:ascii="仿宋" w:hAnsi="仿宋" w:eastAsia="仿宋"/>
          <w:sz w:val="32"/>
          <w:szCs w:val="32"/>
        </w:rPr>
        <w:t>；住房保障支出</w:t>
      </w:r>
      <w:r>
        <w:rPr>
          <w:rFonts w:hint="eastAsia" w:ascii="仿宋" w:hAnsi="仿宋" w:eastAsia="仿宋"/>
          <w:sz w:val="32"/>
          <w:szCs w:val="32"/>
          <w:lang w:val="en-US" w:eastAsia="zh-CN"/>
        </w:rPr>
        <w:t>14.61</w:t>
      </w:r>
      <w:r>
        <w:rPr>
          <w:rFonts w:hint="eastAsia" w:ascii="仿宋" w:hAnsi="仿宋" w:eastAsia="仿宋"/>
          <w:sz w:val="32"/>
          <w:szCs w:val="32"/>
        </w:rPr>
        <w:t>万元，占</w:t>
      </w:r>
      <w:r>
        <w:rPr>
          <w:rFonts w:hint="eastAsia" w:ascii="仿宋" w:hAnsi="仿宋" w:eastAsia="仿宋"/>
          <w:sz w:val="32"/>
          <w:szCs w:val="32"/>
          <w:lang w:val="en-US" w:eastAsia="zh-CN"/>
        </w:rPr>
        <w:t>2.97</w:t>
      </w:r>
      <w:r>
        <w:rPr>
          <w:rFonts w:ascii="仿宋" w:hAnsi="仿宋" w:eastAsia="仿宋"/>
          <w:sz w:val="32"/>
          <w:szCs w:val="32"/>
        </w:rPr>
        <w:t>%</w:t>
      </w:r>
      <w:r>
        <w:rPr>
          <w:rFonts w:hint="eastAsia" w:ascii="仿宋" w:hAnsi="仿宋" w:eastAsia="仿宋"/>
          <w:sz w:val="32"/>
          <w:szCs w:val="32"/>
        </w:rPr>
        <w:t>。</w:t>
      </w:r>
    </w:p>
    <w:p>
      <w:pPr>
        <w:spacing w:line="600" w:lineRule="exact"/>
        <w:ind w:firstLine="640" w:firstLineChars="200"/>
        <w:outlineLvl w:val="2"/>
        <w:rPr>
          <w:rFonts w:hint="eastAsia" w:ascii="仿宋" w:hAnsi="仿宋" w:eastAsia="仿宋"/>
          <w:sz w:val="32"/>
          <w:szCs w:val="32"/>
        </w:rPr>
      </w:pPr>
      <w:bookmarkStart w:id="30" w:name="_Toc15377212"/>
    </w:p>
    <w:p>
      <w:pPr>
        <w:spacing w:line="600" w:lineRule="exact"/>
        <w:ind w:firstLine="640" w:firstLineChars="200"/>
        <w:outlineLvl w:val="2"/>
        <w:rPr>
          <w:rFonts w:hint="eastAsia" w:ascii="仿宋" w:hAnsi="仿宋" w:eastAsia="仿宋"/>
          <w:sz w:val="32"/>
          <w:szCs w:val="32"/>
        </w:rPr>
      </w:pPr>
    </w:p>
    <w:p>
      <w:pPr>
        <w:spacing w:line="600" w:lineRule="exact"/>
        <w:ind w:firstLine="640" w:firstLineChars="200"/>
        <w:outlineLvl w:val="2"/>
        <w:rPr>
          <w:rFonts w:hint="eastAsia" w:ascii="仿宋" w:hAnsi="仿宋" w:eastAsia="仿宋"/>
          <w:sz w:val="32"/>
          <w:szCs w:val="32"/>
        </w:rPr>
      </w:pPr>
      <w:r>
        <w:rPr>
          <w:rFonts w:hint="eastAsia" w:ascii="仿宋" w:hAnsi="仿宋" w:eastAsia="仿宋"/>
          <w:sz w:val="32"/>
          <w:szCs w:val="32"/>
        </w:rPr>
        <w:drawing>
          <wp:anchor distT="0" distB="0" distL="114300" distR="114300" simplePos="0" relativeHeight="251662336" behindDoc="1" locked="0" layoutInCell="1" allowOverlap="1">
            <wp:simplePos x="0" y="0"/>
            <wp:positionH relativeFrom="column">
              <wp:posOffset>375920</wp:posOffset>
            </wp:positionH>
            <wp:positionV relativeFrom="paragraph">
              <wp:posOffset>185420</wp:posOffset>
            </wp:positionV>
            <wp:extent cx="4575810" cy="2543810"/>
            <wp:effectExtent l="4445" t="4445" r="10795" b="23495"/>
            <wp:wrapTight wrapText="bothSides">
              <wp:wrapPolygon>
                <wp:start x="-21" y="-38"/>
                <wp:lineTo x="-21" y="21476"/>
                <wp:lineTo x="21561" y="21476"/>
                <wp:lineTo x="21561" y="-38"/>
                <wp:lineTo x="-21" y="-38"/>
              </wp:wrapPolygon>
            </wp:wrapTight>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hint="eastAsia" w:ascii="仿宋" w:hAnsi="仿宋" w:eastAsia="仿宋"/>
          <w:sz w:val="32"/>
          <w:szCs w:val="32"/>
        </w:rPr>
        <w:t>（</w:t>
      </w:r>
    </w:p>
    <w:p>
      <w:pPr>
        <w:spacing w:line="600" w:lineRule="exact"/>
        <w:ind w:firstLine="643" w:firstLineChars="200"/>
        <w:outlineLvl w:val="2"/>
        <w:rPr>
          <w:rFonts w:ascii="仿宋" w:hAnsi="仿宋" w:eastAsia="仿宋"/>
          <w:b/>
          <w:sz w:val="32"/>
          <w:szCs w:val="32"/>
        </w:rPr>
      </w:pPr>
      <w:r>
        <w:rPr>
          <w:rFonts w:hint="eastAsia" w:ascii="仿宋" w:hAnsi="仿宋" w:eastAsia="仿宋"/>
          <w:b/>
          <w:sz w:val="32"/>
          <w:szCs w:val="32"/>
        </w:rPr>
        <w:t>（三）一般公共预算财政拨款支出决算具体情况</w:t>
      </w:r>
      <w:bookmarkEnd w:id="30"/>
    </w:p>
    <w:p>
      <w:pPr>
        <w:spacing w:line="600" w:lineRule="exact"/>
        <w:ind w:firstLine="643" w:firstLineChars="200"/>
        <w:outlineLvl w:val="2"/>
        <w:rPr>
          <w:rFonts w:ascii="仿宋" w:hAnsi="仿宋" w:eastAsia="仿宋"/>
          <w:sz w:val="32"/>
          <w:szCs w:val="32"/>
        </w:rPr>
      </w:pPr>
      <w:bookmarkStart w:id="31" w:name="_Toc15377444"/>
      <w:bookmarkStart w:id="32" w:name="_Toc15378460"/>
      <w:bookmarkStart w:id="33" w:name="_Toc15377213"/>
      <w:r>
        <w:rPr>
          <w:rFonts w:hint="eastAsia" w:ascii="仿宋" w:hAnsi="仿宋" w:eastAsia="仿宋"/>
          <w:b/>
          <w:sz w:val="32"/>
          <w:szCs w:val="32"/>
        </w:rPr>
        <w:t>2021年一般公共预算支出决算数为</w:t>
      </w:r>
      <w:r>
        <w:rPr>
          <w:rFonts w:hint="eastAsia" w:ascii="仿宋" w:hAnsi="仿宋" w:eastAsia="仿宋"/>
          <w:b/>
          <w:sz w:val="32"/>
          <w:szCs w:val="32"/>
          <w:lang w:val="en-US" w:eastAsia="zh-CN"/>
        </w:rPr>
        <w:t>491.71</w:t>
      </w:r>
      <w:r>
        <w:rPr>
          <w:rFonts w:hint="eastAsia" w:ascii="仿宋" w:hAnsi="仿宋" w:eastAsia="仿宋"/>
          <w:sz w:val="32"/>
          <w:szCs w:val="32"/>
        </w:rPr>
        <w:t>，</w:t>
      </w:r>
      <w:r>
        <w:rPr>
          <w:rStyle w:val="14"/>
          <w:rFonts w:hint="eastAsia" w:ascii="仿宋" w:hAnsi="仿宋" w:eastAsia="仿宋"/>
          <w:bCs/>
          <w:sz w:val="32"/>
          <w:szCs w:val="32"/>
        </w:rPr>
        <w:t>完成预算</w:t>
      </w:r>
      <w:r>
        <w:rPr>
          <w:rStyle w:val="14"/>
          <w:rFonts w:hint="eastAsia" w:ascii="仿宋" w:hAnsi="仿宋" w:eastAsia="仿宋"/>
          <w:bCs/>
          <w:sz w:val="32"/>
          <w:szCs w:val="32"/>
          <w:lang w:val="en-US" w:eastAsia="zh-CN"/>
        </w:rPr>
        <w:t>100</w:t>
      </w:r>
      <w:r>
        <w:rPr>
          <w:rStyle w:val="14"/>
          <w:rFonts w:ascii="仿宋" w:hAnsi="仿宋" w:eastAsia="仿宋"/>
          <w:bCs/>
          <w:sz w:val="32"/>
          <w:szCs w:val="32"/>
        </w:rPr>
        <w:t>%</w:t>
      </w:r>
      <w:r>
        <w:rPr>
          <w:rStyle w:val="14"/>
          <w:rFonts w:hint="eastAsia" w:ascii="仿宋" w:hAnsi="仿宋" w:eastAsia="仿宋"/>
          <w:bCs/>
          <w:sz w:val="32"/>
          <w:szCs w:val="32"/>
        </w:rPr>
        <w:t>。其中：</w:t>
      </w:r>
      <w:bookmarkEnd w:id="31"/>
      <w:bookmarkEnd w:id="32"/>
      <w:bookmarkEnd w:id="33"/>
    </w:p>
    <w:p>
      <w:pPr>
        <w:spacing w:line="540" w:lineRule="exact"/>
        <w:ind w:firstLine="643" w:firstLineChars="200"/>
        <w:rPr>
          <w:rFonts w:hint="eastAsia" w:ascii="仿宋" w:hAnsi="仿宋" w:eastAsia="仿宋" w:cs="仿宋"/>
          <w:sz w:val="32"/>
          <w:szCs w:val="32"/>
        </w:rPr>
      </w:pPr>
      <w:r>
        <w:rPr>
          <w:rFonts w:hint="eastAsia" w:ascii="仿宋" w:hAnsi="仿宋" w:eastAsia="仿宋" w:cs="仿宋"/>
          <w:b/>
          <w:sz w:val="32"/>
          <w:szCs w:val="32"/>
          <w:lang w:val="en-US" w:eastAsia="zh-CN"/>
        </w:rPr>
        <w:t>1</w:t>
      </w:r>
      <w:r>
        <w:rPr>
          <w:rFonts w:hint="eastAsia" w:ascii="仿宋" w:hAnsi="仿宋" w:eastAsia="仿宋" w:cs="仿宋"/>
          <w:b/>
          <w:sz w:val="32"/>
          <w:szCs w:val="32"/>
        </w:rPr>
        <w:t>.社会保障和就业（类）</w:t>
      </w:r>
      <w:r>
        <w:rPr>
          <w:rFonts w:hint="eastAsia" w:ascii="仿宋" w:hAnsi="仿宋" w:eastAsia="仿宋" w:cs="仿宋"/>
          <w:b/>
          <w:sz w:val="32"/>
          <w:szCs w:val="32"/>
          <w:lang w:eastAsia="zh-CN"/>
        </w:rPr>
        <w:t>行政事业单位离退休</w:t>
      </w:r>
      <w:r>
        <w:rPr>
          <w:rFonts w:hint="eastAsia" w:ascii="仿宋" w:hAnsi="仿宋" w:eastAsia="仿宋" w:cs="仿宋"/>
          <w:b/>
          <w:sz w:val="32"/>
          <w:szCs w:val="32"/>
        </w:rPr>
        <w:t>（款）</w:t>
      </w:r>
      <w:r>
        <w:rPr>
          <w:rFonts w:hint="eastAsia" w:ascii="仿宋" w:hAnsi="仿宋" w:eastAsia="仿宋" w:cs="仿宋"/>
          <w:b/>
          <w:sz w:val="32"/>
          <w:szCs w:val="32"/>
          <w:lang w:eastAsia="zh-CN"/>
        </w:rPr>
        <w:t>机关事业单位基本养老保险缴费</w:t>
      </w:r>
      <w:r>
        <w:rPr>
          <w:rFonts w:hint="eastAsia" w:ascii="仿宋" w:hAnsi="仿宋" w:eastAsia="仿宋" w:cs="仿宋"/>
          <w:b/>
          <w:sz w:val="32"/>
          <w:szCs w:val="32"/>
        </w:rPr>
        <w:t xml:space="preserve">（项）: </w:t>
      </w:r>
      <w:r>
        <w:rPr>
          <w:rFonts w:hint="eastAsia" w:ascii="仿宋" w:hAnsi="仿宋" w:eastAsia="仿宋" w:cs="仿宋"/>
          <w:sz w:val="32"/>
          <w:szCs w:val="32"/>
        </w:rPr>
        <w:t>支出决算为</w:t>
      </w:r>
      <w:r>
        <w:rPr>
          <w:rFonts w:hint="eastAsia" w:ascii="仿宋" w:hAnsi="仿宋" w:eastAsia="仿宋" w:cs="仿宋"/>
          <w:sz w:val="32"/>
          <w:szCs w:val="32"/>
          <w:lang w:val="en-US" w:eastAsia="zh-CN"/>
        </w:rPr>
        <w:t>15.73</w:t>
      </w:r>
      <w:r>
        <w:rPr>
          <w:rFonts w:hint="eastAsia" w:ascii="仿宋" w:hAnsi="仿宋" w:eastAsia="仿宋" w:cs="仿宋"/>
          <w:sz w:val="32"/>
          <w:szCs w:val="32"/>
        </w:rPr>
        <w:t>万元，完成预算</w:t>
      </w:r>
      <w:r>
        <w:rPr>
          <w:rFonts w:hint="eastAsia" w:ascii="仿宋" w:hAnsi="仿宋" w:eastAsia="仿宋" w:cs="仿宋"/>
          <w:sz w:val="32"/>
          <w:szCs w:val="32"/>
          <w:lang w:val="en-US" w:eastAsia="zh-CN"/>
        </w:rPr>
        <w:t>100</w:t>
      </w:r>
      <w:r>
        <w:rPr>
          <w:rFonts w:hint="eastAsia" w:ascii="仿宋" w:hAnsi="仿宋" w:eastAsia="仿宋" w:cs="仿宋"/>
          <w:sz w:val="32"/>
          <w:szCs w:val="32"/>
        </w:rPr>
        <w:t>%，决算数等于预算数。</w:t>
      </w:r>
    </w:p>
    <w:p>
      <w:pPr>
        <w:spacing w:line="540" w:lineRule="exact"/>
        <w:ind w:firstLine="643" w:firstLineChars="200"/>
        <w:rPr>
          <w:rFonts w:hint="eastAsia" w:ascii="仿宋" w:hAnsi="仿宋" w:eastAsia="仿宋" w:cs="仿宋"/>
          <w:sz w:val="32"/>
          <w:szCs w:val="32"/>
          <w:lang w:eastAsia="zh-CN"/>
        </w:rPr>
      </w:pPr>
      <w:r>
        <w:rPr>
          <w:rFonts w:hint="eastAsia" w:ascii="仿宋" w:hAnsi="仿宋" w:eastAsia="仿宋" w:cs="仿宋"/>
          <w:b/>
          <w:sz w:val="32"/>
          <w:szCs w:val="32"/>
          <w:lang w:val="en-US" w:eastAsia="zh-CN"/>
        </w:rPr>
        <w:t>2</w:t>
      </w:r>
      <w:r>
        <w:rPr>
          <w:rFonts w:hint="eastAsia" w:ascii="仿宋" w:hAnsi="仿宋" w:eastAsia="仿宋" w:cs="仿宋"/>
          <w:b/>
          <w:sz w:val="32"/>
          <w:szCs w:val="32"/>
        </w:rPr>
        <w:t>.卫生健康（类）</w:t>
      </w:r>
      <w:r>
        <w:rPr>
          <w:rFonts w:hint="eastAsia" w:ascii="仿宋" w:hAnsi="仿宋" w:eastAsia="仿宋" w:cs="仿宋"/>
          <w:b/>
          <w:sz w:val="32"/>
          <w:szCs w:val="32"/>
          <w:lang w:eastAsia="zh-CN"/>
        </w:rPr>
        <w:t>公立医院</w:t>
      </w:r>
      <w:r>
        <w:rPr>
          <w:rFonts w:hint="eastAsia" w:ascii="仿宋" w:hAnsi="仿宋" w:eastAsia="仿宋" w:cs="仿宋"/>
          <w:b/>
          <w:sz w:val="32"/>
          <w:szCs w:val="32"/>
        </w:rPr>
        <w:t>（款）</w:t>
      </w:r>
      <w:r>
        <w:rPr>
          <w:rFonts w:hint="eastAsia" w:ascii="仿宋" w:hAnsi="仿宋" w:eastAsia="仿宋" w:cs="仿宋"/>
          <w:b/>
          <w:sz w:val="32"/>
          <w:szCs w:val="32"/>
          <w:lang w:eastAsia="zh-CN"/>
        </w:rPr>
        <w:t>综合医院</w:t>
      </w:r>
      <w:r>
        <w:rPr>
          <w:rFonts w:hint="eastAsia" w:ascii="仿宋" w:hAnsi="仿宋" w:eastAsia="仿宋" w:cs="仿宋"/>
          <w:b/>
          <w:sz w:val="32"/>
          <w:szCs w:val="32"/>
        </w:rPr>
        <w:t>（项）:</w:t>
      </w:r>
      <w:r>
        <w:rPr>
          <w:rFonts w:hint="eastAsia" w:ascii="仿宋" w:hAnsi="仿宋" w:eastAsia="仿宋" w:cs="仿宋"/>
          <w:sz w:val="32"/>
          <w:szCs w:val="32"/>
        </w:rPr>
        <w:t>支出决算为</w:t>
      </w:r>
      <w:r>
        <w:rPr>
          <w:rFonts w:hint="eastAsia" w:ascii="仿宋" w:hAnsi="仿宋" w:eastAsia="仿宋" w:cs="仿宋"/>
          <w:sz w:val="32"/>
          <w:szCs w:val="32"/>
          <w:lang w:val="en-US" w:eastAsia="zh-CN"/>
        </w:rPr>
        <w:t>461.37</w:t>
      </w:r>
      <w:r>
        <w:rPr>
          <w:rFonts w:hint="eastAsia" w:ascii="仿宋" w:hAnsi="仿宋" w:eastAsia="仿宋" w:cs="仿宋"/>
          <w:sz w:val="32"/>
          <w:szCs w:val="32"/>
        </w:rPr>
        <w:t>万元，完成预算</w:t>
      </w:r>
      <w:r>
        <w:rPr>
          <w:rFonts w:hint="eastAsia" w:ascii="仿宋" w:hAnsi="仿宋" w:eastAsia="仿宋" w:cs="仿宋"/>
          <w:sz w:val="32"/>
          <w:szCs w:val="32"/>
          <w:lang w:val="en-US" w:eastAsia="zh-CN"/>
        </w:rPr>
        <w:t>100</w:t>
      </w:r>
      <w:r>
        <w:rPr>
          <w:rFonts w:hint="eastAsia" w:ascii="仿宋" w:hAnsi="仿宋" w:eastAsia="仿宋" w:cs="仿宋"/>
          <w:sz w:val="32"/>
          <w:szCs w:val="32"/>
        </w:rPr>
        <w:t>%</w:t>
      </w:r>
      <w:r>
        <w:rPr>
          <w:rFonts w:hint="eastAsia" w:ascii="仿宋" w:hAnsi="仿宋" w:eastAsia="仿宋" w:cs="仿宋"/>
          <w:sz w:val="32"/>
          <w:szCs w:val="32"/>
          <w:lang w:eastAsia="zh-CN"/>
        </w:rPr>
        <w:t>。</w:t>
      </w:r>
    </w:p>
    <w:p>
      <w:pPr>
        <w:spacing w:line="540" w:lineRule="exact"/>
        <w:ind w:firstLine="643" w:firstLineChars="200"/>
        <w:rPr>
          <w:rFonts w:ascii="仿宋" w:hAnsi="仿宋" w:eastAsia="仿宋"/>
          <w:b/>
          <w:sz w:val="32"/>
          <w:szCs w:val="32"/>
        </w:rPr>
      </w:pPr>
      <w:r>
        <w:rPr>
          <w:rFonts w:hint="eastAsia" w:ascii="仿宋" w:hAnsi="仿宋" w:eastAsia="仿宋" w:cs="仿宋"/>
          <w:b/>
          <w:bCs/>
          <w:sz w:val="32"/>
          <w:szCs w:val="32"/>
          <w:lang w:val="en-US" w:eastAsia="zh-CN"/>
        </w:rPr>
        <w:t>3.住房保障（类）住房改革（款）住房公积金（项）</w:t>
      </w:r>
      <w:r>
        <w:rPr>
          <w:rFonts w:hint="eastAsia" w:ascii="仿宋" w:hAnsi="仿宋" w:eastAsia="仿宋" w:cs="仿宋"/>
          <w:sz w:val="32"/>
          <w:szCs w:val="32"/>
          <w:lang w:val="en-US" w:eastAsia="zh-CN"/>
        </w:rPr>
        <w:t>：支出决算数为：14.61万元，</w:t>
      </w:r>
      <w:r>
        <w:rPr>
          <w:rFonts w:hint="eastAsia" w:ascii="仿宋" w:hAnsi="仿宋" w:eastAsia="仿宋" w:cs="仿宋"/>
          <w:sz w:val="32"/>
          <w:szCs w:val="32"/>
        </w:rPr>
        <w:t>完成预算</w:t>
      </w:r>
      <w:r>
        <w:rPr>
          <w:rFonts w:hint="eastAsia" w:ascii="仿宋" w:hAnsi="仿宋" w:eastAsia="仿宋" w:cs="仿宋"/>
          <w:sz w:val="32"/>
          <w:szCs w:val="32"/>
          <w:lang w:val="en-US" w:eastAsia="zh-CN"/>
        </w:rPr>
        <w:t>100</w:t>
      </w:r>
      <w:r>
        <w:rPr>
          <w:rFonts w:hint="eastAsia" w:ascii="仿宋" w:hAnsi="仿宋" w:eastAsia="仿宋" w:cs="仿宋"/>
          <w:sz w:val="32"/>
          <w:szCs w:val="32"/>
        </w:rPr>
        <w:t>%，决算数等于预算数。</w:t>
      </w:r>
    </w:p>
    <w:p>
      <w:pPr>
        <w:tabs>
          <w:tab w:val="right" w:pos="8306"/>
        </w:tabs>
        <w:spacing w:line="600" w:lineRule="exact"/>
        <w:ind w:firstLine="640"/>
        <w:outlineLvl w:val="1"/>
        <w:rPr>
          <w:rStyle w:val="25"/>
        </w:rPr>
      </w:pPr>
      <w:bookmarkStart w:id="34" w:name="_Toc15377214"/>
      <w:bookmarkStart w:id="35"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5"/>
          <w:rFonts w:hint="eastAsia" w:ascii="黑体" w:hAnsi="黑体" w:eastAsia="黑体"/>
          <w:b w:val="0"/>
        </w:rPr>
        <w:t>般公共预算财政拨款基本支出决算情况说明</w:t>
      </w:r>
      <w:bookmarkEnd w:id="34"/>
      <w:bookmarkEnd w:id="35"/>
      <w:r>
        <w:rPr>
          <w:rStyle w:val="25"/>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w:t>
      </w:r>
      <w:r>
        <w:rPr>
          <w:rFonts w:hint="eastAsia" w:ascii="仿宋" w:hAnsi="仿宋" w:eastAsia="仿宋"/>
          <w:sz w:val="32"/>
          <w:szCs w:val="32"/>
          <w:lang w:val="en-US" w:eastAsia="zh-CN"/>
        </w:rPr>
        <w:t>154.67</w:t>
      </w:r>
      <w:r>
        <w:rPr>
          <w:rFonts w:hint="eastAsia" w:ascii="仿宋" w:hAnsi="仿宋" w:eastAsia="仿宋"/>
          <w:sz w:val="32"/>
          <w:szCs w:val="32"/>
        </w:rPr>
        <w:t>万元，其中：</w:t>
      </w:r>
    </w:p>
    <w:p>
      <w:pPr>
        <w:spacing w:line="600" w:lineRule="exact"/>
        <w:ind w:firstLine="645"/>
        <w:rPr>
          <w:rFonts w:hint="eastAsia" w:ascii="仿宋" w:hAnsi="仿宋" w:eastAsia="仿宋"/>
          <w:sz w:val="32"/>
          <w:szCs w:val="32"/>
          <w:lang w:eastAsia="zh-CN"/>
        </w:rPr>
      </w:pPr>
      <w:r>
        <w:rPr>
          <w:rFonts w:hint="eastAsia" w:ascii="仿宋" w:hAnsi="仿宋" w:eastAsia="仿宋"/>
          <w:sz w:val="32"/>
          <w:szCs w:val="32"/>
        </w:rPr>
        <w:t>人员经费</w:t>
      </w:r>
      <w:r>
        <w:rPr>
          <w:rFonts w:hint="eastAsia" w:ascii="仿宋" w:hAnsi="仿宋" w:eastAsia="仿宋"/>
          <w:sz w:val="32"/>
          <w:szCs w:val="32"/>
          <w:lang w:val="en-US" w:eastAsia="zh-CN"/>
        </w:rPr>
        <w:t>154.67</w:t>
      </w:r>
      <w:r>
        <w:rPr>
          <w:rFonts w:hint="eastAsia" w:ascii="仿宋" w:hAnsi="仿宋" w:eastAsia="仿宋"/>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p>
    <w:p>
      <w:pPr>
        <w:spacing w:line="600" w:lineRule="exact"/>
        <w:ind w:firstLine="640" w:firstLineChars="200"/>
        <w:rPr>
          <w:rFonts w:ascii="仿宋" w:hAnsi="仿宋" w:eastAsia="仿宋"/>
          <w:b/>
          <w:sz w:val="32"/>
          <w:szCs w:val="32"/>
        </w:rPr>
      </w:pPr>
      <w:r>
        <w:rPr>
          <w:rFonts w:hint="eastAsia" w:ascii="仿宋" w:hAnsi="仿宋" w:eastAsia="仿宋"/>
          <w:sz w:val="32"/>
          <w:szCs w:val="32"/>
        </w:rPr>
        <w:t>公用经费</w:t>
      </w:r>
      <w:r>
        <w:rPr>
          <w:rFonts w:hint="eastAsia" w:ascii="仿宋" w:hAnsi="仿宋" w:eastAsia="仿宋"/>
          <w:sz w:val="32"/>
          <w:szCs w:val="32"/>
          <w:lang w:val="en-US" w:eastAsia="zh-CN"/>
        </w:rPr>
        <w:t>0</w:t>
      </w:r>
      <w:r>
        <w:rPr>
          <w:rFonts w:hint="eastAsia" w:ascii="仿宋" w:hAnsi="仿宋" w:eastAsia="仿宋"/>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outlineLvl w:val="1"/>
        <w:rPr>
          <w:rStyle w:val="25"/>
          <w:rFonts w:ascii="黑体" w:hAnsi="黑体" w:eastAsia="黑体"/>
          <w:b w:val="0"/>
        </w:rPr>
      </w:pPr>
      <w:bookmarkStart w:id="36" w:name="_Toc15396609"/>
      <w:bookmarkStart w:id="37" w:name="_Toc15377215"/>
      <w:r>
        <w:rPr>
          <w:rFonts w:hint="eastAsia" w:ascii="黑体" w:eastAsia="黑体"/>
          <w:sz w:val="32"/>
          <w:szCs w:val="32"/>
        </w:rPr>
        <w:t>七、</w:t>
      </w:r>
      <w:r>
        <w:rPr>
          <w:rStyle w:val="25"/>
          <w:rFonts w:hint="eastAsia" w:ascii="黑体" w:hAnsi="黑体" w:eastAsia="黑体"/>
        </w:rPr>
        <w:t>“</w:t>
      </w:r>
      <w:r>
        <w:rPr>
          <w:rStyle w:val="25"/>
          <w:rFonts w:hint="eastAsia" w:ascii="黑体" w:hAnsi="黑体" w:eastAsia="黑体"/>
          <w:b w:val="0"/>
        </w:rPr>
        <w:t>三公”经费财政拨款支出决算情况说明</w:t>
      </w:r>
      <w:bookmarkEnd w:id="36"/>
      <w:bookmarkEnd w:id="37"/>
    </w:p>
    <w:p>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pPr>
        <w:spacing w:line="600" w:lineRule="exact"/>
        <w:ind w:firstLine="640"/>
        <w:rPr>
          <w:rFonts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21年“三公”经费财政拨款支出决算为</w:t>
      </w:r>
      <w:r>
        <w:rPr>
          <w:rFonts w:hint="eastAsia" w:ascii="仿宋" w:hAnsi="仿宋" w:eastAsia="仿宋"/>
          <w:sz w:val="32"/>
          <w:szCs w:val="32"/>
          <w:lang w:val="en-US" w:eastAsia="zh-CN"/>
        </w:rPr>
        <w:t>20.69</w:t>
      </w:r>
      <w:r>
        <w:rPr>
          <w:rFonts w:hint="eastAsia" w:ascii="仿宋" w:hAnsi="仿宋" w:eastAsia="仿宋"/>
          <w:sz w:val="32"/>
          <w:szCs w:val="32"/>
        </w:rPr>
        <w:t>万元，完成预算</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w:t>
      </w:r>
    </w:p>
    <w:p>
      <w:pPr>
        <w:spacing w:line="60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hint="eastAsia" w:ascii="仿宋" w:hAnsi="仿宋" w:eastAsia="仿宋"/>
          <w:sz w:val="32"/>
          <w:szCs w:val="32"/>
          <w:lang w:val="en-US" w:eastAsia="zh-CN"/>
        </w:rPr>
        <w:t>20.69</w:t>
      </w:r>
      <w:r>
        <w:rPr>
          <w:rFonts w:hint="eastAsia" w:ascii="仿宋" w:hAnsi="仿宋" w:eastAsia="仿宋"/>
          <w:sz w:val="32"/>
          <w:szCs w:val="32"/>
        </w:rPr>
        <w:t>万元，占</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；公务接待费支出决算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。具体情况如下：</w:t>
      </w:r>
    </w:p>
    <w:p>
      <w:pPr>
        <w:spacing w:line="600" w:lineRule="exact"/>
        <w:jc w:val="center"/>
        <w:rPr>
          <w:rFonts w:hint="eastAsia" w:ascii="仿宋" w:hAnsi="仿宋" w:eastAsia="仿宋"/>
          <w:sz w:val="32"/>
          <w:szCs w:val="32"/>
        </w:rPr>
      </w:pPr>
    </w:p>
    <w:p>
      <w:pPr>
        <w:spacing w:line="600" w:lineRule="exact"/>
        <w:jc w:val="center"/>
        <w:rPr>
          <w:rFonts w:hint="eastAsia" w:ascii="仿宋" w:hAnsi="仿宋" w:eastAsia="仿宋"/>
          <w:sz w:val="32"/>
          <w:szCs w:val="32"/>
        </w:rPr>
      </w:pPr>
    </w:p>
    <w:p>
      <w:pPr>
        <w:spacing w:line="600" w:lineRule="exact"/>
        <w:jc w:val="center"/>
        <w:rPr>
          <w:rFonts w:hint="eastAsia" w:ascii="仿宋" w:hAnsi="仿宋" w:eastAsia="仿宋"/>
          <w:sz w:val="32"/>
          <w:szCs w:val="32"/>
        </w:rPr>
      </w:pPr>
    </w:p>
    <w:p>
      <w:pPr>
        <w:spacing w:line="600" w:lineRule="exact"/>
        <w:jc w:val="center"/>
        <w:rPr>
          <w:rFonts w:hint="eastAsia" w:ascii="仿宋" w:hAnsi="仿宋" w:eastAsia="仿宋"/>
          <w:sz w:val="32"/>
          <w:szCs w:val="32"/>
        </w:rPr>
      </w:pPr>
    </w:p>
    <w:p>
      <w:pPr>
        <w:spacing w:line="600" w:lineRule="exact"/>
        <w:jc w:val="center"/>
        <w:rPr>
          <w:rFonts w:ascii="仿宋" w:hAnsi="仿宋" w:eastAsia="仿宋"/>
          <w:sz w:val="32"/>
          <w:szCs w:val="32"/>
        </w:rPr>
      </w:pPr>
      <w:r>
        <w:rPr>
          <w:rFonts w:hint="eastAsia" w:ascii="仿宋" w:hAnsi="仿宋" w:eastAsia="仿宋"/>
          <w:sz w:val="32"/>
          <w:szCs w:val="32"/>
        </w:rPr>
        <w:drawing>
          <wp:anchor distT="0" distB="0" distL="114300" distR="114300" simplePos="0" relativeHeight="251663360" behindDoc="1" locked="0" layoutInCell="1" allowOverlap="1">
            <wp:simplePos x="0" y="0"/>
            <wp:positionH relativeFrom="column">
              <wp:posOffset>452120</wp:posOffset>
            </wp:positionH>
            <wp:positionV relativeFrom="paragraph">
              <wp:posOffset>147320</wp:posOffset>
            </wp:positionV>
            <wp:extent cx="4575810" cy="2543810"/>
            <wp:effectExtent l="4445" t="4445" r="10795" b="23495"/>
            <wp:wrapTight wrapText="bothSides">
              <wp:wrapPolygon>
                <wp:start x="-21" y="-38"/>
                <wp:lineTo x="-21" y="21476"/>
                <wp:lineTo x="21561" y="21476"/>
                <wp:lineTo x="21561" y="-38"/>
                <wp:lineTo x="-21" y="-38"/>
              </wp:wrapPolygon>
            </wp:wrapTight>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spacing w:line="600" w:lineRule="exact"/>
        <w:ind w:firstLine="640"/>
        <w:rPr>
          <w:rFonts w:ascii="仿宋_GB2312" w:eastAsia="仿宋_GB2312"/>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b/>
          <w:sz w:val="32"/>
          <w:szCs w:val="32"/>
          <w:lang w:val="en-US" w:eastAsia="zh-CN"/>
        </w:rPr>
        <w:t>0</w:t>
      </w:r>
      <w:r>
        <w:rPr>
          <w:rFonts w:hint="eastAsia" w:ascii="仿宋_GB2312" w:eastAsia="仿宋_GB2312"/>
          <w:sz w:val="32"/>
          <w:szCs w:val="32"/>
        </w:rPr>
        <w:t>万元，</w:t>
      </w:r>
      <w:r>
        <w:rPr>
          <w:rStyle w:val="14"/>
          <w:rFonts w:hint="eastAsia" w:ascii="仿宋" w:hAnsi="仿宋" w:eastAsia="仿宋"/>
          <w:b w:val="0"/>
          <w:bCs/>
          <w:sz w:val="32"/>
          <w:szCs w:val="32"/>
        </w:rPr>
        <w:t>完成预算</w:t>
      </w:r>
      <w:r>
        <w:rPr>
          <w:rStyle w:val="14"/>
          <w:rFonts w:hint="eastAsia" w:ascii="仿宋" w:hAnsi="仿宋" w:eastAsia="仿宋"/>
          <w:b w:val="0"/>
          <w:bCs/>
          <w:sz w:val="32"/>
          <w:szCs w:val="32"/>
          <w:lang w:val="en-US" w:eastAsia="zh-CN"/>
        </w:rPr>
        <w:t>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全年安排因公出国（境）团组</w:t>
      </w:r>
      <w:r>
        <w:rPr>
          <w:rFonts w:hint="eastAsia" w:ascii="仿宋_GB2312" w:eastAsia="仿宋_GB2312"/>
          <w:sz w:val="32"/>
          <w:szCs w:val="32"/>
          <w:lang w:val="en-US" w:eastAsia="zh-CN"/>
        </w:rPr>
        <w:t>0</w:t>
      </w:r>
      <w:r>
        <w:rPr>
          <w:rFonts w:hint="eastAsia" w:ascii="仿宋_GB2312" w:eastAsia="仿宋_GB2312"/>
          <w:sz w:val="32"/>
          <w:szCs w:val="32"/>
        </w:rPr>
        <w:t>次，出国（境）</w:t>
      </w:r>
      <w:r>
        <w:rPr>
          <w:rFonts w:hint="eastAsia" w:ascii="仿宋_GB2312" w:eastAsia="仿宋_GB2312"/>
          <w:sz w:val="32"/>
          <w:szCs w:val="32"/>
          <w:lang w:val="en-US" w:eastAsia="zh-CN"/>
        </w:rPr>
        <w:t>0</w:t>
      </w:r>
      <w:r>
        <w:rPr>
          <w:rFonts w:hint="eastAsia" w:ascii="仿宋_GB2312" w:eastAsia="仿宋_GB2312"/>
          <w:sz w:val="32"/>
          <w:szCs w:val="32"/>
        </w:rPr>
        <w:t>人。因公出国（境）支出决算比</w:t>
      </w:r>
      <w:r>
        <w:rPr>
          <w:rFonts w:ascii="仿宋_GB2312" w:eastAsia="仿宋_GB2312"/>
          <w:sz w:val="32"/>
          <w:szCs w:val="32"/>
        </w:rPr>
        <w:t>20</w:t>
      </w:r>
      <w:r>
        <w:rPr>
          <w:rFonts w:hint="eastAsia" w:ascii="仿宋_GB2312" w:eastAsia="仿宋_GB2312"/>
          <w:sz w:val="32"/>
          <w:szCs w:val="32"/>
        </w:rPr>
        <w:t>20年增加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b/>
          <w:sz w:val="32"/>
          <w:szCs w:val="32"/>
          <w:lang w:val="en-US" w:eastAsia="zh-CN"/>
        </w:rPr>
        <w:t>20.69</w:t>
      </w:r>
      <w:r>
        <w:rPr>
          <w:rFonts w:hint="eastAsia" w:ascii="仿宋_GB2312" w:eastAsia="仿宋_GB2312"/>
          <w:sz w:val="32"/>
          <w:szCs w:val="32"/>
        </w:rPr>
        <w:t>万元,</w:t>
      </w:r>
      <w:r>
        <w:rPr>
          <w:rStyle w:val="14"/>
          <w:rFonts w:hint="eastAsia" w:ascii="仿宋" w:hAnsi="仿宋" w:eastAsia="仿宋"/>
          <w:b w:val="0"/>
          <w:bCs/>
          <w:sz w:val="32"/>
          <w:szCs w:val="32"/>
        </w:rPr>
        <w:t>完成预算</w:t>
      </w:r>
      <w:r>
        <w:rPr>
          <w:rStyle w:val="14"/>
          <w:rFonts w:hint="eastAsia" w:ascii="仿宋" w:hAnsi="仿宋" w:eastAsia="仿宋"/>
          <w:b w:val="0"/>
          <w:bCs/>
          <w:sz w:val="32"/>
          <w:szCs w:val="32"/>
          <w:lang w:val="en-US" w:eastAsia="zh-CN"/>
        </w:rPr>
        <w:t>100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20年增加</w:t>
      </w:r>
      <w:r>
        <w:rPr>
          <w:rFonts w:hint="eastAsia" w:ascii="仿宋_GB2312" w:eastAsia="仿宋_GB2312"/>
          <w:sz w:val="32"/>
          <w:szCs w:val="32"/>
          <w:lang w:val="en-US" w:eastAsia="zh-CN"/>
        </w:rPr>
        <w:t>19.74</w:t>
      </w:r>
      <w:r>
        <w:rPr>
          <w:rFonts w:hint="eastAsia" w:ascii="仿宋_GB2312" w:eastAsia="仿宋_GB2312"/>
          <w:sz w:val="32"/>
          <w:szCs w:val="32"/>
        </w:rPr>
        <w:t>万元。主要原因是</w:t>
      </w:r>
      <w:r>
        <w:rPr>
          <w:rFonts w:hint="eastAsia" w:ascii="仿宋_GB2312" w:eastAsia="仿宋_GB2312"/>
          <w:sz w:val="32"/>
          <w:szCs w:val="32"/>
          <w:lang w:val="en-US" w:eastAsia="zh-CN"/>
        </w:rPr>
        <w:t>2021年新采购了一台救护车</w:t>
      </w:r>
      <w:r>
        <w:rPr>
          <w:rFonts w:hint="eastAsia" w:ascii="仿宋_GB2312" w:eastAsia="仿宋_GB2312"/>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b/>
          <w:sz w:val="32"/>
          <w:szCs w:val="32"/>
          <w:lang w:val="en-US" w:eastAsia="zh-CN"/>
        </w:rPr>
        <w:t>19.36</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1</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救护车</w:t>
      </w:r>
      <w:r>
        <w:rPr>
          <w:rFonts w:hint="eastAsia" w:ascii="仿宋_GB2312" w:eastAsia="仿宋_GB2312"/>
          <w:sz w:val="32"/>
          <w:szCs w:val="32"/>
          <w:lang w:val="en-US" w:eastAsia="zh-CN"/>
        </w:rPr>
        <w:t>1辆，</w:t>
      </w:r>
      <w:r>
        <w:rPr>
          <w:rFonts w:hint="eastAsia" w:ascii="仿宋_GB2312" w:eastAsia="仿宋_GB2312"/>
          <w:sz w:val="32"/>
          <w:szCs w:val="32"/>
        </w:rPr>
        <w:t>主要用于</w:t>
      </w:r>
      <w:r>
        <w:rPr>
          <w:rFonts w:hint="eastAsia" w:ascii="仿宋_GB2312" w:eastAsia="仿宋_GB2312"/>
          <w:sz w:val="32"/>
          <w:szCs w:val="32"/>
          <w:lang w:eastAsia="zh-CN"/>
        </w:rPr>
        <w:t>提高重大公共卫生服务能力，新冠疫情防控</w:t>
      </w: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w:t>
      </w:r>
      <w:r>
        <w:rPr>
          <w:rFonts w:hint="eastAsia" w:ascii="仿宋_GB2312" w:eastAsia="仿宋_GB2312"/>
          <w:sz w:val="32"/>
          <w:szCs w:val="32"/>
          <w:lang w:val="en-US" w:eastAsia="zh-CN"/>
        </w:rPr>
        <w:t>1</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r>
        <w:rPr>
          <w:rFonts w:hint="eastAsia" w:ascii="仿宋_GB2312" w:eastAsia="仿宋_GB2312"/>
          <w:sz w:val="32"/>
          <w:szCs w:val="32"/>
          <w:lang w:eastAsia="zh-CN"/>
        </w:rPr>
        <w:t>、救护车</w:t>
      </w:r>
      <w:r>
        <w:rPr>
          <w:rFonts w:hint="eastAsia" w:ascii="仿宋_GB2312" w:eastAsia="仿宋_GB2312"/>
          <w:sz w:val="32"/>
          <w:szCs w:val="32"/>
          <w:lang w:val="en-US" w:eastAsia="zh-CN"/>
        </w:rPr>
        <w:t>1辆</w:t>
      </w:r>
      <w:r>
        <w:rPr>
          <w:rFonts w:hint="eastAsia" w:ascii="仿宋_GB2312" w:eastAsia="仿宋_GB2312"/>
          <w:sz w:val="32"/>
          <w:szCs w:val="32"/>
        </w:rPr>
        <w:t>。</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b/>
          <w:sz w:val="32"/>
          <w:szCs w:val="32"/>
          <w:lang w:val="en-US" w:eastAsia="zh-CN"/>
        </w:rPr>
        <w:t>1.33</w:t>
      </w:r>
      <w:r>
        <w:rPr>
          <w:rFonts w:hint="eastAsia" w:ascii="仿宋_GB2312" w:eastAsia="仿宋_GB2312"/>
          <w:sz w:val="32"/>
          <w:szCs w:val="32"/>
        </w:rPr>
        <w:t>万元。主要用于</w:t>
      </w:r>
      <w:r>
        <w:rPr>
          <w:rFonts w:hint="eastAsia" w:ascii="仿宋" w:hAnsi="仿宋" w:eastAsia="仿宋" w:cs="仿宋"/>
          <w:sz w:val="32"/>
          <w:szCs w:val="32"/>
          <w:lang w:eastAsia="zh-CN"/>
        </w:rPr>
        <w:t>老年人年度体检、疫情防控</w:t>
      </w:r>
      <w:r>
        <w:rPr>
          <w:rFonts w:hint="eastAsia" w:ascii="仿宋_GB2312" w:eastAsia="仿宋_GB2312"/>
          <w:sz w:val="32"/>
          <w:szCs w:val="32"/>
        </w:rPr>
        <w:t>所需的公务用车燃料费、维修费、过路过桥费、保险费等支出。</w:t>
      </w:r>
    </w:p>
    <w:p>
      <w:pPr>
        <w:spacing w:line="600" w:lineRule="exact"/>
        <w:ind w:firstLine="640"/>
        <w:rPr>
          <w:rFonts w:hint="eastAsia" w:ascii="仿宋_GB2312" w:eastAsia="仿宋_GB2312"/>
          <w:sz w:val="32"/>
          <w:szCs w:val="32"/>
          <w:lang w:eastAsia="zh-CN"/>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b/>
          <w:sz w:val="32"/>
          <w:szCs w:val="32"/>
          <w:lang w:val="en-US" w:eastAsia="zh-CN"/>
        </w:rPr>
        <w:t>0</w:t>
      </w:r>
      <w:r>
        <w:rPr>
          <w:rFonts w:hint="eastAsia" w:ascii="仿宋_GB2312" w:eastAsia="仿宋_GB2312"/>
          <w:sz w:val="32"/>
          <w:szCs w:val="32"/>
        </w:rPr>
        <w:t>万元，</w:t>
      </w:r>
      <w:r>
        <w:rPr>
          <w:rStyle w:val="14"/>
          <w:rFonts w:hint="eastAsia" w:ascii="仿宋" w:hAnsi="仿宋" w:eastAsia="仿宋"/>
          <w:b w:val="0"/>
          <w:bCs/>
          <w:sz w:val="32"/>
          <w:szCs w:val="32"/>
        </w:rPr>
        <w:t>完成预算</w:t>
      </w:r>
      <w:r>
        <w:rPr>
          <w:rStyle w:val="14"/>
          <w:rFonts w:hint="eastAsia" w:ascii="仿宋" w:hAnsi="仿宋" w:eastAsia="仿宋"/>
          <w:b w:val="0"/>
          <w:bCs/>
          <w:sz w:val="32"/>
          <w:szCs w:val="32"/>
          <w:lang w:val="en-US" w:eastAsia="zh-CN"/>
        </w:rPr>
        <w:t>100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20年减少</w:t>
      </w:r>
      <w:r>
        <w:rPr>
          <w:rFonts w:hint="eastAsia" w:ascii="仿宋_GB2312" w:eastAsia="仿宋_GB2312"/>
          <w:sz w:val="32"/>
          <w:szCs w:val="32"/>
          <w:lang w:val="en-US" w:eastAsia="zh-CN"/>
        </w:rPr>
        <w:t>0.03</w:t>
      </w:r>
      <w:r>
        <w:rPr>
          <w:rFonts w:hint="eastAsia" w:ascii="仿宋_GB2312" w:eastAsia="仿宋_GB2312"/>
          <w:sz w:val="32"/>
          <w:szCs w:val="32"/>
        </w:rPr>
        <w:t>万元，下降</w:t>
      </w:r>
      <w:r>
        <w:rPr>
          <w:rFonts w:hint="eastAsia" w:ascii="仿宋_GB2312" w:eastAsia="仿宋_GB2312"/>
          <w:sz w:val="32"/>
          <w:szCs w:val="32"/>
          <w:lang w:val="en-US" w:eastAsia="zh-CN"/>
        </w:rPr>
        <w:t>100</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eastAsia="zh-CN"/>
        </w:rPr>
        <w:t>今年因疫情防控没有接待。</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b/>
          <w:sz w:val="32"/>
          <w:szCs w:val="32"/>
          <w:lang w:val="en-US" w:eastAsia="zh-CN"/>
        </w:rPr>
        <w:t>0</w:t>
      </w:r>
      <w:r>
        <w:rPr>
          <w:rFonts w:hint="eastAsia" w:ascii="仿宋_GB2312" w:eastAsia="仿宋_GB2312"/>
          <w:sz w:val="32"/>
          <w:szCs w:val="32"/>
        </w:rPr>
        <w:t>万元，国内公务接待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3" w:firstLineChars="200"/>
        <w:rPr>
          <w:rFonts w:ascii="黑体" w:eastAsia="黑体"/>
          <w:sz w:val="32"/>
          <w:szCs w:val="32"/>
        </w:rPr>
      </w:pPr>
      <w:r>
        <w:rPr>
          <w:rFonts w:hint="eastAsia" w:ascii="仿宋" w:hAnsi="仿宋" w:eastAsia="仿宋"/>
          <w:b/>
          <w:sz w:val="32"/>
          <w:szCs w:val="32"/>
        </w:rPr>
        <w:t>外事接待支出</w:t>
      </w:r>
      <w:r>
        <w:rPr>
          <w:rFonts w:hint="eastAsia" w:ascii="仿宋" w:hAnsi="仿宋" w:eastAsia="仿宋"/>
          <w:b/>
          <w:sz w:val="32"/>
          <w:szCs w:val="32"/>
          <w:lang w:val="en-US" w:eastAsia="zh-CN"/>
        </w:rPr>
        <w:t>0</w:t>
      </w:r>
      <w:r>
        <w:rPr>
          <w:rFonts w:hint="eastAsia" w:ascii="仿宋_GB2312" w:eastAsia="仿宋_GB2312"/>
          <w:sz w:val="32"/>
          <w:szCs w:val="32"/>
        </w:rPr>
        <w:t>万元，外事接待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人，共计支出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val="en-US" w:eastAsia="zh-CN"/>
        </w:rPr>
        <w:t>0</w:t>
      </w:r>
      <w:bookmarkStart w:id="40" w:name="_Toc15396610"/>
      <w:bookmarkStart w:id="41" w:name="_Toc15377218"/>
    </w:p>
    <w:p>
      <w:pPr>
        <w:spacing w:line="600" w:lineRule="exact"/>
        <w:ind w:firstLine="640"/>
        <w:outlineLvl w:val="1"/>
        <w:rPr>
          <w:rStyle w:val="25"/>
          <w:rFonts w:ascii="黑体" w:hAnsi="黑体" w:eastAsia="黑体"/>
        </w:rPr>
      </w:pPr>
      <w:r>
        <w:rPr>
          <w:rFonts w:hint="eastAsia" w:ascii="黑体" w:eastAsia="黑体"/>
          <w:sz w:val="32"/>
          <w:szCs w:val="32"/>
        </w:rPr>
        <w:t>八、</w:t>
      </w:r>
      <w:r>
        <w:rPr>
          <w:rStyle w:val="25"/>
          <w:rFonts w:hint="eastAsia" w:ascii="黑体" w:hAnsi="黑体" w:eastAsia="黑体"/>
          <w:b w:val="0"/>
        </w:rPr>
        <w:t>政府性基金预算支出决算情况说明</w:t>
      </w:r>
      <w:bookmarkEnd w:id="40"/>
      <w:bookmarkEnd w:id="41"/>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numPr>
          <w:ilvl w:val="0"/>
          <w:numId w:val="4"/>
        </w:numPr>
        <w:spacing w:line="600" w:lineRule="exact"/>
        <w:ind w:firstLine="640"/>
        <w:outlineLvl w:val="1"/>
        <w:rPr>
          <w:rStyle w:val="25"/>
          <w:rFonts w:ascii="黑体" w:hAnsi="黑体" w:eastAsia="黑体"/>
          <w:b w:val="0"/>
        </w:rPr>
      </w:pPr>
      <w:bookmarkStart w:id="42" w:name="_Toc15377219"/>
      <w:bookmarkStart w:id="43" w:name="_Toc15396611"/>
      <w:r>
        <w:rPr>
          <w:rStyle w:val="25"/>
          <w:rFonts w:hint="eastAsia" w:ascii="黑体" w:hAnsi="黑体" w:eastAsia="黑体"/>
          <w:b w:val="0"/>
        </w:rPr>
        <w:t>国有资本经营预算支出决算情况说明</w:t>
      </w:r>
      <w:bookmarkEnd w:id="42"/>
      <w:bookmarkEnd w:id="43"/>
    </w:p>
    <w:p>
      <w:pPr>
        <w:spacing w:line="600" w:lineRule="exact"/>
        <w:ind w:firstLine="640"/>
        <w:rPr>
          <w:rFonts w:ascii="方正小标宋简体" w:hAnsi="方正小标宋简体" w:eastAsia="方正小标宋简体" w:cs="方正小标宋简体"/>
          <w:sz w:val="44"/>
          <w:szCs w:val="44"/>
        </w:rPr>
      </w:pPr>
      <w:r>
        <w:rPr>
          <w:rFonts w:ascii="仿宋_GB2312" w:eastAsia="仿宋_GB2312"/>
          <w:sz w:val="32"/>
          <w:szCs w:val="32"/>
        </w:rPr>
        <w:t>20</w:t>
      </w:r>
      <w:r>
        <w:rPr>
          <w:rFonts w:hint="eastAsia" w:ascii="仿宋_GB2312" w:eastAsia="仿宋_GB2312"/>
          <w:sz w:val="32"/>
          <w:szCs w:val="32"/>
        </w:rPr>
        <w:t>21年国有资本经营预算财政拨款支出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numPr>
          <w:ilvl w:val="0"/>
          <w:numId w:val="4"/>
        </w:numPr>
        <w:spacing w:line="600" w:lineRule="exact"/>
        <w:ind w:firstLine="640"/>
        <w:outlineLvl w:val="1"/>
        <w:rPr>
          <w:rStyle w:val="25"/>
          <w:rFonts w:ascii="黑体" w:hAnsi="黑体" w:eastAsia="黑体"/>
          <w:b w:val="0"/>
        </w:rPr>
      </w:pPr>
      <w:bookmarkStart w:id="44" w:name="_Toc15377221"/>
      <w:bookmarkStart w:id="45" w:name="_Toc15396612"/>
      <w:r>
        <w:rPr>
          <w:rStyle w:val="25"/>
          <w:rFonts w:hint="eastAsia" w:ascii="黑体" w:hAnsi="黑体" w:eastAsia="黑体"/>
          <w:b w:val="0"/>
        </w:rPr>
        <w:t>其他重要事项的情况说明</w:t>
      </w:r>
      <w:bookmarkEnd w:id="44"/>
      <w:bookmarkEnd w:id="45"/>
    </w:p>
    <w:p>
      <w:pPr>
        <w:spacing w:line="600" w:lineRule="exact"/>
        <w:ind w:firstLine="643" w:firstLineChars="200"/>
        <w:outlineLvl w:val="2"/>
        <w:rPr>
          <w:rFonts w:ascii="仿宋" w:hAnsi="仿宋" w:eastAsia="仿宋"/>
          <w:sz w:val="32"/>
          <w:szCs w:val="32"/>
        </w:rPr>
      </w:pPr>
      <w:bookmarkStart w:id="46" w:name="_Toc15377222"/>
      <w:r>
        <w:rPr>
          <w:rFonts w:hint="eastAsia" w:ascii="仿宋" w:hAnsi="仿宋" w:eastAsia="仿宋"/>
          <w:b/>
          <w:sz w:val="32"/>
          <w:szCs w:val="32"/>
        </w:rPr>
        <w:t>（一）机关运行经费支出情况</w:t>
      </w:r>
      <w:bookmarkEnd w:id="46"/>
    </w:p>
    <w:p>
      <w:pPr>
        <w:spacing w:line="600" w:lineRule="exact"/>
        <w:ind w:firstLine="640" w:firstLineChars="200"/>
        <w:rPr>
          <w:rFonts w:ascii="仿宋" w:hAnsi="仿宋" w:eastAsia="仿宋"/>
          <w:b/>
          <w:sz w:val="32"/>
          <w:szCs w:val="32"/>
        </w:rPr>
      </w:pP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sz w:val="32"/>
          <w:szCs w:val="32"/>
          <w:lang w:eastAsia="zh-CN"/>
        </w:rPr>
        <w:t>新九镇卫生院</w:t>
      </w:r>
      <w:r>
        <w:rPr>
          <w:rFonts w:hint="eastAsia" w:ascii="仿宋_GB2312" w:eastAsia="仿宋_GB2312"/>
          <w:sz w:val="32"/>
          <w:szCs w:val="32"/>
        </w:rPr>
        <w:t>机关运行经费支出</w:t>
      </w:r>
      <w:r>
        <w:rPr>
          <w:rFonts w:hint="eastAsia" w:ascii="仿宋_GB2312" w:eastAsia="仿宋_GB2312"/>
          <w:sz w:val="32"/>
          <w:szCs w:val="32"/>
          <w:lang w:val="en-US" w:eastAsia="zh-CN"/>
        </w:rPr>
        <w:t>0</w:t>
      </w:r>
      <w:r>
        <w:rPr>
          <w:rFonts w:hint="eastAsia" w:ascii="仿宋_GB2312" w:eastAsia="仿宋_GB2312"/>
          <w:sz w:val="32"/>
          <w:szCs w:val="32"/>
        </w:rPr>
        <w:t>万元，比</w:t>
      </w:r>
      <w:r>
        <w:rPr>
          <w:rFonts w:ascii="仿宋_GB2312" w:eastAsia="仿宋_GB2312"/>
          <w:sz w:val="32"/>
          <w:szCs w:val="32"/>
        </w:rPr>
        <w:t>20</w:t>
      </w:r>
      <w:r>
        <w:rPr>
          <w:rFonts w:hint="eastAsia" w:ascii="仿宋_GB2312" w:eastAsia="仿宋_GB2312"/>
          <w:sz w:val="32"/>
          <w:szCs w:val="32"/>
        </w:rPr>
        <w:t>20年增加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lang w:eastAsia="zh-CN"/>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pPr>
        <w:spacing w:line="600" w:lineRule="exact"/>
        <w:ind w:firstLine="640" w:firstLineChars="200"/>
        <w:rPr>
          <w:rFonts w:hint="eastAsia" w:ascii="仿宋" w:hAnsi="仿宋" w:eastAsia="仿宋_GB2312"/>
          <w:b/>
          <w:sz w:val="32"/>
          <w:szCs w:val="32"/>
          <w:lang w:eastAsia="zh-CN"/>
        </w:rPr>
      </w:pP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sz w:val="32"/>
          <w:szCs w:val="32"/>
          <w:lang w:eastAsia="zh-CN"/>
        </w:rPr>
        <w:t>盐边县新九镇卫生院</w:t>
      </w:r>
      <w:r>
        <w:rPr>
          <w:rFonts w:hint="eastAsia" w:ascii="仿宋_GB2312" w:eastAsia="仿宋_GB2312"/>
          <w:sz w:val="32"/>
          <w:szCs w:val="32"/>
        </w:rPr>
        <w:t>政府采购支出总额</w:t>
      </w:r>
      <w:r>
        <w:rPr>
          <w:rFonts w:hint="eastAsia" w:ascii="仿宋_GB2312" w:eastAsia="仿宋_GB2312"/>
          <w:sz w:val="32"/>
          <w:szCs w:val="32"/>
          <w:lang w:val="en-US" w:eastAsia="zh-CN"/>
        </w:rPr>
        <w:t>70.19</w:t>
      </w:r>
      <w:r>
        <w:rPr>
          <w:rFonts w:hint="eastAsia" w:ascii="仿宋_GB2312" w:eastAsia="仿宋_GB2312"/>
          <w:sz w:val="32"/>
          <w:szCs w:val="32"/>
        </w:rPr>
        <w:t>万元，其中：政府采购货物支出</w:t>
      </w:r>
      <w:r>
        <w:rPr>
          <w:rFonts w:hint="eastAsia" w:ascii="仿宋_GB2312" w:eastAsia="仿宋_GB2312"/>
          <w:sz w:val="32"/>
          <w:szCs w:val="32"/>
          <w:lang w:val="en-US" w:eastAsia="zh-CN"/>
        </w:rPr>
        <w:t>0</w:t>
      </w:r>
      <w:r>
        <w:rPr>
          <w:rFonts w:hint="eastAsia" w:ascii="仿宋_GB2312" w:eastAsia="仿宋_GB2312"/>
          <w:sz w:val="32"/>
          <w:szCs w:val="32"/>
        </w:rPr>
        <w:t>万元、政府采购工程支出</w:t>
      </w:r>
      <w:r>
        <w:rPr>
          <w:rFonts w:hint="eastAsia" w:ascii="仿宋_GB2312" w:eastAsia="仿宋_GB2312"/>
          <w:sz w:val="32"/>
          <w:szCs w:val="32"/>
          <w:lang w:val="en-US" w:eastAsia="zh-CN"/>
        </w:rPr>
        <w:t>0</w:t>
      </w:r>
      <w:r>
        <w:rPr>
          <w:rFonts w:hint="eastAsia" w:ascii="仿宋_GB2312" w:eastAsia="仿宋_GB2312"/>
          <w:sz w:val="32"/>
          <w:szCs w:val="32"/>
        </w:rPr>
        <w:t>万元、政府采购服务支出</w:t>
      </w:r>
      <w:r>
        <w:rPr>
          <w:rFonts w:hint="eastAsia" w:ascii="仿宋_GB2312" w:eastAsia="仿宋_GB2312"/>
          <w:sz w:val="32"/>
          <w:szCs w:val="32"/>
          <w:lang w:val="en-US" w:eastAsia="zh-CN"/>
        </w:rPr>
        <w:t>0</w:t>
      </w:r>
      <w:r>
        <w:rPr>
          <w:rFonts w:hint="eastAsia" w:ascii="仿宋_GB2312" w:eastAsia="仿宋_GB2312"/>
          <w:sz w:val="32"/>
          <w:szCs w:val="32"/>
        </w:rPr>
        <w:t>万元。主要用于</w:t>
      </w:r>
      <w:r>
        <w:rPr>
          <w:rFonts w:hint="eastAsia" w:ascii="仿宋_GB2312" w:eastAsia="仿宋_GB2312"/>
          <w:sz w:val="32"/>
          <w:szCs w:val="32"/>
          <w:lang w:eastAsia="zh-CN"/>
        </w:rPr>
        <w:t>疫情防控</w:t>
      </w:r>
      <w:r>
        <w:rPr>
          <w:rFonts w:hint="eastAsia" w:ascii="仿宋_GB2312" w:eastAsia="仿宋_GB2312"/>
          <w:sz w:val="32"/>
          <w:szCs w:val="32"/>
        </w:rPr>
        <w:t>。授予中小企业合同金额</w:t>
      </w:r>
      <w:r>
        <w:rPr>
          <w:rFonts w:hint="eastAsia" w:ascii="仿宋_GB2312" w:eastAsia="仿宋_GB2312"/>
          <w:sz w:val="32"/>
          <w:szCs w:val="32"/>
          <w:lang w:val="en-US" w:eastAsia="zh-CN"/>
        </w:rPr>
        <w:t>70.19</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100</w:t>
      </w:r>
      <w:r>
        <w:rPr>
          <w:rFonts w:ascii="仿宋_GB2312" w:eastAsia="仿宋_GB2312"/>
          <w:sz w:val="32"/>
          <w:szCs w:val="32"/>
        </w:rPr>
        <w:t>%</w:t>
      </w:r>
      <w:r>
        <w:rPr>
          <w:rFonts w:hint="eastAsia" w:ascii="仿宋_GB2312" w:eastAsia="仿宋_GB2312"/>
          <w:sz w:val="32"/>
          <w:szCs w:val="32"/>
        </w:rPr>
        <w:t>，其中：授予小微企业合同金额</w:t>
      </w:r>
      <w:r>
        <w:rPr>
          <w:rFonts w:hint="eastAsia" w:ascii="仿宋_GB2312" w:eastAsia="仿宋_GB2312"/>
          <w:sz w:val="32"/>
          <w:szCs w:val="32"/>
          <w:lang w:val="en-US" w:eastAsia="zh-CN"/>
        </w:rPr>
        <w:t>0</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lang w:eastAsia="zh-CN"/>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pPr>
        <w:autoSpaceDE w:val="0"/>
        <w:autoSpaceDN w:val="0"/>
        <w:adjustRightInd w:val="0"/>
        <w:spacing w:line="600" w:lineRule="exact"/>
        <w:ind w:firstLine="640" w:firstLineChars="200"/>
        <w:jc w:val="left"/>
        <w:rPr>
          <w:rFonts w:ascii="仿宋" w:hAnsi="仿宋" w:eastAsia="仿宋"/>
          <w:b/>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eastAsia="仿宋_GB2312"/>
          <w:sz w:val="32"/>
          <w:szCs w:val="32"/>
          <w:lang w:eastAsia="zh-CN"/>
        </w:rPr>
        <w:t>盐边县新九镇卫生院</w:t>
      </w:r>
      <w:r>
        <w:rPr>
          <w:rFonts w:hint="eastAsia" w:ascii="仿宋_GB2312" w:eastAsia="仿宋_GB2312"/>
          <w:sz w:val="32"/>
          <w:szCs w:val="32"/>
        </w:rPr>
        <w:t>共有车辆</w:t>
      </w:r>
      <w:r>
        <w:rPr>
          <w:rFonts w:hint="eastAsia" w:ascii="仿宋_GB2312" w:eastAsia="仿宋_GB2312"/>
          <w:sz w:val="32"/>
          <w:szCs w:val="32"/>
          <w:lang w:val="en-US" w:eastAsia="zh-CN"/>
        </w:rPr>
        <w:t>1</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1</w:t>
      </w:r>
      <w:r>
        <w:rPr>
          <w:rFonts w:hint="eastAsia" w:ascii="仿宋_GB2312" w:eastAsia="仿宋_GB2312"/>
          <w:sz w:val="32"/>
          <w:szCs w:val="32"/>
        </w:rPr>
        <w:t>辆</w:t>
      </w:r>
      <w:r>
        <w:rPr>
          <w:rFonts w:hint="eastAsia" w:ascii="仿宋_GB2312" w:eastAsia="仿宋_GB2312"/>
          <w:sz w:val="32"/>
          <w:szCs w:val="32"/>
          <w:lang w:eastAsia="zh-CN"/>
        </w:rPr>
        <w:t>，</w:t>
      </w:r>
      <w:r>
        <w:rPr>
          <w:rFonts w:hint="eastAsia" w:ascii="仿宋_GB2312" w:eastAsia="仿宋_GB2312"/>
          <w:sz w:val="32"/>
          <w:szCs w:val="32"/>
        </w:rPr>
        <w:t>其他用车主要是用于</w:t>
      </w:r>
      <w:r>
        <w:rPr>
          <w:rFonts w:hint="eastAsia" w:ascii="仿宋_GB2312" w:eastAsia="仿宋_GB2312"/>
          <w:sz w:val="32"/>
          <w:szCs w:val="32"/>
          <w:lang w:eastAsia="zh-CN"/>
        </w:rPr>
        <w:t>老年人体检及疫情防控核酸采、送样等。</w:t>
      </w:r>
      <w:r>
        <w:rPr>
          <w:rFonts w:hint="eastAsia" w:ascii="仿宋_GB2312" w:eastAsia="仿宋_GB2312"/>
          <w:sz w:val="32"/>
          <w:szCs w:val="32"/>
        </w:rPr>
        <w:t>单价</w:t>
      </w:r>
      <w:r>
        <w:rPr>
          <w:rFonts w:ascii="仿宋_GB2312" w:eastAsia="仿宋_GB2312"/>
          <w:sz w:val="32"/>
          <w:szCs w:val="32"/>
        </w:rPr>
        <w:t>50</w:t>
      </w:r>
      <w:r>
        <w:rPr>
          <w:rFonts w:hint="eastAsia" w:ascii="仿宋_GB2312" w:eastAsia="仿宋_GB2312"/>
          <w:sz w:val="32"/>
          <w:szCs w:val="32"/>
        </w:rPr>
        <w:t>万元以上通用设备</w:t>
      </w:r>
      <w:r>
        <w:rPr>
          <w:rFonts w:hint="eastAsia" w:ascii="仿宋_GB2312" w:eastAsia="仿宋_GB2312"/>
          <w:sz w:val="32"/>
          <w:szCs w:val="32"/>
          <w:lang w:val="en-US" w:eastAsia="zh-CN"/>
        </w:rPr>
        <w:t>0</w:t>
      </w:r>
      <w:r>
        <w:rPr>
          <w:rFonts w:hint="eastAsia" w:ascii="仿宋_GB2312" w:eastAsia="仿宋_GB2312"/>
          <w:sz w:val="32"/>
          <w:szCs w:val="32"/>
        </w:rPr>
        <w:t>台，单价</w:t>
      </w:r>
      <w:r>
        <w:rPr>
          <w:rFonts w:ascii="仿宋_GB2312" w:eastAsia="仿宋_GB2312"/>
          <w:sz w:val="32"/>
          <w:szCs w:val="32"/>
        </w:rPr>
        <w:t>100</w:t>
      </w:r>
      <w:r>
        <w:rPr>
          <w:rFonts w:hint="eastAsia" w:ascii="仿宋_GB2312" w:eastAsia="仿宋_GB2312"/>
          <w:sz w:val="32"/>
          <w:szCs w:val="32"/>
        </w:rPr>
        <w:t>万元以上专用设备</w:t>
      </w:r>
      <w:r>
        <w:rPr>
          <w:rFonts w:hint="eastAsia" w:ascii="仿宋_GB2312" w:eastAsia="仿宋_GB2312"/>
          <w:sz w:val="32"/>
          <w:szCs w:val="32"/>
          <w:lang w:val="en-US" w:eastAsia="zh-CN"/>
        </w:rPr>
        <w:t>0</w:t>
      </w:r>
      <w:r>
        <w:rPr>
          <w:rFonts w:hint="eastAsia" w:ascii="仿宋_GB2312" w:eastAsia="仿宋_GB2312"/>
          <w:sz w:val="32"/>
          <w:szCs w:val="32"/>
        </w:rPr>
        <w:t>台。</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根据预算绩效管理要求，本单位在2021年度预算编制阶段，组织对</w:t>
      </w:r>
      <w:r>
        <w:rPr>
          <w:rFonts w:hint="eastAsia" w:ascii="仿宋_GB2312" w:hAnsi="仿宋_GB2312" w:eastAsia="仿宋_GB2312" w:cs="仿宋_GB2312"/>
          <w:sz w:val="32"/>
          <w:szCs w:val="32"/>
          <w:lang w:eastAsia="zh-CN"/>
        </w:rPr>
        <w:t>整体、基本公共卫生服务、基本药物制度实施开展了预算事前绩效评估，</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个项目开展绩效监控，年终执行完毕后，对</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个项目开展了绩效自评，2021年特定目标类部门预算项目绩效目标自评表见附件（第四部分）。</w:t>
      </w:r>
    </w:p>
    <w:p>
      <w:pPr>
        <w:autoSpaceDE w:val="0"/>
        <w:autoSpaceDN w:val="0"/>
        <w:adjustRightInd w:val="0"/>
        <w:spacing w:line="600" w:lineRule="exact"/>
        <w:rPr>
          <w:rFonts w:ascii="仿宋" w:hAnsi="仿宋" w:eastAsia="仿宋"/>
          <w:b/>
          <w:sz w:val="32"/>
          <w:szCs w:val="32"/>
        </w:rPr>
      </w:pPr>
    </w:p>
    <w:p>
      <w:pPr>
        <w:pStyle w:val="2"/>
        <w:spacing w:before="93"/>
        <w:rPr>
          <w:highlight w:val="yellow"/>
        </w:rPr>
      </w:pP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5"/>
        </w:numPr>
        <w:spacing w:line="600" w:lineRule="exact"/>
        <w:ind w:firstLine="660" w:firstLineChars="150"/>
        <w:jc w:val="center"/>
        <w:outlineLvl w:val="0"/>
        <w:rPr>
          <w:rStyle w:val="24"/>
          <w:rFonts w:ascii="黑体" w:hAnsi="黑体" w:eastAsia="黑体"/>
          <w:b w:val="0"/>
        </w:rPr>
      </w:pPr>
      <w:bookmarkStart w:id="49" w:name="_Toc15377225"/>
      <w:bookmarkStart w:id="50" w:name="_Toc15396613"/>
      <w:r>
        <w:rPr>
          <w:rFonts w:hint="eastAsia" w:ascii="黑体" w:hAnsi="黑体" w:eastAsia="黑体"/>
          <w:sz w:val="44"/>
          <w:szCs w:val="44"/>
        </w:rPr>
        <w:t>名</w:t>
      </w:r>
      <w:r>
        <w:rPr>
          <w:rStyle w:val="24"/>
          <w:rFonts w:hint="eastAsia" w:ascii="黑体" w:hAnsi="黑体" w:eastAsia="黑体"/>
          <w:b w:val="0"/>
        </w:rPr>
        <w:t>词解释</w:t>
      </w:r>
      <w:bookmarkEnd w:id="49"/>
      <w:bookmarkEnd w:id="50"/>
    </w:p>
    <w:p>
      <w:pPr>
        <w:spacing w:line="600" w:lineRule="exact"/>
        <w:jc w:val="left"/>
        <w:rPr>
          <w:rFonts w:ascii="宋体"/>
          <w:b/>
          <w:sz w:val="44"/>
          <w:szCs w:val="44"/>
        </w:rPr>
      </w:pPr>
    </w:p>
    <w:p>
      <w:pPr>
        <w:pStyle w:val="22"/>
        <w:spacing w:line="560" w:lineRule="exact"/>
        <w:ind w:firstLine="640" w:firstLineChars="200"/>
        <w:rPr>
          <w:rFonts w:ascii="仿宋_GB2312" w:eastAsia="仿宋_GB2312"/>
          <w:color w:val="auto"/>
          <w:sz w:val="32"/>
          <w:szCs w:val="32"/>
        </w:rPr>
      </w:pPr>
      <w:bookmarkStart w:id="51" w:name="_Toc15396614"/>
      <w:bookmarkStart w:id="52" w:name="_Toc15377226"/>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3</w:t>
      </w:r>
      <w:r>
        <w:rPr>
          <w:rFonts w:ascii="仿宋_GB2312" w:eastAsia="仿宋_GB2312"/>
          <w:color w:val="auto"/>
          <w:sz w:val="32"/>
          <w:szCs w:val="32"/>
        </w:rPr>
        <w:t>.</w:t>
      </w:r>
      <w:r>
        <w:rPr>
          <w:rFonts w:hint="eastAsia" w:ascii="仿宋_GB2312" w:eastAsia="仿宋_GB2312"/>
          <w:color w:val="auto"/>
          <w:sz w:val="32"/>
          <w:szCs w:val="32"/>
        </w:rPr>
        <w:t>其他收入：指单位取得的除上述收入以外的各项收入。</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4</w:t>
      </w:r>
      <w:r>
        <w:rPr>
          <w:rFonts w:ascii="仿宋_GB2312" w:eastAsia="仿宋_GB2312"/>
          <w:color w:val="auto"/>
          <w:sz w:val="32"/>
          <w:szCs w:val="32"/>
        </w:rPr>
        <w:t>.</w:t>
      </w:r>
      <w:r>
        <w:rPr>
          <w:rFonts w:hint="eastAsia" w:ascii="仿宋_GB2312" w:eastAsia="仿宋_GB2312"/>
          <w:color w:val="auto"/>
          <w:sz w:val="32"/>
          <w:szCs w:val="32"/>
        </w:rPr>
        <w:t>使用非财政拨款结余：指事业单位使用以前年度积累的非财政拨款结余弥补当年收支差额的金额。</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5</w:t>
      </w:r>
      <w:r>
        <w:rPr>
          <w:rFonts w:ascii="仿宋_GB2312" w:eastAsia="仿宋_GB2312"/>
          <w:color w:val="auto"/>
          <w:sz w:val="32"/>
          <w:szCs w:val="32"/>
        </w:rPr>
        <w:t>.</w:t>
      </w:r>
      <w:r>
        <w:rPr>
          <w:rFonts w:hint="eastAsia" w:ascii="仿宋_GB2312" w:eastAsia="仿宋_GB2312"/>
          <w:color w:val="auto"/>
          <w:sz w:val="32"/>
          <w:szCs w:val="32"/>
        </w:rPr>
        <w:t>年初结转和结余：指以前年度尚未完成、结转到本年按有关规定继续使用的资金。</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6</w:t>
      </w:r>
      <w:r>
        <w:rPr>
          <w:rFonts w:ascii="仿宋_GB2312" w:eastAsia="仿宋_GB2312"/>
          <w:color w:val="auto"/>
          <w:sz w:val="32"/>
          <w:szCs w:val="32"/>
        </w:rPr>
        <w:t>.</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7</w:t>
      </w:r>
      <w:r>
        <w:rPr>
          <w:rFonts w:hint="eastAsia" w:ascii="仿宋_GB2312" w:eastAsia="仿宋_GB2312"/>
          <w:color w:val="auto"/>
          <w:sz w:val="32"/>
          <w:szCs w:val="32"/>
        </w:rPr>
        <w:t>、年末结转和结余：指单位按有关规定结转到下年或以后年度继续使用的资金。</w:t>
      </w:r>
    </w:p>
    <w:p>
      <w:pPr>
        <w:ind w:firstLine="640" w:firstLineChars="200"/>
        <w:rPr>
          <w:rFonts w:ascii="仿宋_GB2312" w:eastAsia="仿宋_GB2312"/>
          <w:sz w:val="32"/>
          <w:szCs w:val="32"/>
        </w:rPr>
      </w:pPr>
      <w:r>
        <w:rPr>
          <w:rFonts w:hint="eastAsia" w:ascii="仿宋_GB2312" w:eastAsia="仿宋_GB2312"/>
          <w:sz w:val="32"/>
          <w:szCs w:val="32"/>
          <w:lang w:val="en-US" w:eastAsia="zh-CN"/>
        </w:rPr>
        <w:t>8</w:t>
      </w:r>
      <w:r>
        <w:rPr>
          <w:rFonts w:ascii="仿宋_GB2312" w:eastAsia="仿宋_GB2312"/>
          <w:sz w:val="32"/>
          <w:szCs w:val="32"/>
        </w:rPr>
        <w:t>.</w:t>
      </w:r>
      <w:r>
        <w:rPr>
          <w:rFonts w:hint="eastAsia" w:ascii="仿宋_GB2312" w:eastAsia="仿宋_GB2312"/>
          <w:sz w:val="32"/>
          <w:szCs w:val="32"/>
        </w:rPr>
        <w:t>社会保障和就业支出（类）行政事业单位养老支出（款）机关事业单位基本养老保险缴费支出（项）：指</w:t>
      </w:r>
      <w:r>
        <w:rPr>
          <w:rFonts w:hint="eastAsia" w:ascii="仿宋_GB2312" w:eastAsia="仿宋_GB2312"/>
          <w:sz w:val="32"/>
          <w:szCs w:val="32"/>
          <w:lang w:val="en-US" w:eastAsia="zh-CN"/>
        </w:rPr>
        <w:t>机关事业单位实施养老保险制度由单位缴纳的基本养老保险费支出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9</w:t>
      </w:r>
      <w:r>
        <w:rPr>
          <w:rFonts w:ascii="仿宋_GB2312" w:eastAsia="仿宋_GB2312"/>
          <w:sz w:val="32"/>
          <w:szCs w:val="32"/>
        </w:rPr>
        <w:t>.</w:t>
      </w:r>
      <w:r>
        <w:rPr>
          <w:rFonts w:hint="eastAsia" w:ascii="仿宋_GB2312" w:eastAsia="仿宋_GB2312"/>
          <w:sz w:val="32"/>
          <w:szCs w:val="32"/>
        </w:rPr>
        <w:t>卫生健康支出（类）基层医疗卫生机构（款）乡镇卫生院（项）：指</w:t>
      </w:r>
      <w:r>
        <w:rPr>
          <w:rFonts w:hint="eastAsia" w:ascii="仿宋_GB2312" w:eastAsia="仿宋_GB2312"/>
          <w:sz w:val="32"/>
          <w:szCs w:val="32"/>
          <w:lang w:val="en-US" w:eastAsia="zh-CN"/>
        </w:rPr>
        <w:t>用于乡镇卫生院的支出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10</w:t>
      </w:r>
      <w:r>
        <w:rPr>
          <w:rFonts w:ascii="仿宋_GB2312" w:eastAsia="仿宋_GB2312"/>
          <w:sz w:val="32"/>
          <w:szCs w:val="32"/>
        </w:rPr>
        <w:t>.</w:t>
      </w:r>
      <w:r>
        <w:rPr>
          <w:rFonts w:hint="eastAsia" w:ascii="仿宋_GB2312" w:eastAsia="仿宋_GB2312"/>
          <w:sz w:val="32"/>
          <w:szCs w:val="32"/>
        </w:rPr>
        <w:t>卫生健康支出（类）基层医疗卫生机构（款）其他基层医疗卫生机构支出（项）：指</w:t>
      </w:r>
      <w:r>
        <w:rPr>
          <w:rFonts w:hint="eastAsia" w:ascii="仿宋_GB2312" w:eastAsia="仿宋_GB2312"/>
          <w:sz w:val="32"/>
          <w:szCs w:val="32"/>
          <w:lang w:val="en-US" w:eastAsia="zh-CN"/>
        </w:rPr>
        <w:t>除上述项目以外的其他用于基层医疗卫生机构的支出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11</w:t>
      </w:r>
      <w:r>
        <w:rPr>
          <w:rFonts w:ascii="仿宋_GB2312" w:eastAsia="仿宋_GB2312"/>
          <w:sz w:val="32"/>
          <w:szCs w:val="32"/>
        </w:rPr>
        <w:t>.</w:t>
      </w:r>
      <w:r>
        <w:rPr>
          <w:rFonts w:hint="eastAsia" w:ascii="仿宋_GB2312" w:eastAsia="仿宋_GB2312"/>
          <w:sz w:val="32"/>
          <w:szCs w:val="32"/>
        </w:rPr>
        <w:t>卫生健康支出（类）公共卫生（款）基本公共卫生服务（项）：指</w:t>
      </w:r>
      <w:r>
        <w:rPr>
          <w:rFonts w:hint="eastAsia" w:ascii="仿宋_GB2312" w:eastAsia="仿宋_GB2312"/>
          <w:sz w:val="32"/>
          <w:szCs w:val="32"/>
          <w:lang w:val="en-US" w:eastAsia="zh-CN"/>
        </w:rPr>
        <w:t>基本公共卫生服务支出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12</w:t>
      </w:r>
      <w:r>
        <w:rPr>
          <w:rFonts w:ascii="仿宋_GB2312" w:eastAsia="仿宋_GB2312"/>
          <w:sz w:val="32"/>
          <w:szCs w:val="32"/>
        </w:rPr>
        <w:t>.</w:t>
      </w:r>
      <w:r>
        <w:rPr>
          <w:rFonts w:hint="eastAsia" w:ascii="仿宋_GB2312" w:eastAsia="仿宋_GB2312"/>
          <w:sz w:val="32"/>
          <w:szCs w:val="32"/>
        </w:rPr>
        <w:t>卫生健康支出（类）公共卫生（款）重大公共卫生服务（项）：指</w:t>
      </w:r>
      <w:r>
        <w:rPr>
          <w:rFonts w:hint="eastAsia" w:ascii="仿宋_GB2312" w:eastAsia="仿宋_GB2312"/>
          <w:sz w:val="32"/>
          <w:szCs w:val="32"/>
          <w:lang w:val="en-US" w:eastAsia="zh-CN"/>
        </w:rPr>
        <w:t>重大疾病、重大传染病预防控制等重大公共卫生服务项目支出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13</w:t>
      </w:r>
      <w:r>
        <w:rPr>
          <w:rFonts w:ascii="仿宋_GB2312" w:eastAsia="仿宋_GB2312"/>
          <w:sz w:val="32"/>
          <w:szCs w:val="32"/>
        </w:rPr>
        <w:t>.</w:t>
      </w:r>
      <w:r>
        <w:rPr>
          <w:rFonts w:hint="eastAsia" w:ascii="仿宋_GB2312" w:eastAsia="仿宋_GB2312"/>
          <w:sz w:val="32"/>
          <w:szCs w:val="32"/>
        </w:rPr>
        <w:t>卫生健康支出（类）公共卫生（款）其他公共卫生支出（项）：指</w:t>
      </w:r>
      <w:r>
        <w:rPr>
          <w:rFonts w:hint="eastAsia" w:ascii="仿宋_GB2312" w:eastAsia="仿宋_GB2312"/>
          <w:sz w:val="32"/>
          <w:szCs w:val="32"/>
          <w:lang w:val="en-US" w:eastAsia="zh-CN"/>
        </w:rPr>
        <w:t>除上述项目以外的其他用于公共卫生方面的支出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14</w:t>
      </w:r>
      <w:r>
        <w:rPr>
          <w:rFonts w:ascii="仿宋_GB2312" w:eastAsia="仿宋_GB2312"/>
          <w:sz w:val="32"/>
          <w:szCs w:val="32"/>
        </w:rPr>
        <w:t>.</w:t>
      </w:r>
      <w:r>
        <w:rPr>
          <w:rFonts w:hint="eastAsia" w:ascii="仿宋_GB2312" w:eastAsia="仿宋_GB2312"/>
          <w:sz w:val="32"/>
          <w:szCs w:val="32"/>
        </w:rPr>
        <w:t>卫生健康支出（类）行政事业单位医疗（款）事业单位医疗（项）：指</w:t>
      </w:r>
      <w:r>
        <w:rPr>
          <w:rFonts w:hint="eastAsia" w:ascii="仿宋_GB2312" w:eastAsia="仿宋_GB2312"/>
          <w:sz w:val="32"/>
          <w:szCs w:val="32"/>
          <w:lang w:val="en-US" w:eastAsia="zh-CN"/>
        </w:rPr>
        <w:t>财政部门安排的事业单位基本医疗保险缴费经费，未参加医疗保险的事业单位的公费医疗经费，按国家规定享受离休人员待遇的医疗经费</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15</w:t>
      </w:r>
      <w:r>
        <w:rPr>
          <w:rFonts w:ascii="仿宋_GB2312" w:eastAsia="仿宋_GB2312"/>
          <w:sz w:val="32"/>
          <w:szCs w:val="32"/>
        </w:rPr>
        <w:t>.</w:t>
      </w:r>
      <w:r>
        <w:rPr>
          <w:rFonts w:hint="eastAsia" w:ascii="仿宋_GB2312" w:eastAsia="仿宋_GB2312"/>
          <w:sz w:val="32"/>
          <w:szCs w:val="32"/>
        </w:rPr>
        <w:t>卫生健康支出（类）行政事业单位医疗（款）公务员医疗补助（项）：指</w:t>
      </w:r>
      <w:r>
        <w:rPr>
          <w:rFonts w:hint="eastAsia" w:ascii="仿宋_GB2312" w:eastAsia="仿宋_GB2312"/>
          <w:sz w:val="32"/>
          <w:szCs w:val="32"/>
          <w:lang w:val="en-US" w:eastAsia="zh-CN"/>
        </w:rPr>
        <w:t>财政部门安排的公务员医疗补助经费</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16</w:t>
      </w:r>
      <w:r>
        <w:rPr>
          <w:rFonts w:ascii="仿宋_GB2312" w:eastAsia="仿宋_GB2312"/>
          <w:sz w:val="32"/>
          <w:szCs w:val="32"/>
        </w:rPr>
        <w:t>.</w:t>
      </w:r>
      <w:r>
        <w:rPr>
          <w:rFonts w:hint="eastAsia" w:ascii="仿宋_GB2312" w:eastAsia="仿宋_GB2312"/>
          <w:sz w:val="32"/>
          <w:szCs w:val="32"/>
        </w:rPr>
        <w:t>卫生健康支出（类）其他卫生健康支出（款）其他卫生健康支出（项）：指</w:t>
      </w:r>
      <w:r>
        <w:rPr>
          <w:rFonts w:hint="eastAsia" w:ascii="仿宋_GB2312" w:eastAsia="仿宋_GB2312"/>
          <w:sz w:val="32"/>
          <w:szCs w:val="32"/>
          <w:lang w:val="en-US" w:eastAsia="zh-CN"/>
        </w:rPr>
        <w:t>除上述项目以外其他用于卫生健康方面的支出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17</w:t>
      </w:r>
      <w:r>
        <w:rPr>
          <w:rFonts w:ascii="仿宋_GB2312" w:eastAsia="仿宋_GB2312"/>
          <w:sz w:val="32"/>
          <w:szCs w:val="32"/>
        </w:rPr>
        <w:t>.</w:t>
      </w:r>
      <w:r>
        <w:rPr>
          <w:rFonts w:hint="eastAsia" w:ascii="仿宋_GB2312" w:eastAsia="仿宋_GB2312"/>
          <w:sz w:val="32"/>
          <w:szCs w:val="32"/>
        </w:rPr>
        <w:t>住房保障支出（类）住房改革支出（款）住房公积金（项）：指</w:t>
      </w:r>
      <w:r>
        <w:rPr>
          <w:rFonts w:hint="eastAsia" w:ascii="仿宋_GB2312" w:eastAsia="仿宋_GB2312"/>
          <w:sz w:val="32"/>
          <w:szCs w:val="32"/>
          <w:lang w:val="en-US" w:eastAsia="zh-CN"/>
        </w:rPr>
        <w:t>行政事业单位按人力资源和社会保障部、财政部规定的基本工资和津贴补贴以及规定比例为职工缴纳的住房公积金</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18</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19</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20</w:t>
      </w:r>
      <w:r>
        <w:rPr>
          <w:rFonts w:ascii="仿宋_GB2312" w:eastAsia="仿宋_GB2312"/>
          <w:color w:val="auto"/>
          <w:sz w:val="32"/>
          <w:szCs w:val="32"/>
        </w:rPr>
        <w:t>.</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21</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4"/>
          <w:rFonts w:ascii="黑体" w:hAnsi="黑体" w:eastAsia="黑体"/>
          <w:b w:val="0"/>
        </w:rPr>
      </w:pPr>
      <w:r>
        <w:rPr>
          <w:rFonts w:ascii="宋体"/>
          <w:b/>
          <w:sz w:val="44"/>
          <w:szCs w:val="44"/>
        </w:rPr>
        <w:br w:type="page"/>
      </w:r>
      <w:r>
        <w:rPr>
          <w:rFonts w:hint="eastAsia" w:ascii="黑体" w:hAnsi="黑体" w:eastAsia="黑体"/>
          <w:sz w:val="44"/>
          <w:szCs w:val="44"/>
        </w:rPr>
        <w:t>第</w:t>
      </w:r>
      <w:r>
        <w:rPr>
          <w:rStyle w:val="24"/>
          <w:rFonts w:hint="eastAsia" w:ascii="黑体" w:hAnsi="黑体" w:eastAsia="黑体"/>
          <w:b w:val="0"/>
        </w:rPr>
        <w:t>四部分 附件</w:t>
      </w:r>
      <w:bookmarkEnd w:id="51"/>
    </w:p>
    <w:p>
      <w:pPr>
        <w:spacing w:line="572" w:lineRule="exact"/>
        <w:jc w:val="left"/>
        <w:outlineLvl w:val="0"/>
        <w:rPr>
          <w:rFonts w:hint="eastAsia" w:ascii="仿宋_GB2312" w:hAnsi="仿宋_GB2312" w:eastAsia="黑体" w:cs="仿宋_GB2312"/>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tbl>
      <w:tblPr>
        <w:tblStyle w:val="12"/>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675" w:hRule="atLeast"/>
        </w:trPr>
        <w:tc>
          <w:tcPr>
            <w:tcW w:w="9577" w:type="dxa"/>
            <w:gridSpan w:val="6"/>
            <w:tcBorders>
              <w:top w:val="nil"/>
              <w:left w:val="nil"/>
              <w:bottom w:val="nil"/>
              <w:right w:val="nil"/>
            </w:tcBorders>
            <w:shd w:val="clear" w:color="auto" w:fill="auto"/>
            <w:vAlign w:val="center"/>
          </w:tcPr>
          <w:p>
            <w:pPr>
              <w:widowControl/>
              <w:ind w:firstLine="2249" w:firstLineChars="700"/>
              <w:textAlignment w:val="center"/>
              <w:rPr>
                <w:rFonts w:ascii="宋体" w:hAnsi="宋体" w:cs="宋体"/>
                <w:b/>
                <w:sz w:val="32"/>
                <w:szCs w:val="32"/>
              </w:rPr>
            </w:pPr>
            <w:bookmarkStart w:id="53" w:name="_Toc15396618"/>
            <w:r>
              <w:rPr>
                <w:rFonts w:hint="eastAsia" w:ascii="宋体" w:hAnsi="宋体" w:cs="宋体"/>
                <w:b/>
                <w:sz w:val="32"/>
                <w:szCs w:val="32"/>
              </w:rPr>
              <w:t>202</w:t>
            </w:r>
            <w:r>
              <w:rPr>
                <w:rFonts w:hint="eastAsia" w:ascii="宋体" w:hAnsi="宋体" w:cs="宋体"/>
                <w:b/>
                <w:sz w:val="32"/>
                <w:szCs w:val="32"/>
                <w:lang w:val="en-US" w:eastAsia="zh-CN"/>
              </w:rPr>
              <w:t>1年</w:t>
            </w:r>
            <w:r>
              <w:rPr>
                <w:rFonts w:hint="eastAsia" w:ascii="宋体" w:hAnsi="宋体" w:cs="宋体"/>
                <w:b/>
                <w:sz w:val="32"/>
                <w:szCs w:val="32"/>
              </w:rPr>
              <w:t>部门预算</w:t>
            </w:r>
            <w:r>
              <w:rPr>
                <w:rFonts w:hint="eastAsia" w:ascii="宋体" w:hAnsi="宋体" w:cs="宋体"/>
                <w:b/>
                <w:sz w:val="32"/>
                <w:szCs w:val="32"/>
                <w:lang w:eastAsia="zh-CN"/>
              </w:rPr>
              <w:t>整体</w:t>
            </w:r>
            <w:r>
              <w:rPr>
                <w:rFonts w:hint="eastAsia" w:ascii="宋体" w:hAnsi="宋体" w:cs="宋体"/>
                <w:b/>
                <w:sz w:val="32"/>
                <w:szCs w:val="32"/>
              </w:rPr>
              <w:t>绩效自评</w:t>
            </w:r>
          </w:p>
        </w:tc>
        <w:tc>
          <w:tcPr>
            <w:tcW w:w="234"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4" w:type="dxa"/>
          <w:trHeight w:val="254" w:hRule="atLeast"/>
        </w:trPr>
        <w:tc>
          <w:tcPr>
            <w:tcW w:w="3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lang w:eastAsia="zh-CN"/>
              </w:rPr>
            </w:pPr>
            <w:r>
              <w:rPr>
                <w:rFonts w:hint="eastAsia" w:ascii="宋体" w:hAnsi="宋体" w:cs="宋体"/>
                <w:sz w:val="24"/>
                <w:lang w:eastAsia="zh-CN"/>
              </w:rPr>
              <w:t>盐边县新九镇卫生院</w:t>
            </w:r>
          </w:p>
        </w:tc>
      </w:tr>
      <w:tr>
        <w:tblPrEx>
          <w:tblCellMar>
            <w:top w:w="0" w:type="dxa"/>
            <w:left w:w="108" w:type="dxa"/>
            <w:bottom w:w="0" w:type="dxa"/>
            <w:right w:w="108" w:type="dxa"/>
          </w:tblCellMar>
        </w:tblPrEx>
        <w:trPr>
          <w:gridAfter w:val="1"/>
          <w:wAfter w:w="234" w:type="dxa"/>
          <w:trHeight w:val="341" w:hRule="atLeast"/>
        </w:trPr>
        <w:tc>
          <w:tcPr>
            <w:tcW w:w="3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kern w:val="0"/>
                <w:sz w:val="24"/>
                <w:lang w:eastAsia="zh-CN"/>
              </w:rPr>
            </w:pPr>
            <w:r>
              <w:rPr>
                <w:rFonts w:hint="eastAsia" w:ascii="宋体" w:hAnsi="宋体" w:cs="宋体"/>
                <w:kern w:val="0"/>
                <w:sz w:val="24"/>
              </w:rPr>
              <w:t>项目预算</w:t>
            </w:r>
          </w:p>
          <w:p>
            <w:pPr>
              <w:widowControl/>
              <w:spacing w:line="320" w:lineRule="exact"/>
              <w:jc w:val="center"/>
              <w:textAlignment w:val="center"/>
              <w:rPr>
                <w:rFonts w:hint="eastAsia" w:ascii="宋体" w:hAnsi="宋体" w:eastAsia="宋体" w:cs="宋体"/>
                <w:kern w:val="0"/>
                <w:sz w:val="24"/>
                <w:lang w:eastAsia="zh-CN"/>
              </w:rPr>
            </w:pPr>
            <w:r>
              <w:rPr>
                <w:rFonts w:hint="eastAsia" w:ascii="宋体" w:hAnsi="宋体" w:cs="宋体"/>
                <w:kern w:val="0"/>
                <w:sz w:val="24"/>
              </w:rPr>
              <w:t>执行情况</w:t>
            </w:r>
          </w:p>
          <w:p>
            <w:pPr>
              <w:widowControl/>
              <w:spacing w:line="320" w:lineRule="exact"/>
              <w:jc w:val="center"/>
              <w:textAlignment w:val="center"/>
              <w:rPr>
                <w:rFonts w:ascii="宋体" w:hAnsi="宋体" w:cs="宋体"/>
                <w:sz w:val="24"/>
              </w:rPr>
            </w:pP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386.5</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hint="default" w:ascii="宋体" w:hAnsi="宋体" w:eastAsia="宋体" w:cs="宋体"/>
                <w:sz w:val="24"/>
                <w:lang w:val="en-US" w:eastAsia="zh-CN"/>
              </w:rPr>
            </w:pPr>
            <w:r>
              <w:rPr>
                <w:rFonts w:hint="eastAsia" w:ascii="宋体" w:hAnsi="宋体" w:cs="宋体"/>
                <w:sz w:val="24"/>
                <w:lang w:val="en-US" w:eastAsia="zh-CN"/>
              </w:rPr>
              <w:t>491.71</w:t>
            </w:r>
          </w:p>
        </w:tc>
      </w:tr>
      <w:tr>
        <w:tblPrEx>
          <w:tblCellMar>
            <w:top w:w="0" w:type="dxa"/>
            <w:left w:w="108" w:type="dxa"/>
            <w:bottom w:w="0" w:type="dxa"/>
            <w:right w:w="108" w:type="dxa"/>
          </w:tblCellMar>
        </w:tblPrEx>
        <w:trPr>
          <w:gridAfter w:val="1"/>
          <w:wAfter w:w="234" w:type="dxa"/>
          <w:trHeight w:val="555"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386.5</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宋体" w:hAnsi="宋体" w:eastAsia="宋体" w:cs="宋体"/>
                <w:sz w:val="24"/>
                <w:lang w:val="en-US" w:eastAsia="zh-CN"/>
              </w:rPr>
            </w:pPr>
            <w:r>
              <w:rPr>
                <w:rFonts w:hint="eastAsia" w:ascii="宋体" w:hAnsi="宋体" w:cs="宋体"/>
                <w:sz w:val="24"/>
                <w:lang w:val="en-US" w:eastAsia="zh-CN"/>
              </w:rPr>
              <w:t>491.71</w:t>
            </w:r>
          </w:p>
        </w:tc>
      </w:tr>
      <w:tr>
        <w:tblPrEx>
          <w:tblCellMar>
            <w:top w:w="0" w:type="dxa"/>
            <w:left w:w="108" w:type="dxa"/>
            <w:bottom w:w="0" w:type="dxa"/>
            <w:right w:w="108" w:type="dxa"/>
          </w:tblCellMar>
        </w:tblPrEx>
        <w:trPr>
          <w:gridAfter w:val="1"/>
          <w:wAfter w:w="234" w:type="dxa"/>
          <w:trHeight w:val="341"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4" w:type="dxa"/>
          <w:trHeight w:val="217" w:hRule="atLeast"/>
        </w:trPr>
        <w:tc>
          <w:tcPr>
            <w:tcW w:w="19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gridAfter w:val="1"/>
          <w:wAfter w:w="234" w:type="dxa"/>
          <w:trHeight w:val="797" w:hRule="atLeast"/>
        </w:trPr>
        <w:tc>
          <w:tcPr>
            <w:tcW w:w="19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保证医院正常运转支出，为辖区居民提供基本医疗服务，执行国家药物政策和国家基本药物制度，落实疾病预防控制规划、免疫规划，做好常态化疫情防控工作和疫苗接种工作。</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hint="eastAsia" w:ascii="宋体" w:hAnsi="宋体" w:eastAsia="宋体" w:cs="宋体"/>
                <w:sz w:val="24"/>
                <w:lang w:eastAsia="zh-CN"/>
              </w:rPr>
            </w:pPr>
            <w:r>
              <w:rPr>
                <w:rFonts w:hint="eastAsia" w:ascii="宋体" w:hAnsi="宋体" w:cs="宋体"/>
                <w:sz w:val="24"/>
              </w:rPr>
              <w:t>基本能够满足辖区群众的基本公共卫生服务和常见病多发病的诊疗及部分急诊急救工作的需要。坚持基本药物带量采购，实行零差率销售，有效降低群众就医成本。完成基药采购27.78万元，下拨村卫生室机油不足9.35万元。抓实公共卫生服务，有效增加居民参与度和获得感。2021年累计建立居民电子健康档案16215份，建档率93.15%，为65岁及以上老年人提供免费体检1564人次，管理高血压患者784人、Ⅱ型糖尿病患者432人、严重精神障碍患者68人，常规预发接种2829人次。下拨村卫生室基本公共卫生经费31.85万元。新冠疫苗接种超额完成上级下达的任务。面对疫情，全面落实各项防控工作任务：成立疫情防控工作领导小组，制定防控应急预案。召开了疫情防控工作部署会、培训会、推进会议，开展应急演练。充分利用LED显示屏、宣传单、微信工作群等形式，广泛深入地宣传有关防控新型冠状病毒的政策措施、自我防护知识，普遍提高了群众自我防护意识。建立疫情联防值守队伍在新九高速出口设置卡点，对来往人员车辆进行排查登记。承担全镇返乡及企业疫区返企人员的医学监测，指导企业落实隔离观察措施。防疫物资的储备能满足满负荷运转30天，随时检查各种防疫物资，保证无过期，确保物资能满足满负荷运转30天，在医院内设置了核酸采样点。全院始终处于应激</w:t>
            </w:r>
            <w:r>
              <w:rPr>
                <w:rFonts w:hint="eastAsia" w:ascii="宋体" w:hAnsi="宋体" w:cs="宋体"/>
                <w:sz w:val="24"/>
                <w:lang w:eastAsia="zh-CN"/>
              </w:rPr>
              <w:t>状态。</w:t>
            </w:r>
          </w:p>
        </w:tc>
      </w:tr>
      <w:tr>
        <w:tblPrEx>
          <w:tblCellMar>
            <w:top w:w="0" w:type="dxa"/>
            <w:left w:w="108" w:type="dxa"/>
            <w:bottom w:w="0" w:type="dxa"/>
            <w:right w:w="108" w:type="dxa"/>
          </w:tblCellMar>
        </w:tblPrEx>
        <w:trPr>
          <w:gridAfter w:val="1"/>
          <w:wAfter w:w="234" w:type="dxa"/>
          <w:trHeight w:val="693" w:hRule="atLeast"/>
        </w:trPr>
        <w:tc>
          <w:tcPr>
            <w:tcW w:w="1977"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支出</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386.5</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491.71</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预算执行率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386.5</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预算执行进度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按月推进</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药品采购</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27.78万元</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27.78万元</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rPr>
              <w:t>效益</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事业收入</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40.00万元</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62.66万元</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提供基本医疗及公共卫生服务</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满足群众需要</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gridAfter w:val="1"/>
          <w:wAfter w:w="234" w:type="dxa"/>
          <w:trHeight w:val="577"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基层医疗卫生发展</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长期</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gridAfter w:val="1"/>
          <w:wAfter w:w="234" w:type="dxa"/>
          <w:trHeight w:val="530" w:hRule="atLeast"/>
        </w:trPr>
        <w:tc>
          <w:tcPr>
            <w:tcW w:w="1977"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rPr>
              <w:t>满意</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群众满意度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90%</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92%</w:t>
            </w:r>
          </w:p>
        </w:tc>
      </w:tr>
    </w:tbl>
    <w:p>
      <w:pPr>
        <w:widowControl/>
        <w:adjustRightInd w:val="0"/>
        <w:snapToGrid w:val="0"/>
        <w:spacing w:line="580" w:lineRule="exact"/>
        <w:contextualSpacing/>
        <w:jc w:val="left"/>
        <w:rPr>
          <w:rFonts w:hint="eastAsia" w:ascii="仿宋_GB2312" w:hAnsi="宋体" w:eastAsia="仿宋_GB2312" w:cs="宋体"/>
          <w:color w:val="000000"/>
          <w:kern w:val="0"/>
          <w:sz w:val="32"/>
          <w:szCs w:val="32"/>
          <w:shd w:val="clear" w:color="auto" w:fill="FFFFFF"/>
        </w:rPr>
      </w:pPr>
    </w:p>
    <w:p>
      <w:pPr>
        <w:pStyle w:val="2"/>
        <w:rPr>
          <w:rFonts w:hint="eastAsia" w:ascii="仿宋_GB2312" w:hAnsi="宋体" w:eastAsia="仿宋_GB2312" w:cs="宋体"/>
          <w:color w:val="000000"/>
          <w:kern w:val="0"/>
          <w:sz w:val="32"/>
          <w:szCs w:val="32"/>
          <w:shd w:val="clear" w:color="auto" w:fill="FFFFFF"/>
        </w:rPr>
      </w:pPr>
    </w:p>
    <w:p>
      <w:pPr>
        <w:pStyle w:val="2"/>
        <w:rPr>
          <w:rFonts w:hint="eastAsia" w:ascii="仿宋_GB2312" w:hAnsi="宋体" w:eastAsia="仿宋_GB2312" w:cs="宋体"/>
          <w:color w:val="000000"/>
          <w:kern w:val="0"/>
          <w:sz w:val="32"/>
          <w:szCs w:val="32"/>
          <w:shd w:val="clear" w:color="auto" w:fill="FFFFFF"/>
        </w:rPr>
      </w:pPr>
    </w:p>
    <w:p>
      <w:pPr>
        <w:pStyle w:val="2"/>
        <w:rPr>
          <w:rFonts w:hint="eastAsia" w:ascii="仿宋_GB2312" w:hAnsi="宋体" w:eastAsia="仿宋_GB2312" w:cs="宋体"/>
          <w:color w:val="000000"/>
          <w:kern w:val="0"/>
          <w:sz w:val="32"/>
          <w:szCs w:val="32"/>
          <w:shd w:val="clear" w:color="auto" w:fill="FFFFFF"/>
        </w:rPr>
      </w:pPr>
    </w:p>
    <w:tbl>
      <w:tblPr>
        <w:tblStyle w:val="12"/>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pPr>
              <w:spacing w:line="572" w:lineRule="exact"/>
              <w:jc w:val="left"/>
              <w:outlineLvl w:val="0"/>
              <w:rPr>
                <w:rFonts w:hint="eastAsia" w:ascii="仿宋_GB2312" w:hAnsi="仿宋_GB2312" w:eastAsia="黑体" w:cs="仿宋_GB2312"/>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widowControl/>
              <w:ind w:firstLine="1928" w:firstLineChars="600"/>
              <w:textAlignment w:val="center"/>
              <w:rPr>
                <w:rFonts w:ascii="宋体" w:hAnsi="宋体" w:cs="宋体"/>
                <w:b/>
                <w:sz w:val="32"/>
                <w:szCs w:val="32"/>
              </w:rPr>
            </w:pPr>
            <w:r>
              <w:rPr>
                <w:rFonts w:hint="eastAsia" w:ascii="宋体" w:hAnsi="宋体" w:cs="宋体"/>
                <w:b/>
                <w:sz w:val="32"/>
                <w:szCs w:val="32"/>
              </w:rPr>
              <w:t>202</w:t>
            </w:r>
            <w:r>
              <w:rPr>
                <w:rFonts w:hint="eastAsia" w:ascii="宋体" w:hAnsi="宋体" w:cs="宋体"/>
                <w:b/>
                <w:sz w:val="32"/>
                <w:szCs w:val="32"/>
                <w:lang w:val="en-US" w:eastAsia="zh-CN"/>
              </w:rPr>
              <w:t>1年基本公共卫生</w:t>
            </w:r>
            <w:r>
              <w:rPr>
                <w:rFonts w:hint="eastAsia" w:ascii="宋体" w:hAnsi="宋体" w:cs="宋体"/>
                <w:b/>
                <w:sz w:val="32"/>
                <w:szCs w:val="32"/>
              </w:rPr>
              <w:t>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lang w:eastAsia="zh-CN"/>
              </w:rPr>
            </w:pPr>
            <w:r>
              <w:rPr>
                <w:rFonts w:hint="eastAsia" w:ascii="宋体" w:hAnsi="宋体" w:cs="宋体"/>
                <w:sz w:val="24"/>
                <w:lang w:eastAsia="zh-CN"/>
              </w:rPr>
              <w:t>盐边县新九镇卫生院</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kern w:val="0"/>
                <w:sz w:val="24"/>
                <w:lang w:eastAsia="zh-CN"/>
              </w:rPr>
            </w:pPr>
            <w:r>
              <w:rPr>
                <w:rFonts w:hint="eastAsia" w:ascii="宋体" w:hAnsi="宋体" w:cs="宋体"/>
                <w:kern w:val="0"/>
                <w:sz w:val="24"/>
              </w:rPr>
              <w:t>项目预算</w:t>
            </w:r>
          </w:p>
          <w:p>
            <w:pPr>
              <w:widowControl/>
              <w:spacing w:line="320" w:lineRule="exact"/>
              <w:jc w:val="center"/>
              <w:textAlignment w:val="center"/>
              <w:rPr>
                <w:rFonts w:hint="eastAsia" w:ascii="宋体" w:hAnsi="宋体" w:eastAsia="宋体" w:cs="宋体"/>
                <w:kern w:val="0"/>
                <w:sz w:val="24"/>
                <w:lang w:eastAsia="zh-CN"/>
              </w:rPr>
            </w:pPr>
            <w:r>
              <w:rPr>
                <w:rFonts w:hint="eastAsia" w:ascii="宋体" w:hAnsi="宋体" w:cs="宋体"/>
                <w:kern w:val="0"/>
                <w:sz w:val="24"/>
              </w:rPr>
              <w:t>执行情况</w:t>
            </w:r>
          </w:p>
          <w:p>
            <w:pPr>
              <w:widowControl/>
              <w:spacing w:line="320" w:lineRule="exact"/>
              <w:jc w:val="center"/>
              <w:textAlignment w:val="center"/>
              <w:rPr>
                <w:rFonts w:ascii="宋体" w:hAnsi="宋体" w:cs="宋体"/>
                <w:sz w:val="24"/>
              </w:rPr>
            </w:pP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127.06万元</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hint="default" w:ascii="宋体" w:hAnsi="宋体" w:eastAsia="宋体" w:cs="宋体"/>
                <w:sz w:val="24"/>
                <w:lang w:val="en-US" w:eastAsia="zh-CN"/>
              </w:rPr>
            </w:pPr>
            <w:r>
              <w:rPr>
                <w:rFonts w:hint="eastAsia" w:ascii="宋体" w:hAnsi="宋体" w:cs="宋体"/>
                <w:sz w:val="24"/>
                <w:lang w:val="en-US" w:eastAsia="zh-CN"/>
              </w:rPr>
              <w:t>123.65万元</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127.06万元</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宋体" w:hAnsi="宋体" w:eastAsia="宋体" w:cs="宋体"/>
                <w:sz w:val="24"/>
                <w:lang w:val="en-US" w:eastAsia="zh-CN"/>
              </w:rPr>
            </w:pPr>
            <w:r>
              <w:rPr>
                <w:rFonts w:hint="eastAsia" w:ascii="宋体" w:hAnsi="宋体" w:cs="宋体"/>
                <w:sz w:val="24"/>
                <w:lang w:val="en-US" w:eastAsia="zh-CN"/>
              </w:rPr>
              <w:t>127.06万元</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免费向全镇居民提供基本公共卫生服务</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居民健康电子档建档16215人，建档率93.15%，完整建档率92.80%，重点人群动态使用档案动态使用率87.98%；举办各类知识讲座和健康咨询活动共15次，发放各类宣传材料，共25种计8700余份，更换宣传栏内容13次,播放影音8种，播放8次；2021年接种率81.18%；2021年孕产妇管理率100%，住院分娩率100% ，全乡0-6岁儿童管理率95.06%，0-3岁以下儿童系统管理率95.01%。老年人健康管理体检率85.1%。高血压管理率70.62%，血压控制率72.14%，糖尿病患者进行了规范的随访服务432人，规范管理率89.81%；管理重性精神障碍患者69人，并进行规范的随访服务68人，规范管理率98.55%，下拨村卫生室基本公共卫生经费达48%。基本公共卫生各项指标均已完成。</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vMerge w:val="restart"/>
            <w:tcBorders>
              <w:top w:val="single" w:color="000000" w:sz="4" w:space="0"/>
              <w:left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 xml:space="preserve"> 指标1：居民健康档案管理</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default" w:ascii="Arial" w:hAnsi="Arial" w:eastAsia="宋体" w:cs="Arial"/>
                <w:i w:val="0"/>
                <w:iCs w:val="0"/>
                <w:color w:val="000000"/>
                <w:kern w:val="0"/>
                <w:sz w:val="24"/>
                <w:szCs w:val="24"/>
                <w:u w:val="none"/>
                <w:lang w:val="en-US" w:eastAsia="zh-CN" w:bidi="ar"/>
              </w:rPr>
              <w:t>≥</w:t>
            </w:r>
            <w:r>
              <w:rPr>
                <w:rStyle w:val="31"/>
                <w:lang w:val="en-US" w:eastAsia="zh-CN" w:bidi="ar"/>
              </w:rPr>
              <w:t>93%</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已建档16215人 建档率93.15%</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635"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 xml:space="preserve"> 指标2：预防接种</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≥80%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全程接种2829人，接种率81.18%</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635"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 xml:space="preserve"> 指标3：0-6岁儿童健康管理</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≥85%</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管理886人，管理率95.06%</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635"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指标4：孕产妇健康管理</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≥85%</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管理156人，管理率100%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635"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指标5：老年人健康管理</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≥70%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老年人体检1564人，体检率85.1%</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635"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指标6：慢性病管理</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高血压≥70%；糖尿病</w:t>
            </w:r>
            <w:r>
              <w:rPr>
                <w:rStyle w:val="32"/>
                <w:rFonts w:eastAsia="宋体"/>
                <w:lang w:val="en-US" w:eastAsia="zh-CN" w:bidi="ar"/>
              </w:rPr>
              <w:t>≥</w:t>
            </w:r>
            <w:r>
              <w:rPr>
                <w:rStyle w:val="33"/>
                <w:lang w:val="en-US" w:eastAsia="zh-CN" w:bidi="ar"/>
              </w:rPr>
              <w:t>60%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高血压管理784人管理率72.14%；糖尿病管理432人，管理率89.81%</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635"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指标7：严重精神障碍患者管理</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≥85%</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管理68人，管理率100%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635"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指标8：肺结核患者健康管理</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≥90%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管理6人，管理率98.55%</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635"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指标9：中医药健康管理</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老年人</w:t>
            </w:r>
            <w:r>
              <w:rPr>
                <w:rStyle w:val="32"/>
                <w:rFonts w:eastAsia="宋体"/>
                <w:lang w:val="en-US" w:eastAsia="zh-CN" w:bidi="ar"/>
              </w:rPr>
              <w:t>≥</w:t>
            </w:r>
            <w:r>
              <w:rPr>
                <w:rStyle w:val="33"/>
                <w:lang w:val="en-US" w:eastAsia="zh-CN" w:bidi="ar"/>
              </w:rPr>
              <w:t>45%；儿童</w:t>
            </w:r>
            <w:r>
              <w:rPr>
                <w:rStyle w:val="32"/>
                <w:rFonts w:eastAsia="宋体"/>
                <w:lang w:val="en-US" w:eastAsia="zh-CN" w:bidi="ar"/>
              </w:rPr>
              <w:t>≥</w:t>
            </w:r>
            <w:r>
              <w:rPr>
                <w:rStyle w:val="33"/>
                <w:lang w:val="en-US" w:eastAsia="zh-CN" w:bidi="ar"/>
              </w:rPr>
              <w:t>85%</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老年人82%；儿童96%</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635"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指标10:</w:t>
            </w:r>
            <w:r>
              <w:rPr>
                <w:rStyle w:val="30"/>
                <w:lang w:val="en-US" w:eastAsia="zh-CN" w:bidi="ar"/>
              </w:rPr>
              <w:t>传染病及突发公共卫生事件报告及处理</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登记报告1例，登记报告率100%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635"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指标11：健康教育</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≥90%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更换宣传栏内容13次，发放宣传资料25种等，完成率100%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635"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指标12：卫生监督协管</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≥95%</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开展卫生监督51次，完成率100%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12项公共卫生服务</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规范管理</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vMerge w:val="restart"/>
            <w:tcBorders>
              <w:top w:val="single" w:color="000000" w:sz="4" w:space="0"/>
              <w:left w:val="single" w:color="000000" w:sz="4" w:space="0"/>
              <w:right w:val="single" w:color="000000" w:sz="4" w:space="0"/>
            </w:tcBorders>
            <w:shd w:val="clear" w:color="auto" w:fill="auto"/>
            <w:vAlign w:val="bottom"/>
          </w:tcPr>
          <w:p>
            <w:pPr>
              <w:widowControl/>
              <w:spacing w:line="320" w:lineRule="exact"/>
              <w:jc w:val="both"/>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时效性</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 xml:space="preserve"> 指标1：及时向村卫生室拨付经费</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按每季度拨付</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村卫生室的40%经费按每季度10%拨付</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 xml:space="preserve"> 指标2：12项公共卫生服务按月推进</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村公共卫生月报表为准</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按月报送</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 xml:space="preserve"> 指标3：完成对村卫生室半年、年终绩效考核</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完成半年、年终考核</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6月15日-30日半年考核；9月25日-10月15日年终考核</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rPr>
              <w:t>效益</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村卫生室基本公共卫生补助</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default" w:ascii="Arial" w:hAnsi="Arial" w:eastAsia="仿宋_GB2312" w:cs="Arial"/>
                <w:sz w:val="28"/>
                <w:szCs w:val="28"/>
              </w:rPr>
              <w:t>≥</w:t>
            </w:r>
            <w:r>
              <w:rPr>
                <w:rFonts w:hint="eastAsia" w:ascii="仿宋_GB2312" w:hAnsi="仿宋_GB2312" w:eastAsia="仿宋_GB2312" w:cs="仿宋_GB2312"/>
                <w:sz w:val="28"/>
                <w:szCs w:val="28"/>
                <w:lang w:val="en-US" w:eastAsia="zh-CN"/>
              </w:rPr>
              <w:t>40%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下拨村卫生室经费31.85万元，下拨率48%</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受益群众对各项服务满意度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仿宋_GB2312" w:hAnsi="仿宋_GB2312" w:eastAsia="仿宋_GB2312" w:cs="仿宋_GB2312"/>
                <w:sz w:val="28"/>
                <w:szCs w:val="28"/>
                <w:lang w:val="en-US" w:eastAsia="zh-CN"/>
              </w:rPr>
              <w:t>40%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99%</w:t>
            </w:r>
          </w:p>
        </w:tc>
      </w:tr>
      <w:tr>
        <w:tblPrEx>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rPr>
              <w:t>满意</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度指标</w:t>
            </w:r>
          </w:p>
        </w:tc>
        <w:tc>
          <w:tcPr>
            <w:tcW w:w="1635" w:type="dxa"/>
            <w:vMerge w:val="restart"/>
            <w:tcBorders>
              <w:top w:val="single" w:color="000000" w:sz="4" w:space="0"/>
              <w:left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 xml:space="preserve"> 指标1：重点人群满意度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≥90%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95%</w:t>
            </w:r>
          </w:p>
        </w:tc>
      </w:tr>
      <w:tr>
        <w:tblPrEx>
          <w:tblCellMar>
            <w:top w:w="0" w:type="dxa"/>
            <w:left w:w="108" w:type="dxa"/>
            <w:bottom w:w="0" w:type="dxa"/>
            <w:right w:w="108" w:type="dxa"/>
          </w:tblCellMar>
        </w:tblPrEx>
        <w:trPr>
          <w:gridAfter w:val="1"/>
          <w:wAfter w:w="236" w:type="dxa"/>
          <w:trHeight w:val="530" w:hRule="atLeast"/>
        </w:trPr>
        <w:tc>
          <w:tcPr>
            <w:tcW w:w="1976" w:type="dxa"/>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635"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 xml:space="preserve"> 指标2：群众参与率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≥95%</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98%</w:t>
            </w:r>
          </w:p>
        </w:tc>
      </w:tr>
      <w:tr>
        <w:tblPrEx>
          <w:tblCellMar>
            <w:top w:w="0" w:type="dxa"/>
            <w:left w:w="108" w:type="dxa"/>
            <w:bottom w:w="0" w:type="dxa"/>
            <w:right w:w="108" w:type="dxa"/>
          </w:tblCellMar>
        </w:tblPrEx>
        <w:trPr>
          <w:gridAfter w:val="1"/>
          <w:wAfter w:w="236" w:type="dxa"/>
          <w:trHeight w:val="530" w:hRule="atLeast"/>
        </w:trPr>
        <w:tc>
          <w:tcPr>
            <w:tcW w:w="1976" w:type="dxa"/>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635"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 xml:space="preserve"> 指标3：群众知晓率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≥95%</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99%</w:t>
            </w:r>
          </w:p>
        </w:tc>
      </w:tr>
    </w:tbl>
    <w:p>
      <w:pPr>
        <w:pStyle w:val="2"/>
      </w:pPr>
    </w:p>
    <w:p>
      <w:pPr>
        <w:pStyle w:val="2"/>
      </w:pPr>
    </w:p>
    <w:p>
      <w:pPr>
        <w:pStyle w:val="2"/>
      </w:pPr>
    </w:p>
    <w:p>
      <w:pPr>
        <w:pStyle w:val="2"/>
      </w:pPr>
    </w:p>
    <w:p>
      <w:pPr>
        <w:pStyle w:val="2"/>
      </w:pPr>
    </w:p>
    <w:p>
      <w:pPr>
        <w:pStyle w:val="2"/>
      </w:pPr>
    </w:p>
    <w:p>
      <w:pPr>
        <w:pStyle w:val="2"/>
      </w:pPr>
    </w:p>
    <w:tbl>
      <w:tblPr>
        <w:tblStyle w:val="12"/>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pPr>
              <w:spacing w:line="572" w:lineRule="exact"/>
              <w:jc w:val="left"/>
              <w:outlineLvl w:val="0"/>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pPr>
              <w:spacing w:line="572" w:lineRule="exact"/>
              <w:ind w:firstLine="1928" w:firstLineChars="600"/>
              <w:jc w:val="left"/>
              <w:outlineLvl w:val="0"/>
              <w:rPr>
                <w:rFonts w:ascii="宋体" w:hAnsi="宋体" w:cs="宋体"/>
                <w:b/>
                <w:sz w:val="32"/>
                <w:szCs w:val="32"/>
              </w:rPr>
            </w:pPr>
            <w:r>
              <w:rPr>
                <w:rFonts w:hint="eastAsia" w:ascii="宋体" w:hAnsi="宋体" w:cs="宋体"/>
                <w:b/>
                <w:sz w:val="32"/>
                <w:szCs w:val="32"/>
              </w:rPr>
              <w:t>202</w:t>
            </w:r>
            <w:r>
              <w:rPr>
                <w:rFonts w:hint="eastAsia" w:ascii="宋体" w:hAnsi="宋体" w:cs="宋体"/>
                <w:b/>
                <w:sz w:val="32"/>
                <w:szCs w:val="32"/>
                <w:lang w:val="en-US" w:eastAsia="zh-CN"/>
              </w:rPr>
              <w:t>1年基药补助</w:t>
            </w:r>
            <w:r>
              <w:rPr>
                <w:rFonts w:hint="eastAsia" w:ascii="宋体" w:hAnsi="宋体" w:cs="宋体"/>
                <w:b/>
                <w:sz w:val="32"/>
                <w:szCs w:val="32"/>
              </w:rPr>
              <w:t>项目绩效目标自评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lang w:eastAsia="zh-CN"/>
              </w:rPr>
            </w:pPr>
            <w:r>
              <w:rPr>
                <w:rFonts w:hint="eastAsia" w:ascii="宋体" w:hAnsi="宋体" w:cs="宋体"/>
                <w:sz w:val="24"/>
                <w:lang w:eastAsia="zh-CN"/>
              </w:rPr>
              <w:t>盐边县新九镇卫生院</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kern w:val="0"/>
                <w:sz w:val="24"/>
                <w:lang w:eastAsia="zh-CN"/>
              </w:rPr>
            </w:pPr>
            <w:r>
              <w:rPr>
                <w:rFonts w:hint="eastAsia" w:ascii="宋体" w:hAnsi="宋体" w:cs="宋体"/>
                <w:kern w:val="0"/>
                <w:sz w:val="24"/>
              </w:rPr>
              <w:t>项目预算</w:t>
            </w:r>
          </w:p>
          <w:p>
            <w:pPr>
              <w:widowControl/>
              <w:spacing w:line="320" w:lineRule="exact"/>
              <w:jc w:val="center"/>
              <w:textAlignment w:val="center"/>
              <w:rPr>
                <w:rFonts w:hint="eastAsia" w:ascii="宋体" w:hAnsi="宋体" w:eastAsia="宋体" w:cs="宋体"/>
                <w:kern w:val="0"/>
                <w:sz w:val="24"/>
                <w:lang w:eastAsia="zh-CN"/>
              </w:rPr>
            </w:pPr>
            <w:r>
              <w:rPr>
                <w:rFonts w:hint="eastAsia" w:ascii="宋体" w:hAnsi="宋体" w:cs="宋体"/>
                <w:kern w:val="0"/>
                <w:sz w:val="24"/>
              </w:rPr>
              <w:t>执行情况</w:t>
            </w:r>
          </w:p>
          <w:p>
            <w:pPr>
              <w:widowControl/>
              <w:spacing w:line="320" w:lineRule="exact"/>
              <w:jc w:val="center"/>
              <w:textAlignment w:val="center"/>
              <w:rPr>
                <w:rFonts w:ascii="宋体" w:hAnsi="宋体" w:cs="宋体"/>
                <w:sz w:val="24"/>
              </w:rPr>
            </w:pP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21.79</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hint="default" w:ascii="宋体" w:hAnsi="宋体" w:eastAsia="宋体" w:cs="宋体"/>
                <w:sz w:val="24"/>
                <w:lang w:val="en-US" w:eastAsia="zh-CN"/>
              </w:rPr>
            </w:pPr>
            <w:r>
              <w:rPr>
                <w:rFonts w:hint="eastAsia" w:ascii="宋体" w:hAnsi="宋体" w:cs="宋体"/>
                <w:sz w:val="24"/>
                <w:lang w:val="en-US" w:eastAsia="zh-CN"/>
              </w:rPr>
              <w:t>21.79</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保证卫生院实施国家基本药物制度，推进综合改革顺利进行。对实施国家基本药物制度的村卫生室给予补助，支持国家基本药物制度在村卫生室顺利实施</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我院根据四川省卫生健康委员会《关于做好2021年基本药物制度补助项目工作的通知》及县卫健局相关精神制定了《盐边县新九镇2021年村卫生室基本药物制度补助资金分配方案》并按方案对执行了基本药物制度的村卫生室补助了资金。</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vMerge w:val="restart"/>
            <w:tcBorders>
              <w:top w:val="single" w:color="000000" w:sz="4" w:space="0"/>
              <w:left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 xml:space="preserve"> 指标1：卫生院基本药物制度覆盖率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1</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卫生院完全实行基本药物制度</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635"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 xml:space="preserve"> 指标2：村卫生室实施国家基本药物制度覆盖率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10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10村卫生室实行基本药物制度</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药品零差价</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1个卫生院及10个村卫生室实行药品零差价</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完成</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完成</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vMerge w:val="restart"/>
            <w:tcBorders>
              <w:top w:val="single" w:color="000000" w:sz="4" w:space="0"/>
              <w:left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 xml:space="preserve"> 指标1：卫生院</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23.93万元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卫生院基药采购量23.93万元</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 xml:space="preserve"> 指标2：村卫生室</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3.85万元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村卫生室基药采购量3.85万元</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rPr>
              <w:t>效益</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vMerge w:val="restart"/>
            <w:tcBorders>
              <w:top w:val="single" w:color="000000" w:sz="4" w:space="0"/>
              <w:left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 xml:space="preserve"> 指标1：卫生院</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12.44万元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卫生院基药补助12.44万元</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635"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 xml:space="preserve"> 指标2：村卫生室</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9.35万元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0"/>
                <w:szCs w:val="20"/>
                <w:u w:val="none"/>
                <w:lang w:val="en-US" w:eastAsia="zh-CN" w:bidi="ar"/>
              </w:rPr>
              <w:t>下拨10村卫生室基药补助合计9.35万元</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群众受益率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基本药物制度发展</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长期</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长期</w:t>
            </w: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rPr>
              <w:t>满意</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bl>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bidi w:val="0"/>
        <w:rPr>
          <w:rFonts w:hint="eastAsia"/>
        </w:rPr>
      </w:pPr>
    </w:p>
    <w:p>
      <w:pPr>
        <w:pStyle w:val="2"/>
        <w:bidi w:val="0"/>
        <w:jc w:val="center"/>
        <w:rPr>
          <w:rFonts w:hint="eastAsia" w:ascii="黑体" w:hAnsi="黑体" w:eastAsia="黑体" w:cs="黑体"/>
          <w:sz w:val="44"/>
          <w:szCs w:val="44"/>
        </w:rPr>
      </w:pPr>
      <w:r>
        <w:rPr>
          <w:rFonts w:hint="eastAsia" w:ascii="黑体" w:hAnsi="黑体" w:eastAsia="黑体" w:cs="黑体"/>
          <w:sz w:val="44"/>
          <w:szCs w:val="44"/>
        </w:rPr>
        <w:t>第五部分 附表</w:t>
      </w:r>
      <w:bookmarkEnd w:id="52"/>
      <w:bookmarkEnd w:id="53"/>
      <w:bookmarkStart w:id="54" w:name="_Toc15396619"/>
    </w:p>
    <w:p>
      <w:pPr>
        <w:pStyle w:val="2"/>
        <w:bidi w:val="0"/>
        <w:rPr>
          <w:sz w:val="32"/>
          <w:szCs w:val="32"/>
        </w:rPr>
      </w:pPr>
      <w:r>
        <w:rPr>
          <w:rFonts w:hint="eastAsia"/>
          <w:sz w:val="32"/>
          <w:szCs w:val="32"/>
        </w:rPr>
        <w:t>一、收入支出决算总表</w:t>
      </w:r>
      <w:bookmarkEnd w:id="54"/>
    </w:p>
    <w:p>
      <w:pPr>
        <w:pStyle w:val="2"/>
        <w:bidi w:val="0"/>
        <w:rPr>
          <w:sz w:val="32"/>
          <w:szCs w:val="32"/>
        </w:rPr>
      </w:pPr>
      <w:bookmarkStart w:id="55" w:name="_Toc15396620"/>
      <w:r>
        <w:rPr>
          <w:rFonts w:hint="eastAsia"/>
          <w:sz w:val="32"/>
          <w:szCs w:val="32"/>
        </w:rPr>
        <w:t>二、收入决算表</w:t>
      </w:r>
      <w:bookmarkEnd w:id="55"/>
    </w:p>
    <w:p>
      <w:pPr>
        <w:pStyle w:val="2"/>
        <w:bidi w:val="0"/>
        <w:rPr>
          <w:sz w:val="32"/>
          <w:szCs w:val="32"/>
        </w:rPr>
      </w:pPr>
      <w:bookmarkStart w:id="56" w:name="_Toc15396621"/>
      <w:r>
        <w:rPr>
          <w:rFonts w:hint="eastAsia"/>
          <w:sz w:val="32"/>
          <w:szCs w:val="32"/>
        </w:rPr>
        <w:t>三、支出决算表</w:t>
      </w:r>
      <w:bookmarkEnd w:id="56"/>
    </w:p>
    <w:p>
      <w:pPr>
        <w:pStyle w:val="2"/>
        <w:bidi w:val="0"/>
        <w:rPr>
          <w:sz w:val="32"/>
          <w:szCs w:val="32"/>
        </w:rPr>
      </w:pPr>
      <w:bookmarkStart w:id="57" w:name="_Toc15396622"/>
      <w:r>
        <w:rPr>
          <w:rFonts w:hint="eastAsia"/>
          <w:sz w:val="32"/>
          <w:szCs w:val="32"/>
        </w:rPr>
        <w:t>四、财政拨款收入支出决算总表</w:t>
      </w:r>
      <w:bookmarkEnd w:id="57"/>
    </w:p>
    <w:p>
      <w:pPr>
        <w:pStyle w:val="2"/>
        <w:bidi w:val="0"/>
        <w:rPr>
          <w:sz w:val="32"/>
          <w:szCs w:val="32"/>
        </w:rPr>
      </w:pPr>
      <w:bookmarkStart w:id="58" w:name="_Toc15396623"/>
      <w:r>
        <w:rPr>
          <w:rFonts w:hint="eastAsia"/>
          <w:sz w:val="32"/>
          <w:szCs w:val="32"/>
        </w:rPr>
        <w:t>五、财政拨款支出决算明细表</w:t>
      </w:r>
      <w:bookmarkEnd w:id="58"/>
      <w:bookmarkStart w:id="59" w:name="_Toc15396624"/>
    </w:p>
    <w:p>
      <w:pPr>
        <w:pStyle w:val="2"/>
        <w:bidi w:val="0"/>
        <w:rPr>
          <w:sz w:val="32"/>
          <w:szCs w:val="32"/>
        </w:rPr>
      </w:pPr>
      <w:r>
        <w:rPr>
          <w:rFonts w:hint="eastAsia"/>
          <w:sz w:val="32"/>
          <w:szCs w:val="32"/>
        </w:rPr>
        <w:t>六、一般公共预算财政拨款支出决算表</w:t>
      </w:r>
      <w:bookmarkEnd w:id="59"/>
    </w:p>
    <w:p>
      <w:pPr>
        <w:pStyle w:val="2"/>
        <w:bidi w:val="0"/>
        <w:rPr>
          <w:sz w:val="32"/>
          <w:szCs w:val="32"/>
        </w:rPr>
      </w:pPr>
      <w:bookmarkStart w:id="60" w:name="_Toc15396625"/>
      <w:r>
        <w:rPr>
          <w:rFonts w:hint="eastAsia"/>
          <w:sz w:val="32"/>
          <w:szCs w:val="32"/>
        </w:rPr>
        <w:t>七、一般公共预算财政拨款支出决算明细表</w:t>
      </w:r>
      <w:bookmarkEnd w:id="60"/>
    </w:p>
    <w:p>
      <w:pPr>
        <w:pStyle w:val="2"/>
        <w:bidi w:val="0"/>
        <w:rPr>
          <w:sz w:val="32"/>
          <w:szCs w:val="32"/>
        </w:rPr>
      </w:pPr>
      <w:bookmarkStart w:id="61" w:name="_Toc15396626"/>
      <w:r>
        <w:rPr>
          <w:rFonts w:hint="eastAsia"/>
          <w:sz w:val="32"/>
          <w:szCs w:val="32"/>
        </w:rPr>
        <w:t>八、一般公共预算财政拨款基本支出决算表</w:t>
      </w:r>
      <w:bookmarkEnd w:id="61"/>
    </w:p>
    <w:p>
      <w:pPr>
        <w:pStyle w:val="2"/>
        <w:bidi w:val="0"/>
        <w:rPr>
          <w:sz w:val="32"/>
          <w:szCs w:val="32"/>
        </w:rPr>
      </w:pPr>
      <w:bookmarkStart w:id="62" w:name="_Toc15396627"/>
      <w:r>
        <w:rPr>
          <w:rFonts w:hint="eastAsia"/>
          <w:sz w:val="32"/>
          <w:szCs w:val="32"/>
        </w:rPr>
        <w:t>九、一般公共预算财政拨款项目支出决算表</w:t>
      </w:r>
      <w:bookmarkEnd w:id="62"/>
    </w:p>
    <w:p>
      <w:pPr>
        <w:pStyle w:val="2"/>
        <w:bidi w:val="0"/>
        <w:rPr>
          <w:sz w:val="32"/>
          <w:szCs w:val="32"/>
        </w:rPr>
      </w:pPr>
      <w:bookmarkStart w:id="63" w:name="_Toc15396628"/>
      <w:r>
        <w:rPr>
          <w:rFonts w:hint="eastAsia"/>
          <w:sz w:val="32"/>
          <w:szCs w:val="32"/>
        </w:rPr>
        <w:t>十、一般公共预算财政拨款“三公”经费支出决算表</w:t>
      </w:r>
      <w:bookmarkEnd w:id="63"/>
    </w:p>
    <w:p>
      <w:pPr>
        <w:pStyle w:val="2"/>
        <w:bidi w:val="0"/>
        <w:rPr>
          <w:rFonts w:hint="eastAsia"/>
          <w:sz w:val="32"/>
          <w:szCs w:val="32"/>
          <w:lang w:eastAsia="zh-CN"/>
        </w:rPr>
      </w:pPr>
      <w:bookmarkStart w:id="64" w:name="_Toc15396629"/>
      <w:r>
        <w:rPr>
          <w:rFonts w:hint="eastAsia"/>
          <w:sz w:val="32"/>
          <w:szCs w:val="32"/>
        </w:rPr>
        <w:t>十一、政府性基金预算财政拨款收入支出决算表</w:t>
      </w:r>
      <w:bookmarkEnd w:id="64"/>
      <w:r>
        <w:rPr>
          <w:rFonts w:hint="eastAsia"/>
          <w:sz w:val="32"/>
          <w:szCs w:val="32"/>
          <w:lang w:eastAsia="zh-CN"/>
        </w:rPr>
        <w:t>（报表无数据）</w:t>
      </w:r>
    </w:p>
    <w:p>
      <w:pPr>
        <w:pStyle w:val="2"/>
        <w:bidi w:val="0"/>
        <w:rPr>
          <w:sz w:val="32"/>
          <w:szCs w:val="32"/>
        </w:rPr>
      </w:pPr>
      <w:bookmarkStart w:id="65" w:name="_Toc15396630"/>
      <w:r>
        <w:rPr>
          <w:rFonts w:hint="eastAsia"/>
          <w:sz w:val="32"/>
          <w:szCs w:val="32"/>
        </w:rPr>
        <w:t>十二、政府性基金预算财政拨款“三公”经费支出决算表</w:t>
      </w:r>
      <w:bookmarkEnd w:id="65"/>
      <w:r>
        <w:rPr>
          <w:rFonts w:hint="eastAsia"/>
          <w:sz w:val="32"/>
          <w:szCs w:val="32"/>
          <w:lang w:eastAsia="zh-CN"/>
        </w:rPr>
        <w:t>（报表无数据）</w:t>
      </w:r>
    </w:p>
    <w:p>
      <w:pPr>
        <w:pStyle w:val="2"/>
        <w:bidi w:val="0"/>
        <w:rPr>
          <w:sz w:val="32"/>
          <w:szCs w:val="32"/>
        </w:rPr>
      </w:pPr>
      <w:bookmarkStart w:id="66" w:name="_Toc15396631"/>
      <w:r>
        <w:rPr>
          <w:rFonts w:hint="eastAsia"/>
          <w:sz w:val="32"/>
          <w:szCs w:val="32"/>
        </w:rPr>
        <w:t>十三、国有资本经营预算财政拨款收入支出决算表</w:t>
      </w:r>
      <w:bookmarkEnd w:id="66"/>
      <w:r>
        <w:rPr>
          <w:rFonts w:hint="eastAsia"/>
          <w:sz w:val="32"/>
          <w:szCs w:val="32"/>
          <w:lang w:eastAsia="zh-CN"/>
        </w:rPr>
        <w:t>（报表无数据）</w:t>
      </w:r>
    </w:p>
    <w:p>
      <w:pPr>
        <w:pStyle w:val="2"/>
        <w:bidi w:val="0"/>
        <w:rPr>
          <w:rFonts w:hint="eastAsia"/>
          <w:sz w:val="32"/>
          <w:szCs w:val="32"/>
          <w:lang w:eastAsia="zh-CN"/>
        </w:rPr>
      </w:pPr>
      <w:r>
        <w:rPr>
          <w:rFonts w:hint="eastAsia"/>
          <w:sz w:val="32"/>
          <w:szCs w:val="32"/>
        </w:rPr>
        <w:t>十四、国有资本经营预算财政拨款支出决算表</w:t>
      </w:r>
      <w:r>
        <w:rPr>
          <w:rFonts w:hint="eastAsia"/>
          <w:sz w:val="32"/>
          <w:szCs w:val="32"/>
          <w:lang w:eastAsia="zh-CN"/>
        </w:rPr>
        <w:t>（报表无数据）</w:t>
      </w:r>
    </w:p>
    <w:p>
      <w:pPr>
        <w:rPr>
          <w:rFonts w:eastAsia="仿宋"/>
        </w:rPr>
      </w:pP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8"/>
          <w:jc w:val="center"/>
        </w:pPr>
        <w:r>
          <w:fldChar w:fldCharType="begin"/>
        </w:r>
        <w:r>
          <w:instrText xml:space="preserve">PAGE   \* MERGEFORMAT</w:instrText>
        </w:r>
        <w:r>
          <w:fldChar w:fldCharType="separate"/>
        </w:r>
        <w:r>
          <w:rPr>
            <w:lang w:val="zh-CN"/>
          </w:rPr>
          <w:t>17</w:t>
        </w:r>
        <w: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E3A6036"/>
    <w:multiLevelType w:val="singleLevel"/>
    <w:tmpl w:val="3E3A6036"/>
    <w:lvl w:ilvl="0" w:tentative="0">
      <w:start w:val="1"/>
      <w:numFmt w:val="chineseCounting"/>
      <w:suff w:val="nothing"/>
      <w:lvlText w:val="%1、"/>
      <w:lvlJc w:val="left"/>
      <w:rPr>
        <w:rFonts w:hint="eastAsia"/>
      </w:rPr>
    </w:lvl>
  </w:abstractNum>
  <w:abstractNum w:abstractNumId="4">
    <w:nsid w:val="526BEF3A"/>
    <w:multiLevelType w:val="singleLevel"/>
    <w:tmpl w:val="526BEF3A"/>
    <w:lvl w:ilvl="0" w:tentative="0">
      <w:start w:val="1"/>
      <w:numFmt w:val="decimal"/>
      <w:suff w:val="nothing"/>
      <w:lvlText w:val="（%1）"/>
      <w:lvlJc w:val="left"/>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jFhNzI3N2E5MmE1ODFkMzhkM2ZhMmE5MjY0NTNlZmM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0F08"/>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0A38"/>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41E1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50BB"/>
    <w:rsid w:val="00F36D8F"/>
    <w:rsid w:val="00F417B1"/>
    <w:rsid w:val="00F45853"/>
    <w:rsid w:val="00F602DF"/>
    <w:rsid w:val="00F754A1"/>
    <w:rsid w:val="00F81FD9"/>
    <w:rsid w:val="00F841AA"/>
    <w:rsid w:val="00F84A94"/>
    <w:rsid w:val="00F87E96"/>
    <w:rsid w:val="00FA23E8"/>
    <w:rsid w:val="00FC22E2"/>
    <w:rsid w:val="00FD3CC1"/>
    <w:rsid w:val="00FF1E02"/>
    <w:rsid w:val="00FF30B4"/>
    <w:rsid w:val="06A63500"/>
    <w:rsid w:val="07434552"/>
    <w:rsid w:val="08164AD8"/>
    <w:rsid w:val="0A2032A3"/>
    <w:rsid w:val="0AC242F1"/>
    <w:rsid w:val="0B8A37D8"/>
    <w:rsid w:val="0BC4321C"/>
    <w:rsid w:val="0CD13BCC"/>
    <w:rsid w:val="10C055FF"/>
    <w:rsid w:val="118107EC"/>
    <w:rsid w:val="11DD6519"/>
    <w:rsid w:val="16BB723D"/>
    <w:rsid w:val="18015F3F"/>
    <w:rsid w:val="1BE8440E"/>
    <w:rsid w:val="1D155CEE"/>
    <w:rsid w:val="1FD469BE"/>
    <w:rsid w:val="20F57F95"/>
    <w:rsid w:val="21646AC9"/>
    <w:rsid w:val="21B95FE0"/>
    <w:rsid w:val="240371BF"/>
    <w:rsid w:val="25C741E6"/>
    <w:rsid w:val="27842671"/>
    <w:rsid w:val="29FD04D3"/>
    <w:rsid w:val="2ABE7A3E"/>
    <w:rsid w:val="2EFA178C"/>
    <w:rsid w:val="2FCA0158"/>
    <w:rsid w:val="30B46D73"/>
    <w:rsid w:val="319F7F4E"/>
    <w:rsid w:val="32C26E94"/>
    <w:rsid w:val="344E43B3"/>
    <w:rsid w:val="3615580F"/>
    <w:rsid w:val="36211BFC"/>
    <w:rsid w:val="38E91BDF"/>
    <w:rsid w:val="39255FDD"/>
    <w:rsid w:val="39720087"/>
    <w:rsid w:val="39AE70AB"/>
    <w:rsid w:val="3C0C0783"/>
    <w:rsid w:val="3F566811"/>
    <w:rsid w:val="3F9F3A96"/>
    <w:rsid w:val="46DC2AE6"/>
    <w:rsid w:val="46E7238E"/>
    <w:rsid w:val="493C27E9"/>
    <w:rsid w:val="496F39ED"/>
    <w:rsid w:val="49FF41D3"/>
    <w:rsid w:val="4BE068DB"/>
    <w:rsid w:val="4BF6002B"/>
    <w:rsid w:val="4C363D01"/>
    <w:rsid w:val="4ECE2238"/>
    <w:rsid w:val="51DB4B86"/>
    <w:rsid w:val="55333C3E"/>
    <w:rsid w:val="58CF4988"/>
    <w:rsid w:val="59321D72"/>
    <w:rsid w:val="59C56616"/>
    <w:rsid w:val="5A784CC8"/>
    <w:rsid w:val="5D1A4B7F"/>
    <w:rsid w:val="5EF21AE4"/>
    <w:rsid w:val="64CA39A1"/>
    <w:rsid w:val="6C4A05C8"/>
    <w:rsid w:val="701313A0"/>
    <w:rsid w:val="72734D90"/>
    <w:rsid w:val="76D7104B"/>
    <w:rsid w:val="79E7B28D"/>
    <w:rsid w:val="7D9F2881"/>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1"/>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7"/>
    <w:semiHidden/>
    <w:unhideWhenUsed/>
    <w:qFormat/>
    <w:uiPriority w:val="99"/>
    <w:rPr>
      <w:sz w:val="18"/>
      <w:szCs w:val="18"/>
    </w:rPr>
  </w:style>
  <w:style w:type="paragraph" w:styleId="8">
    <w:name w:val="footer"/>
    <w:basedOn w:val="1"/>
    <w:link w:val="19"/>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7"/>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4">
    <w:name w:val="Strong"/>
    <w:basedOn w:val="13"/>
    <w:qFormat/>
    <w:uiPriority w:val="99"/>
    <w:rPr>
      <w:b/>
    </w:rPr>
  </w:style>
  <w:style w:type="character" w:styleId="15">
    <w:name w:val="Hyperlink"/>
    <w:basedOn w:val="13"/>
    <w:unhideWhenUsed/>
    <w:qFormat/>
    <w:uiPriority w:val="99"/>
    <w:rPr>
      <w:color w:val="0000FF" w:themeColor="hyperlink"/>
      <w:u w:val="single"/>
    </w:rPr>
  </w:style>
  <w:style w:type="character" w:customStyle="1" w:styleId="16">
    <w:name w:val="Header Char"/>
    <w:basedOn w:val="13"/>
    <w:semiHidden/>
    <w:qFormat/>
    <w:uiPriority w:val="99"/>
    <w:rPr>
      <w:rFonts w:ascii="Times New Roman" w:hAnsi="Times New Roman"/>
      <w:sz w:val="18"/>
      <w:szCs w:val="18"/>
    </w:rPr>
  </w:style>
  <w:style w:type="character" w:customStyle="1" w:styleId="17">
    <w:name w:val="页眉 Char"/>
    <w:link w:val="9"/>
    <w:semiHidden/>
    <w:qFormat/>
    <w:locked/>
    <w:uiPriority w:val="99"/>
    <w:rPr>
      <w:sz w:val="18"/>
    </w:rPr>
  </w:style>
  <w:style w:type="character" w:customStyle="1" w:styleId="18">
    <w:name w:val="Footer Char"/>
    <w:basedOn w:val="13"/>
    <w:semiHidden/>
    <w:qFormat/>
    <w:uiPriority w:val="99"/>
    <w:rPr>
      <w:rFonts w:ascii="Times New Roman" w:hAnsi="Times New Roman"/>
      <w:sz w:val="18"/>
      <w:szCs w:val="18"/>
    </w:rPr>
  </w:style>
  <w:style w:type="character" w:customStyle="1" w:styleId="19">
    <w:name w:val="页脚 Char"/>
    <w:link w:val="8"/>
    <w:qFormat/>
    <w:locked/>
    <w:uiPriority w:val="99"/>
    <w:rPr>
      <w:sz w:val="18"/>
    </w:rPr>
  </w:style>
  <w:style w:type="character" w:customStyle="1" w:styleId="20">
    <w:name w:val="Body Text Char"/>
    <w:basedOn w:val="13"/>
    <w:semiHidden/>
    <w:qFormat/>
    <w:uiPriority w:val="99"/>
    <w:rPr>
      <w:rFonts w:ascii="Times New Roman" w:hAnsi="Times New Roman"/>
      <w:szCs w:val="24"/>
    </w:rPr>
  </w:style>
  <w:style w:type="character" w:customStyle="1" w:styleId="21">
    <w:name w:val="正文文本 Char"/>
    <w:link w:val="2"/>
    <w:qFormat/>
    <w:locked/>
    <w:uiPriority w:val="99"/>
    <w:rPr>
      <w:rFonts w:ascii="仿宋_GB2312" w:hAnsi="Times New Roman" w:eastAsia="仿宋_GB2312"/>
      <w:sz w:val="24"/>
    </w:rPr>
  </w:style>
  <w:style w:type="paragraph" w:customStyle="1" w:styleId="2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3">
    <w:name w:val="List Paragraph"/>
    <w:basedOn w:val="1"/>
    <w:qFormat/>
    <w:uiPriority w:val="34"/>
    <w:pPr>
      <w:ind w:firstLine="420" w:firstLineChars="200"/>
    </w:pPr>
  </w:style>
  <w:style w:type="character" w:customStyle="1" w:styleId="24">
    <w:name w:val="标题 1 Char"/>
    <w:basedOn w:val="13"/>
    <w:link w:val="3"/>
    <w:qFormat/>
    <w:uiPriority w:val="9"/>
    <w:rPr>
      <w:rFonts w:ascii="Times New Roman" w:hAnsi="Times New Roman"/>
      <w:b/>
      <w:bCs/>
      <w:kern w:val="44"/>
      <w:sz w:val="44"/>
      <w:szCs w:val="44"/>
    </w:rPr>
  </w:style>
  <w:style w:type="character" w:customStyle="1" w:styleId="25">
    <w:name w:val="标题 2 Char"/>
    <w:basedOn w:val="13"/>
    <w:link w:val="4"/>
    <w:qFormat/>
    <w:uiPriority w:val="9"/>
    <w:rPr>
      <w:rFonts w:asciiTheme="majorHAnsi" w:hAnsiTheme="majorHAnsi" w:eastAsiaTheme="majorEastAsia" w:cstheme="majorBidi"/>
      <w:b/>
      <w:bCs/>
      <w:kern w:val="2"/>
      <w:sz w:val="32"/>
      <w:szCs w:val="32"/>
    </w:rPr>
  </w:style>
  <w:style w:type="paragraph" w:customStyle="1" w:styleId="26">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7">
    <w:name w:val="批注框文本 Char"/>
    <w:basedOn w:val="13"/>
    <w:link w:val="7"/>
    <w:semiHidden/>
    <w:qFormat/>
    <w:uiPriority w:val="99"/>
    <w:rPr>
      <w:rFonts w:ascii="Times New Roman" w:hAnsi="Times New Roman"/>
      <w:kern w:val="2"/>
      <w:sz w:val="18"/>
      <w:szCs w:val="18"/>
    </w:rPr>
  </w:style>
  <w:style w:type="character" w:customStyle="1" w:styleId="28">
    <w:name w:val="标题 3 Char"/>
    <w:basedOn w:val="13"/>
    <w:link w:val="5"/>
    <w:qFormat/>
    <w:uiPriority w:val="9"/>
    <w:rPr>
      <w:rFonts w:ascii="Times New Roman" w:hAnsi="Times New Roman"/>
      <w:b/>
      <w:bCs/>
      <w:kern w:val="2"/>
      <w:sz w:val="32"/>
      <w:szCs w:val="32"/>
    </w:rPr>
  </w:style>
  <w:style w:type="paragraph" w:customStyle="1" w:styleId="29">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0">
    <w:name w:val="font21"/>
    <w:basedOn w:val="13"/>
    <w:qFormat/>
    <w:uiPriority w:val="0"/>
    <w:rPr>
      <w:rFonts w:hint="eastAsia" w:ascii="宋体" w:hAnsi="宋体" w:eastAsia="宋体" w:cs="宋体"/>
      <w:color w:val="000000"/>
      <w:sz w:val="16"/>
      <w:szCs w:val="16"/>
      <w:u w:val="none"/>
    </w:rPr>
  </w:style>
  <w:style w:type="character" w:customStyle="1" w:styleId="31">
    <w:name w:val="font51"/>
    <w:basedOn w:val="13"/>
    <w:qFormat/>
    <w:uiPriority w:val="0"/>
    <w:rPr>
      <w:rFonts w:ascii="宋体" w:hAnsi="宋体" w:eastAsia="宋体" w:cs="宋体"/>
      <w:color w:val="000000"/>
      <w:sz w:val="24"/>
      <w:szCs w:val="24"/>
      <w:u w:val="none"/>
    </w:rPr>
  </w:style>
  <w:style w:type="character" w:customStyle="1" w:styleId="32">
    <w:name w:val="font41"/>
    <w:basedOn w:val="13"/>
    <w:qFormat/>
    <w:uiPriority w:val="0"/>
    <w:rPr>
      <w:rFonts w:hint="default" w:ascii="Arial" w:hAnsi="Arial" w:cs="Arial"/>
      <w:color w:val="000000"/>
      <w:sz w:val="20"/>
      <w:szCs w:val="20"/>
      <w:u w:val="none"/>
    </w:rPr>
  </w:style>
  <w:style w:type="character" w:customStyle="1" w:styleId="33">
    <w:name w:val="font31"/>
    <w:basedOn w:val="1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2.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955540983606557"/>
          <c:y val="0.0334224598930481"/>
          <c:w val="0.927925"/>
          <c:h val="0.8069"/>
        </c:manualLayout>
      </c:layout>
      <c:barChart>
        <c:barDir val="col"/>
        <c:grouping val="clustered"/>
        <c:varyColors val="0"/>
        <c:ser>
          <c:idx val="0"/>
          <c:order val="0"/>
          <c:tx>
            <c:strRef>
              <c:f>Sheet1!$B$1</c:f>
              <c:strCache>
                <c:ptCount val="1"/>
                <c:pt idx="0">
                  <c:v>2021年</c:v>
                </c:pt>
              </c:strCache>
            </c:strRef>
          </c:tx>
          <c:spPr>
            <a:solidFill>
              <a:schemeClr val="accent1"/>
            </a:solidFill>
            <a:ln>
              <a:noFill/>
            </a:ln>
            <a:effectLst>
              <a:outerShdw blurRad="40000" dist="23000" dir="5400000" rotWithShape="0">
                <a:srgbClr val="000000">
                  <a:alpha val="35000"/>
                </a:srgbClr>
              </a:outerShdw>
            </a:effectLst>
            <a:sp3d>
              <a:extrusionClr>
                <a:srgbClr val="FFFFFF"/>
              </a:extrusionClr>
              <a:contourClr>
                <a:srgbClr val="FFFFFF"/>
              </a:contourClr>
            </a:sp3d>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extLst>
                <c:ext xmlns:c15="http://schemas.microsoft.com/office/drawing/2012/chart" uri="{02D57815-91ED-43cb-92C2-25804820EDAC}">
                  <c15:fullRef>
                    <c15:sqref>Sheet1!$A$2:$A$5</c15:sqref>
                  </c15:fullRef>
                </c:ext>
              </c:extLst>
              <c:f>Sheet1!$A$2:$A$3</c:f>
              <c:strCache>
                <c:ptCount val="2"/>
                <c:pt idx="0">
                  <c:v>总收入</c:v>
                </c:pt>
                <c:pt idx="1">
                  <c:v>总支出</c:v>
                </c:pt>
              </c:strCache>
            </c:strRef>
          </c:cat>
          <c:val>
            <c:numRef>
              <c:extLst>
                <c:ext xmlns:c15="http://schemas.microsoft.com/office/drawing/2012/chart" uri="{02D57815-91ED-43cb-92C2-25804820EDAC}">
                  <c15:fullRef>
                    <c15:sqref>Sheet1!$B$2:$B$5</c15:sqref>
                  </c15:fullRef>
                </c:ext>
              </c:extLst>
              <c:f>Sheet1!$B$2:$B$3</c:f>
              <c:numCache>
                <c:formatCode>General</c:formatCode>
                <c:ptCount val="2"/>
                <c:pt idx="0">
                  <c:v>443.13</c:v>
                </c:pt>
                <c:pt idx="1">
                  <c:v>528.05</c:v>
                </c:pt>
              </c:numCache>
            </c:numRef>
          </c:val>
        </c:ser>
        <c:ser>
          <c:idx val="2"/>
          <c:order val="1"/>
          <c:tx>
            <c:strRef>
              <c:f>Sheet1!$D$1</c:f>
              <c:strCache>
                <c:ptCount val="1"/>
                <c:pt idx="0">
                  <c:v>2020年</c:v>
                </c:pt>
              </c:strCache>
            </c:strRef>
          </c:tx>
          <c:spPr>
            <a:solidFill>
              <a:schemeClr val="accent3"/>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extrusionClr>
                <a:srgbClr val="FFFFFF"/>
              </a:extrusionClr>
              <a:contourClr>
                <a:srgbClr val="FFFFFF"/>
              </a:contourClr>
            </a:sp3d>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extLst>
                <c:ext xmlns:c15="http://schemas.microsoft.com/office/drawing/2012/chart" uri="{02D57815-91ED-43cb-92C2-25804820EDAC}">
                  <c15:fullRef>
                    <c15:sqref>Sheet1!$A$2:$A$5</c15:sqref>
                  </c15:fullRef>
                </c:ext>
              </c:extLst>
              <c:f>Sheet1!$A$2:$A$3</c:f>
              <c:strCache>
                <c:ptCount val="2"/>
                <c:pt idx="0">
                  <c:v>总收入</c:v>
                </c:pt>
                <c:pt idx="1">
                  <c:v>总支出</c:v>
                </c:pt>
              </c:strCache>
            </c:strRef>
          </c:cat>
          <c:val>
            <c:numRef>
              <c:extLst>
                <c:ext xmlns:c15="http://schemas.microsoft.com/office/drawing/2012/chart" uri="{02D57815-91ED-43cb-92C2-25804820EDAC}">
                  <c15:fullRef>
                    <c15:sqref>Sheet1!$D$2:$D$5</c15:sqref>
                  </c15:fullRef>
                </c:ext>
              </c:extLst>
              <c:f>Sheet1!$D$2:$D$3</c:f>
              <c:numCache>
                <c:formatCode>General</c:formatCode>
                <c:ptCount val="2"/>
                <c:pt idx="0">
                  <c:v>412.45</c:v>
                </c:pt>
                <c:pt idx="1">
                  <c:v>314.58</c:v>
                </c:pt>
              </c:numCache>
            </c:numRef>
          </c:val>
        </c:ser>
        <c:dLbls>
          <c:showLegendKey val="0"/>
          <c:showVal val="0"/>
          <c:showCatName val="0"/>
          <c:showSerName val="0"/>
          <c:showPercent val="0"/>
          <c:showBubbleSize val="0"/>
        </c:dLbls>
        <c:gapWidth val="75"/>
        <c:overlap val="0"/>
        <c:axId val="753784454"/>
        <c:axId val="746397465"/>
      </c:barChart>
      <c:catAx>
        <c:axId val="753784454"/>
        <c:scaling>
          <c:orientation val="minMax"/>
        </c:scaling>
        <c:delete val="0"/>
        <c:axPos val="b"/>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6397465"/>
        <c:crosses val="autoZero"/>
        <c:auto val="1"/>
        <c:lblAlgn val="ctr"/>
        <c:lblOffset val="100"/>
        <c:noMultiLvlLbl val="0"/>
      </c:catAx>
      <c:valAx>
        <c:axId val="74639746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5378445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一般公共预算财政拨款收入</c:v>
                </c:pt>
                <c:pt idx="1">
                  <c:v>其他收入</c:v>
                </c:pt>
              </c:strCache>
            </c:strRef>
          </c:cat>
          <c:val>
            <c:numRef>
              <c:f>Sheet1!$B$2:$B$3</c:f>
              <c:numCache>
                <c:formatCode>General</c:formatCode>
                <c:ptCount val="2"/>
                <c:pt idx="0">
                  <c:v>386.54</c:v>
                </c:pt>
                <c:pt idx="1">
                  <c:v>56.59</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154.67</c:v>
                </c:pt>
                <c:pt idx="1">
                  <c:v>373.37</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1455737704918"/>
          <c:y val="0.0265469824293354"/>
          <c:w val="0.927925"/>
          <c:h val="0.8069"/>
        </c:manualLayout>
      </c:layout>
      <c:barChart>
        <c:barDir val="col"/>
        <c:grouping val="clustered"/>
        <c:varyColors val="0"/>
        <c:ser>
          <c:idx val="0"/>
          <c:order val="0"/>
          <c:tx>
            <c:strRef>
              <c:f>Sheet1!$B$1</c:f>
              <c:strCache>
                <c:ptCount val="1"/>
                <c:pt idx="0">
                  <c:v>2021年</c:v>
                </c:pt>
              </c:strCache>
            </c:strRef>
          </c:tx>
          <c:spPr>
            <a:solidFill>
              <a:schemeClr val="accent1"/>
            </a:solidFill>
            <a:ln>
              <a:noFill/>
            </a:ln>
            <a:effectLst>
              <a:outerShdw blurRad="40000" dist="23000" dir="5400000" rotWithShape="0">
                <a:srgbClr val="000000">
                  <a:alpha val="35000"/>
                </a:srgbClr>
              </a:outerShdw>
            </a:effectLst>
            <a:sp3d>
              <a:extrusionClr>
                <a:srgbClr val="FFFFFF"/>
              </a:extrusionClr>
              <a:contourClr>
                <a:srgbClr val="FFFFFF"/>
              </a:contourClr>
            </a:sp3d>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extLst>
                <c:ext xmlns:c15="http://schemas.microsoft.com/office/drawing/2012/chart" uri="{02D57815-91ED-43cb-92C2-25804820EDAC}">
                  <c15:fullRef>
                    <c15:sqref>Sheet1!$A$2:$A$5</c15:sqref>
                  </c15:fullRef>
                </c:ext>
              </c:extLst>
              <c:f>Sheet1!$A$2:$A$3</c:f>
              <c:strCache>
                <c:ptCount val="2"/>
                <c:pt idx="0">
                  <c:v>财政拨款收入</c:v>
                </c:pt>
                <c:pt idx="1">
                  <c:v>财政拨款支出</c:v>
                </c:pt>
              </c:strCache>
            </c:strRef>
          </c:cat>
          <c:val>
            <c:numRef>
              <c:extLst>
                <c:ext xmlns:c15="http://schemas.microsoft.com/office/drawing/2012/chart" uri="{02D57815-91ED-43cb-92C2-25804820EDAC}">
                  <c15:fullRef>
                    <c15:sqref>Sheet1!$B$2:$B$5</c15:sqref>
                  </c15:fullRef>
                </c:ext>
              </c:extLst>
              <c:f>Sheet1!$B$2:$B$3</c:f>
              <c:numCache>
                <c:formatCode>General</c:formatCode>
                <c:ptCount val="2"/>
                <c:pt idx="0">
                  <c:v>386.54</c:v>
                </c:pt>
                <c:pt idx="1">
                  <c:v>491.71</c:v>
                </c:pt>
              </c:numCache>
            </c:numRef>
          </c:val>
        </c:ser>
        <c:ser>
          <c:idx val="2"/>
          <c:order val="1"/>
          <c:tx>
            <c:strRef>
              <c:f>Sheet1!$D$1</c:f>
              <c:strCache>
                <c:ptCount val="1"/>
                <c:pt idx="0">
                  <c:v>2020年</c:v>
                </c:pt>
              </c:strCache>
            </c:strRef>
          </c:tx>
          <c:spPr>
            <a:solidFill>
              <a:schemeClr val="accent3"/>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extrusionClr>
                <a:srgbClr val="FFFFFF"/>
              </a:extrusionClr>
              <a:contourClr>
                <a:srgbClr val="FFFFFF"/>
              </a:contourClr>
            </a:sp3d>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extLst>
                <c:ext xmlns:c15="http://schemas.microsoft.com/office/drawing/2012/chart" uri="{02D57815-91ED-43cb-92C2-25804820EDAC}">
                  <c15:fullRef>
                    <c15:sqref>Sheet1!$A$2:$A$5</c15:sqref>
                  </c15:fullRef>
                </c:ext>
              </c:extLst>
              <c:f>Sheet1!$A$2:$A$3</c:f>
              <c:strCache>
                <c:ptCount val="2"/>
                <c:pt idx="0">
                  <c:v>财政拨款收入</c:v>
                </c:pt>
                <c:pt idx="1">
                  <c:v>财政拨款支出</c:v>
                </c:pt>
              </c:strCache>
            </c:strRef>
          </c:cat>
          <c:val>
            <c:numRef>
              <c:extLst>
                <c:ext xmlns:c15="http://schemas.microsoft.com/office/drawing/2012/chart" uri="{02D57815-91ED-43cb-92C2-25804820EDAC}">
                  <c15:fullRef>
                    <c15:sqref>Sheet1!$D$2:$D$5</c15:sqref>
                  </c15:fullRef>
                </c:ext>
              </c:extLst>
              <c:f>Sheet1!$D$2:$D$3</c:f>
              <c:numCache>
                <c:formatCode>General</c:formatCode>
                <c:ptCount val="2"/>
                <c:pt idx="0">
                  <c:v>397.24</c:v>
                </c:pt>
                <c:pt idx="1">
                  <c:v>414.58</c:v>
                </c:pt>
              </c:numCache>
            </c:numRef>
          </c:val>
        </c:ser>
        <c:dLbls>
          <c:showLegendKey val="0"/>
          <c:showVal val="0"/>
          <c:showCatName val="0"/>
          <c:showSerName val="0"/>
          <c:showPercent val="0"/>
          <c:showBubbleSize val="0"/>
        </c:dLbls>
        <c:gapWidth val="75"/>
        <c:overlap val="0"/>
        <c:axId val="753784454"/>
        <c:axId val="746397465"/>
      </c:barChart>
      <c:catAx>
        <c:axId val="753784454"/>
        <c:scaling>
          <c:orientation val="minMax"/>
        </c:scaling>
        <c:delete val="0"/>
        <c:axPos val="b"/>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6397465"/>
        <c:crosses val="autoZero"/>
        <c:auto val="1"/>
        <c:lblAlgn val="ctr"/>
        <c:lblOffset val="100"/>
        <c:noMultiLvlLbl val="0"/>
      </c:catAx>
      <c:valAx>
        <c:axId val="74639746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5378445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2021年</c:v>
                </c:pt>
              </c:strCache>
            </c:strRef>
          </c:tx>
          <c:spPr>
            <a:solidFill>
              <a:schemeClr val="accent1"/>
            </a:solidFill>
            <a:ln>
              <a:noFill/>
            </a:ln>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c:f>
              <c:strCache>
                <c:ptCount val="1"/>
                <c:pt idx="0">
                  <c:v>一般公共预算财政拨款支出</c:v>
                </c:pt>
              </c:strCache>
            </c:strRef>
          </c:cat>
          <c:val>
            <c:numRef>
              <c:f>Sheet1!$B$2</c:f>
              <c:numCache>
                <c:formatCode>General</c:formatCode>
                <c:ptCount val="1"/>
                <c:pt idx="0">
                  <c:v>491.71</c:v>
                </c:pt>
              </c:numCache>
            </c:numRef>
          </c:val>
        </c:ser>
        <c:ser>
          <c:idx val="2"/>
          <c:order val="1"/>
          <c:tx>
            <c:strRef>
              <c:f>Sheet1!$C$1</c:f>
              <c:strCache>
                <c:ptCount val="1"/>
                <c:pt idx="0">
                  <c:v>2020年</c:v>
                </c:pt>
              </c:strCache>
            </c:strRef>
          </c:tx>
          <c:spPr>
            <a:solidFill>
              <a:schemeClr val="accent3"/>
            </a:solidFill>
            <a:ln>
              <a:noFill/>
            </a:ln>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c:f>
              <c:strCache>
                <c:ptCount val="1"/>
                <c:pt idx="0">
                  <c:v>一般公共预算财政拨款支出</c:v>
                </c:pt>
              </c:strCache>
            </c:strRef>
          </c:cat>
          <c:val>
            <c:numRef>
              <c:f>Sheet1!$C$2</c:f>
              <c:numCache>
                <c:formatCode>General</c:formatCode>
                <c:ptCount val="1"/>
                <c:pt idx="0">
                  <c:v>301.84</c:v>
                </c:pt>
              </c:numCache>
            </c:numRef>
          </c:val>
        </c:ser>
        <c:dLbls>
          <c:showLegendKey val="0"/>
          <c:showVal val="1"/>
          <c:showCatName val="0"/>
          <c:showSerName val="0"/>
          <c:showPercent val="0"/>
          <c:showBubbleSize val="0"/>
        </c:dLbls>
        <c:gapWidth val="219"/>
        <c:overlap val="-27"/>
        <c:axId val="753784454"/>
        <c:axId val="746397465"/>
      </c:barChart>
      <c:catAx>
        <c:axId val="753784454"/>
        <c:scaling>
          <c:orientation val="minMax"/>
        </c:scaling>
        <c:delete val="0"/>
        <c:axPos val="b"/>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6397465"/>
        <c:crosses val="autoZero"/>
        <c:auto val="1"/>
        <c:lblAlgn val="ctr"/>
        <c:lblOffset val="100"/>
        <c:noMultiLvlLbl val="0"/>
      </c:catAx>
      <c:valAx>
        <c:axId val="74639746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5378445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列2</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Lbl>
              <c:idx val="1"/>
              <c:layout>
                <c:manualLayout>
                  <c:x val="-0.0873009367840734"/>
                  <c:y val="0.00748876684972541"/>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184873960427545"/>
                  <c:y val="0"/>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卫生健康支出</c:v>
                </c:pt>
                <c:pt idx="1">
                  <c:v>住房保障支出</c:v>
                </c:pt>
                <c:pt idx="2">
                  <c:v>社会保障和就业支出</c:v>
                </c:pt>
              </c:strCache>
            </c:strRef>
          </c:cat>
          <c:val>
            <c:numRef>
              <c:f>Sheet1!$B$2:$B$4</c:f>
              <c:numCache>
                <c:formatCode>General</c:formatCode>
                <c:ptCount val="3"/>
                <c:pt idx="0">
                  <c:v>461.37</c:v>
                </c:pt>
                <c:pt idx="1">
                  <c:v>14.61</c:v>
                </c:pt>
                <c:pt idx="2">
                  <c:v>15.73</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列2</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Lbl>
              <c:idx val="0"/>
              <c:layout>
                <c:manualLayout>
                  <c:x val="-0.181099084096586"/>
                  <c:y val="0.00374438342486271"/>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0873009367840734"/>
                  <c:y val="0.00748876684972541"/>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184873960427545"/>
                  <c:y val="0"/>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因公出国费</c:v>
                </c:pt>
                <c:pt idx="1">
                  <c:v>公务用车购置及运行维护费</c:v>
                </c:pt>
                <c:pt idx="2">
                  <c:v>公务接待费</c:v>
                </c:pt>
              </c:strCache>
            </c:strRef>
          </c:cat>
          <c:val>
            <c:numRef>
              <c:f>Sheet1!$B$2:$B$4</c:f>
              <c:numCache>
                <c:formatCode>General</c:formatCode>
                <c:ptCount val="3"/>
                <c:pt idx="0">
                  <c:v>0</c:v>
                </c:pt>
                <c:pt idx="1">
                  <c:v>20.69</c:v>
                </c:pt>
                <c:pt idx="2">
                  <c:v>0</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25</Pages>
  <Words>7636</Words>
  <Characters>10521</Characters>
  <Lines>44</Lines>
  <Paragraphs>12</Paragraphs>
  <TotalTime>2</TotalTime>
  <ScaleCrop>false</ScaleCrop>
  <LinksUpToDate>false</LinksUpToDate>
  <CharactersWithSpaces>10588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2022-10-07T01:09:00Z</dcterms:created>
  <dc:creator>曹颖</dc:creator>
  <cp:lastModifiedBy>wjj2</cp:lastModifiedBy>
  <cp:lastPrinted>2022-10-27T07:36:00Z</cp:lastPrinted>
  <dcterms:modified xsi:type="dcterms:W3CDTF">2023-04-11T02:13:55Z</dcterms:modified>
  <dc:title>四川省***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E08522B3101C47E7BB9E365C29E00FDD</vt:lpwstr>
  </property>
</Properties>
</file>