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9"/>
        <w:rPr>
          <w:rFonts w:ascii="方正小标宋简体" w:hAnsi="宋体" w:eastAsia="方正小标宋简体"/>
          <w:sz w:val="72"/>
          <w:szCs w:val="72"/>
        </w:rPr>
      </w:pPr>
      <w:bookmarkStart w:id="0" w:name="_Toc15306267"/>
    </w:p>
    <w:p>
      <w:pPr>
        <w:spacing w:line="600" w:lineRule="exact"/>
        <w:jc w:val="center"/>
        <w:outlineLvl w:val="9"/>
        <w:rPr>
          <w:rFonts w:ascii="方正小标宋简体" w:hAnsi="宋体" w:eastAsia="方正小标宋简体"/>
          <w:sz w:val="72"/>
          <w:szCs w:val="72"/>
        </w:rPr>
      </w:pPr>
    </w:p>
    <w:p>
      <w:pPr>
        <w:spacing w:line="600" w:lineRule="exact"/>
        <w:jc w:val="center"/>
        <w:outlineLvl w:val="9"/>
        <w:rPr>
          <w:rFonts w:ascii="方正小标宋简体" w:hAnsi="宋体" w:eastAsia="方正小标宋简体"/>
          <w:sz w:val="72"/>
          <w:szCs w:val="72"/>
        </w:rPr>
      </w:pPr>
    </w:p>
    <w:p>
      <w:pPr>
        <w:spacing w:line="600" w:lineRule="exact"/>
        <w:jc w:val="center"/>
        <w:outlineLvl w:val="9"/>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77425"/>
      <w:bookmarkStart w:id="2" w:name="_Toc15378441"/>
      <w:bookmarkStart w:id="3" w:name="_Toc15396475"/>
      <w:bookmarkStart w:id="4" w:name="_Toc15396597"/>
      <w:bookmarkStart w:id="5" w:name="_Toc5725"/>
      <w:bookmarkStart w:id="6" w:name="_Toc15377193"/>
      <w:r>
        <w:rPr>
          <w:rFonts w:hint="eastAsia" w:ascii="方正小标宋简体" w:hAnsi="方正小标宋简体" w:eastAsia="方正小标宋简体" w:cs="方正小标宋简体"/>
          <w:sz w:val="72"/>
          <w:szCs w:val="72"/>
        </w:rPr>
        <w:t>2021年度</w:t>
      </w:r>
      <w:bookmarkEnd w:id="1"/>
      <w:bookmarkEnd w:id="2"/>
      <w:bookmarkEnd w:id="3"/>
      <w:bookmarkEnd w:id="4"/>
      <w:bookmarkEnd w:id="5"/>
      <w:bookmarkEnd w:id="6"/>
    </w:p>
    <w:bookmarkEnd w:id="0"/>
    <w:p>
      <w:pPr>
        <w:adjustRightInd w:val="0"/>
        <w:snapToGrid w:val="0"/>
        <w:spacing w:line="360" w:lineRule="auto"/>
        <w:jc w:val="center"/>
        <w:outlineLvl w:val="0"/>
        <w:rPr>
          <w:rFonts w:hint="eastAsia" w:ascii="方正小标宋简体" w:hAnsi="方正小标宋简体" w:eastAsia="方正小标宋简体" w:cs="方正小标宋简体"/>
          <w:sz w:val="72"/>
          <w:szCs w:val="72"/>
        </w:rPr>
      </w:pPr>
      <w:bookmarkStart w:id="7" w:name="_Toc4354"/>
      <w:bookmarkStart w:id="8" w:name="_Toc15306268"/>
      <w:bookmarkStart w:id="9" w:name="_Toc15396476"/>
      <w:bookmarkStart w:id="10" w:name="_Toc15377194"/>
      <w:bookmarkStart w:id="11" w:name="_Toc15378442"/>
      <w:bookmarkStart w:id="12" w:name="_Toc15396598"/>
      <w:bookmarkStart w:id="13" w:name="_Toc15377426"/>
      <w:r>
        <w:rPr>
          <w:rFonts w:hint="eastAsia" w:ascii="方正小标宋简体" w:hAnsi="方正小标宋简体" w:eastAsia="方正小标宋简体" w:cs="方正小标宋简体"/>
          <w:sz w:val="72"/>
          <w:szCs w:val="72"/>
        </w:rPr>
        <w:t>盐边县航务海事中心</w:t>
      </w:r>
      <w:bookmarkEnd w:id="7"/>
    </w:p>
    <w:bookmarkEnd w:id="8"/>
    <w:bookmarkEnd w:id="9"/>
    <w:bookmarkEnd w:id="10"/>
    <w:bookmarkEnd w:id="11"/>
    <w:bookmarkEnd w:id="12"/>
    <w:bookmarkEnd w:id="13"/>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4" w:name="_Toc18923"/>
      <w:bookmarkStart w:id="15" w:name="_Toc11624"/>
      <w:r>
        <w:rPr>
          <w:rFonts w:hint="eastAsia" w:ascii="方正小标宋简体" w:hAnsi="方正小标宋简体" w:eastAsia="方正小标宋简体" w:cs="方正小标宋简体"/>
          <w:sz w:val="72"/>
          <w:szCs w:val="72"/>
        </w:rPr>
        <w:t>单位决算</w:t>
      </w:r>
      <w:bookmarkEnd w:id="14"/>
      <w:bookmarkEnd w:id="15"/>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0"/>
      </w:pPr>
      <w:r>
        <w:rPr>
          <w:rFonts w:hint="eastAsia"/>
        </w:rPr>
        <w:t>公开时间：2022年10月20日</w:t>
      </w:r>
    </w:p>
    <w:p/>
    <w:sdt>
      <w:sdtPr>
        <w:rPr>
          <w:rFonts w:ascii="宋体" w:hAnsi="宋体" w:eastAsia="宋体" w:cs="Times New Roman"/>
          <w:kern w:val="2"/>
          <w:sz w:val="22"/>
          <w:szCs w:val="22"/>
          <w:lang w:val="en-US" w:eastAsia="zh-CN" w:bidi="ar-SA"/>
        </w:rPr>
        <w:id w:val="147470349"/>
        <w15:color w:val="DBDBDB"/>
        <w:docPartObj>
          <w:docPartGallery w:val="Table of Contents"/>
          <w:docPartUnique/>
        </w:docPartObj>
      </w:sdtPr>
      <w:sdtEndPr>
        <w:rPr>
          <w:rFonts w:ascii="宋体" w:hAnsi="宋体" w:eastAsia="宋体" w:cs="Times New Roman"/>
          <w:kern w:val="2"/>
          <w:sz w:val="22"/>
          <w:szCs w:val="22"/>
          <w:lang w:val="en-US" w:eastAsia="zh-CN" w:bidi="ar-SA"/>
        </w:rPr>
      </w:sdtEndPr>
      <w:sdtContent>
        <w:p>
          <w:pPr>
            <w:spacing w:before="0" w:beforeLines="0" w:after="0" w:afterLines="0" w:line="240" w:lineRule="auto"/>
            <w:ind w:left="0" w:leftChars="0" w:right="0" w:rightChars="0" w:firstLine="0" w:firstLineChars="0"/>
            <w:jc w:val="center"/>
            <w:rPr>
              <w:sz w:val="22"/>
              <w:szCs w:val="22"/>
            </w:rPr>
          </w:pPr>
          <w:bookmarkStart w:id="16" w:name="_Toc15396599"/>
          <w:bookmarkStart w:id="17" w:name="_Toc15377196"/>
        </w:p>
        <w:p>
          <w:pPr>
            <w:pStyle w:val="33"/>
            <w:tabs>
              <w:tab w:val="right" w:leader="dot" w:pos="8306"/>
            </w:tabs>
            <w:rPr>
              <w:sz w:val="22"/>
              <w:szCs w:val="22"/>
            </w:rPr>
          </w:pPr>
          <w:r>
            <w:rPr>
              <w:sz w:val="22"/>
              <w:szCs w:val="22"/>
            </w:rPr>
            <w:fldChar w:fldCharType="begin"/>
          </w:r>
          <w:r>
            <w:rPr>
              <w:sz w:val="22"/>
              <w:szCs w:val="22"/>
            </w:rPr>
            <w:instrText xml:space="preserve">TOC \o "1-3" \h \u </w:instrText>
          </w:r>
          <w:r>
            <w:rPr>
              <w:sz w:val="22"/>
              <w:szCs w:val="22"/>
            </w:rPr>
            <w:fldChar w:fldCharType="separate"/>
          </w:r>
          <w:r>
            <w:rPr>
              <w:sz w:val="22"/>
              <w:szCs w:val="22"/>
            </w:rPr>
            <w:fldChar w:fldCharType="begin"/>
          </w:r>
          <w:r>
            <w:rPr>
              <w:sz w:val="22"/>
              <w:szCs w:val="22"/>
            </w:rPr>
            <w:instrText xml:space="preserve"> HYPERLINK \l _Toc26277 </w:instrText>
          </w:r>
          <w:r>
            <w:rPr>
              <w:sz w:val="22"/>
              <w:szCs w:val="22"/>
            </w:rPr>
            <w:fldChar w:fldCharType="separate"/>
          </w:r>
          <w:r>
            <w:rPr>
              <w:rFonts w:hint="eastAsia" w:ascii="黑体" w:hAnsi="黑体" w:eastAsia="黑体"/>
              <w:sz w:val="22"/>
              <w:szCs w:val="22"/>
            </w:rPr>
            <w:t>第一部分 单位</w:t>
          </w:r>
          <w:r>
            <w:rPr>
              <w:rFonts w:hint="eastAsia" w:ascii="黑体" w:hAnsi="黑体" w:eastAsia="黑体"/>
              <w:bCs w:val="0"/>
              <w:sz w:val="22"/>
              <w:szCs w:val="22"/>
            </w:rPr>
            <w:t>概况</w:t>
          </w:r>
          <w:r>
            <w:rPr>
              <w:sz w:val="22"/>
              <w:szCs w:val="22"/>
            </w:rPr>
            <w:tab/>
          </w:r>
          <w:r>
            <w:rPr>
              <w:sz w:val="22"/>
              <w:szCs w:val="22"/>
            </w:rPr>
            <w:fldChar w:fldCharType="begin"/>
          </w:r>
          <w:r>
            <w:rPr>
              <w:sz w:val="22"/>
              <w:szCs w:val="22"/>
            </w:rPr>
            <w:instrText xml:space="preserve"> PAGEREF _Toc26277 \h </w:instrText>
          </w:r>
          <w:r>
            <w:rPr>
              <w:sz w:val="22"/>
              <w:szCs w:val="22"/>
            </w:rPr>
            <w:fldChar w:fldCharType="separate"/>
          </w:r>
          <w:r>
            <w:rPr>
              <w:sz w:val="22"/>
              <w:szCs w:val="22"/>
            </w:rPr>
            <w:t>3</w:t>
          </w:r>
          <w:r>
            <w:rPr>
              <w:sz w:val="22"/>
              <w:szCs w:val="22"/>
            </w:rPr>
            <w:fldChar w:fldCharType="end"/>
          </w:r>
          <w:r>
            <w:rPr>
              <w:sz w:val="22"/>
              <w:szCs w:val="22"/>
            </w:rPr>
            <w:fldChar w:fldCharType="end"/>
          </w:r>
        </w:p>
        <w:p>
          <w:pPr>
            <w:pStyle w:val="34"/>
            <w:tabs>
              <w:tab w:val="right" w:leader="dot" w:pos="8306"/>
            </w:tabs>
            <w:rPr>
              <w:sz w:val="22"/>
              <w:szCs w:val="22"/>
            </w:rPr>
          </w:pPr>
          <w:r>
            <w:rPr>
              <w:sz w:val="22"/>
              <w:szCs w:val="22"/>
            </w:rPr>
            <w:fldChar w:fldCharType="begin"/>
          </w:r>
          <w:r>
            <w:rPr>
              <w:sz w:val="22"/>
              <w:szCs w:val="22"/>
            </w:rPr>
            <w:instrText xml:space="preserve"> HYPERLINK \l _Toc13653 </w:instrText>
          </w:r>
          <w:r>
            <w:rPr>
              <w:sz w:val="22"/>
              <w:szCs w:val="22"/>
            </w:rPr>
            <w:fldChar w:fldCharType="separate"/>
          </w:r>
          <w:r>
            <w:rPr>
              <w:rFonts w:hint="eastAsia" w:ascii="黑体" w:hAnsi="黑体" w:eastAsia="黑体"/>
              <w:bCs w:val="0"/>
              <w:sz w:val="22"/>
              <w:szCs w:val="22"/>
            </w:rPr>
            <w:t>一、 职能简介</w:t>
          </w:r>
          <w:r>
            <w:rPr>
              <w:sz w:val="22"/>
              <w:szCs w:val="22"/>
            </w:rPr>
            <w:tab/>
          </w:r>
          <w:r>
            <w:rPr>
              <w:sz w:val="22"/>
              <w:szCs w:val="22"/>
            </w:rPr>
            <w:fldChar w:fldCharType="begin"/>
          </w:r>
          <w:r>
            <w:rPr>
              <w:sz w:val="22"/>
              <w:szCs w:val="22"/>
            </w:rPr>
            <w:instrText xml:space="preserve"> PAGEREF _Toc13653 \h </w:instrText>
          </w:r>
          <w:r>
            <w:rPr>
              <w:sz w:val="22"/>
              <w:szCs w:val="22"/>
            </w:rPr>
            <w:fldChar w:fldCharType="separate"/>
          </w:r>
          <w:r>
            <w:rPr>
              <w:sz w:val="22"/>
              <w:szCs w:val="22"/>
            </w:rPr>
            <w:t>3</w:t>
          </w:r>
          <w:r>
            <w:rPr>
              <w:sz w:val="22"/>
              <w:szCs w:val="22"/>
            </w:rPr>
            <w:fldChar w:fldCharType="end"/>
          </w:r>
          <w:r>
            <w:rPr>
              <w:sz w:val="22"/>
              <w:szCs w:val="22"/>
            </w:rPr>
            <w:fldChar w:fldCharType="end"/>
          </w:r>
        </w:p>
        <w:p>
          <w:pPr>
            <w:pStyle w:val="34"/>
            <w:tabs>
              <w:tab w:val="right" w:leader="dot" w:pos="8306"/>
            </w:tabs>
            <w:rPr>
              <w:sz w:val="22"/>
              <w:szCs w:val="22"/>
            </w:rPr>
          </w:pPr>
          <w:r>
            <w:rPr>
              <w:sz w:val="22"/>
              <w:szCs w:val="22"/>
            </w:rPr>
            <w:fldChar w:fldCharType="begin"/>
          </w:r>
          <w:r>
            <w:rPr>
              <w:sz w:val="22"/>
              <w:szCs w:val="22"/>
            </w:rPr>
            <w:instrText xml:space="preserve"> HYPERLINK \l _Toc508 </w:instrText>
          </w:r>
          <w:r>
            <w:rPr>
              <w:sz w:val="22"/>
              <w:szCs w:val="22"/>
            </w:rPr>
            <w:fldChar w:fldCharType="separate"/>
          </w:r>
          <w:r>
            <w:rPr>
              <w:rFonts w:hint="eastAsia" w:ascii="黑体" w:hAnsi="黑体" w:eastAsia="黑体"/>
              <w:sz w:val="22"/>
              <w:szCs w:val="22"/>
            </w:rPr>
            <w:t>二、2021年重点工作完成情况</w:t>
          </w:r>
          <w:r>
            <w:rPr>
              <w:sz w:val="22"/>
              <w:szCs w:val="22"/>
            </w:rPr>
            <w:tab/>
          </w:r>
          <w:r>
            <w:rPr>
              <w:sz w:val="22"/>
              <w:szCs w:val="22"/>
            </w:rPr>
            <w:fldChar w:fldCharType="begin"/>
          </w:r>
          <w:r>
            <w:rPr>
              <w:sz w:val="22"/>
              <w:szCs w:val="22"/>
            </w:rPr>
            <w:instrText xml:space="preserve"> PAGEREF _Toc508 \h </w:instrText>
          </w:r>
          <w:r>
            <w:rPr>
              <w:sz w:val="22"/>
              <w:szCs w:val="22"/>
            </w:rPr>
            <w:fldChar w:fldCharType="separate"/>
          </w:r>
          <w:r>
            <w:rPr>
              <w:sz w:val="22"/>
              <w:szCs w:val="22"/>
            </w:rPr>
            <w:t>4</w:t>
          </w:r>
          <w:r>
            <w:rPr>
              <w:sz w:val="22"/>
              <w:szCs w:val="22"/>
            </w:rPr>
            <w:fldChar w:fldCharType="end"/>
          </w:r>
          <w:r>
            <w:rPr>
              <w:sz w:val="22"/>
              <w:szCs w:val="22"/>
            </w:rPr>
            <w:fldChar w:fldCharType="end"/>
          </w:r>
        </w:p>
        <w:p>
          <w:pPr>
            <w:pStyle w:val="34"/>
            <w:tabs>
              <w:tab w:val="right" w:leader="dot" w:pos="8306"/>
            </w:tabs>
            <w:rPr>
              <w:sz w:val="22"/>
              <w:szCs w:val="22"/>
            </w:rPr>
          </w:pPr>
          <w:r>
            <w:rPr>
              <w:sz w:val="22"/>
              <w:szCs w:val="22"/>
            </w:rPr>
            <w:fldChar w:fldCharType="begin"/>
          </w:r>
          <w:r>
            <w:rPr>
              <w:sz w:val="22"/>
              <w:szCs w:val="22"/>
            </w:rPr>
            <w:instrText xml:space="preserve"> HYPERLINK \l _Toc508 </w:instrText>
          </w:r>
          <w:r>
            <w:rPr>
              <w:sz w:val="22"/>
              <w:szCs w:val="22"/>
            </w:rPr>
            <w:fldChar w:fldCharType="separate"/>
          </w:r>
          <w:r>
            <w:rPr>
              <w:rFonts w:hint="eastAsia" w:ascii="黑体" w:hAnsi="黑体" w:eastAsia="黑体"/>
              <w:sz w:val="22"/>
              <w:szCs w:val="22"/>
            </w:rPr>
            <w:t>三、机构设置</w:t>
          </w:r>
          <w:r>
            <w:rPr>
              <w:sz w:val="22"/>
              <w:szCs w:val="22"/>
            </w:rPr>
            <w:tab/>
          </w:r>
          <w:r>
            <w:rPr>
              <w:sz w:val="22"/>
              <w:szCs w:val="22"/>
            </w:rPr>
            <w:fldChar w:fldCharType="begin"/>
          </w:r>
          <w:r>
            <w:rPr>
              <w:sz w:val="22"/>
              <w:szCs w:val="22"/>
            </w:rPr>
            <w:instrText xml:space="preserve"> PAGEREF _Toc508 \h </w:instrText>
          </w:r>
          <w:r>
            <w:rPr>
              <w:sz w:val="22"/>
              <w:szCs w:val="22"/>
            </w:rPr>
            <w:fldChar w:fldCharType="separate"/>
          </w:r>
          <w:r>
            <w:rPr>
              <w:sz w:val="22"/>
              <w:szCs w:val="22"/>
            </w:rPr>
            <w:t>4</w:t>
          </w:r>
          <w:r>
            <w:rPr>
              <w:sz w:val="22"/>
              <w:szCs w:val="22"/>
            </w:rPr>
            <w:fldChar w:fldCharType="end"/>
          </w:r>
          <w:r>
            <w:rPr>
              <w:sz w:val="22"/>
              <w:szCs w:val="22"/>
            </w:rPr>
            <w:fldChar w:fldCharType="end"/>
          </w:r>
        </w:p>
        <w:p>
          <w:pPr>
            <w:pStyle w:val="33"/>
            <w:tabs>
              <w:tab w:val="right" w:leader="dot" w:pos="8306"/>
            </w:tabs>
            <w:rPr>
              <w:sz w:val="22"/>
              <w:szCs w:val="22"/>
            </w:rPr>
          </w:pPr>
          <w:r>
            <w:rPr>
              <w:sz w:val="22"/>
              <w:szCs w:val="22"/>
            </w:rPr>
            <w:fldChar w:fldCharType="begin"/>
          </w:r>
          <w:r>
            <w:rPr>
              <w:sz w:val="22"/>
              <w:szCs w:val="22"/>
            </w:rPr>
            <w:instrText xml:space="preserve"> HYPERLINK \l _Toc8573 </w:instrText>
          </w:r>
          <w:r>
            <w:rPr>
              <w:sz w:val="22"/>
              <w:szCs w:val="22"/>
            </w:rPr>
            <w:fldChar w:fldCharType="separate"/>
          </w:r>
          <w:r>
            <w:rPr>
              <w:rFonts w:hint="eastAsia" w:ascii="黑体" w:hAnsi="黑体" w:eastAsia="黑体"/>
              <w:sz w:val="22"/>
              <w:szCs w:val="22"/>
            </w:rPr>
            <w:t>第二部分 2021年度</w:t>
          </w:r>
          <w:r>
            <w:rPr>
              <w:rFonts w:hint="eastAsia" w:ascii="黑体" w:hAnsi="黑体" w:eastAsia="黑体"/>
              <w:bCs/>
              <w:sz w:val="22"/>
              <w:szCs w:val="22"/>
            </w:rPr>
            <w:t>单位决算情况说明</w:t>
          </w:r>
          <w:r>
            <w:rPr>
              <w:sz w:val="22"/>
              <w:szCs w:val="22"/>
            </w:rPr>
            <w:tab/>
          </w:r>
          <w:r>
            <w:rPr>
              <w:sz w:val="22"/>
              <w:szCs w:val="22"/>
            </w:rPr>
            <w:fldChar w:fldCharType="begin"/>
          </w:r>
          <w:r>
            <w:rPr>
              <w:sz w:val="22"/>
              <w:szCs w:val="22"/>
            </w:rPr>
            <w:instrText xml:space="preserve"> PAGEREF _Toc8573 \h </w:instrText>
          </w:r>
          <w:r>
            <w:rPr>
              <w:sz w:val="22"/>
              <w:szCs w:val="22"/>
            </w:rPr>
            <w:fldChar w:fldCharType="separate"/>
          </w:r>
          <w:r>
            <w:rPr>
              <w:sz w:val="22"/>
              <w:szCs w:val="22"/>
            </w:rPr>
            <w:t>5</w:t>
          </w:r>
          <w:r>
            <w:rPr>
              <w:sz w:val="22"/>
              <w:szCs w:val="22"/>
            </w:rPr>
            <w:fldChar w:fldCharType="end"/>
          </w:r>
          <w:r>
            <w:rPr>
              <w:sz w:val="22"/>
              <w:szCs w:val="22"/>
            </w:rPr>
            <w:fldChar w:fldCharType="end"/>
          </w:r>
        </w:p>
        <w:p>
          <w:pPr>
            <w:pStyle w:val="34"/>
            <w:tabs>
              <w:tab w:val="right" w:leader="dot" w:pos="8306"/>
            </w:tabs>
            <w:rPr>
              <w:sz w:val="22"/>
              <w:szCs w:val="22"/>
            </w:rPr>
          </w:pPr>
          <w:r>
            <w:rPr>
              <w:sz w:val="22"/>
              <w:szCs w:val="22"/>
            </w:rPr>
            <w:fldChar w:fldCharType="begin"/>
          </w:r>
          <w:r>
            <w:rPr>
              <w:sz w:val="22"/>
              <w:szCs w:val="22"/>
            </w:rPr>
            <w:instrText xml:space="preserve"> HYPERLINK \l _Toc12366 </w:instrText>
          </w:r>
          <w:r>
            <w:rPr>
              <w:sz w:val="22"/>
              <w:szCs w:val="22"/>
            </w:rPr>
            <w:fldChar w:fldCharType="separate"/>
          </w:r>
          <w:r>
            <w:rPr>
              <w:rFonts w:hint="default" w:ascii="黑体" w:hAnsi="黑体" w:eastAsia="黑体"/>
              <w:sz w:val="22"/>
              <w:szCs w:val="22"/>
            </w:rPr>
            <w:t xml:space="preserve">一、 </w:t>
          </w:r>
          <w:r>
            <w:rPr>
              <w:rFonts w:hint="eastAsia" w:ascii="黑体" w:hAnsi="黑体" w:eastAsia="黑体"/>
              <w:sz w:val="22"/>
              <w:szCs w:val="22"/>
            </w:rPr>
            <w:t>收入支出决算总体情况说明</w:t>
          </w:r>
          <w:r>
            <w:rPr>
              <w:sz w:val="22"/>
              <w:szCs w:val="22"/>
            </w:rPr>
            <w:tab/>
          </w:r>
          <w:r>
            <w:rPr>
              <w:sz w:val="22"/>
              <w:szCs w:val="22"/>
            </w:rPr>
            <w:fldChar w:fldCharType="begin"/>
          </w:r>
          <w:r>
            <w:rPr>
              <w:sz w:val="22"/>
              <w:szCs w:val="22"/>
            </w:rPr>
            <w:instrText xml:space="preserve"> PAGEREF _Toc12366 \h </w:instrText>
          </w:r>
          <w:r>
            <w:rPr>
              <w:sz w:val="22"/>
              <w:szCs w:val="22"/>
            </w:rPr>
            <w:fldChar w:fldCharType="separate"/>
          </w:r>
          <w:r>
            <w:rPr>
              <w:sz w:val="22"/>
              <w:szCs w:val="22"/>
            </w:rPr>
            <w:t>5</w:t>
          </w:r>
          <w:r>
            <w:rPr>
              <w:sz w:val="22"/>
              <w:szCs w:val="22"/>
            </w:rPr>
            <w:fldChar w:fldCharType="end"/>
          </w:r>
          <w:r>
            <w:rPr>
              <w:sz w:val="22"/>
              <w:szCs w:val="22"/>
            </w:rPr>
            <w:fldChar w:fldCharType="end"/>
          </w:r>
        </w:p>
        <w:p>
          <w:pPr>
            <w:pStyle w:val="34"/>
            <w:tabs>
              <w:tab w:val="right" w:leader="dot" w:pos="8306"/>
            </w:tabs>
            <w:rPr>
              <w:sz w:val="22"/>
              <w:szCs w:val="22"/>
            </w:rPr>
          </w:pPr>
          <w:r>
            <w:rPr>
              <w:sz w:val="22"/>
              <w:szCs w:val="22"/>
            </w:rPr>
            <w:fldChar w:fldCharType="begin"/>
          </w:r>
          <w:r>
            <w:rPr>
              <w:sz w:val="22"/>
              <w:szCs w:val="22"/>
            </w:rPr>
            <w:instrText xml:space="preserve"> HYPERLINK \l _Toc13770 </w:instrText>
          </w:r>
          <w:r>
            <w:rPr>
              <w:sz w:val="22"/>
              <w:szCs w:val="22"/>
            </w:rPr>
            <w:fldChar w:fldCharType="separate"/>
          </w:r>
          <w:r>
            <w:rPr>
              <w:rFonts w:hint="default" w:ascii="黑体" w:hAnsi="黑体" w:eastAsia="黑体"/>
              <w:sz w:val="22"/>
              <w:szCs w:val="22"/>
            </w:rPr>
            <w:t xml:space="preserve">二、 </w:t>
          </w:r>
          <w:r>
            <w:rPr>
              <w:rFonts w:hint="eastAsia" w:ascii="黑体" w:hAnsi="黑体" w:eastAsia="黑体"/>
              <w:sz w:val="22"/>
              <w:szCs w:val="22"/>
            </w:rPr>
            <w:t>收入决算情况说明</w:t>
          </w:r>
          <w:r>
            <w:rPr>
              <w:sz w:val="22"/>
              <w:szCs w:val="22"/>
            </w:rPr>
            <w:tab/>
          </w:r>
          <w:r>
            <w:rPr>
              <w:sz w:val="22"/>
              <w:szCs w:val="22"/>
            </w:rPr>
            <w:fldChar w:fldCharType="begin"/>
          </w:r>
          <w:r>
            <w:rPr>
              <w:sz w:val="22"/>
              <w:szCs w:val="22"/>
            </w:rPr>
            <w:instrText xml:space="preserve"> PAGEREF _Toc13770 \h </w:instrText>
          </w:r>
          <w:r>
            <w:rPr>
              <w:sz w:val="22"/>
              <w:szCs w:val="22"/>
            </w:rPr>
            <w:fldChar w:fldCharType="separate"/>
          </w:r>
          <w:r>
            <w:rPr>
              <w:sz w:val="22"/>
              <w:szCs w:val="22"/>
            </w:rPr>
            <w:t>5</w:t>
          </w:r>
          <w:r>
            <w:rPr>
              <w:sz w:val="22"/>
              <w:szCs w:val="22"/>
            </w:rPr>
            <w:fldChar w:fldCharType="end"/>
          </w:r>
          <w:r>
            <w:rPr>
              <w:sz w:val="22"/>
              <w:szCs w:val="22"/>
            </w:rPr>
            <w:fldChar w:fldCharType="end"/>
          </w:r>
        </w:p>
        <w:p>
          <w:pPr>
            <w:pStyle w:val="34"/>
            <w:tabs>
              <w:tab w:val="right" w:leader="dot" w:pos="8306"/>
            </w:tabs>
            <w:rPr>
              <w:sz w:val="22"/>
              <w:szCs w:val="22"/>
            </w:rPr>
          </w:pPr>
          <w:r>
            <w:rPr>
              <w:sz w:val="22"/>
              <w:szCs w:val="22"/>
            </w:rPr>
            <w:fldChar w:fldCharType="begin"/>
          </w:r>
          <w:r>
            <w:rPr>
              <w:sz w:val="22"/>
              <w:szCs w:val="22"/>
            </w:rPr>
            <w:instrText xml:space="preserve"> HYPERLINK \l _Toc29227 </w:instrText>
          </w:r>
          <w:r>
            <w:rPr>
              <w:sz w:val="22"/>
              <w:szCs w:val="22"/>
            </w:rPr>
            <w:fldChar w:fldCharType="separate"/>
          </w:r>
          <w:r>
            <w:rPr>
              <w:rFonts w:hint="default" w:ascii="黑体" w:hAnsi="黑体" w:eastAsia="黑体"/>
              <w:sz w:val="22"/>
              <w:szCs w:val="22"/>
            </w:rPr>
            <w:t xml:space="preserve">三、 </w:t>
          </w:r>
          <w:r>
            <w:rPr>
              <w:rFonts w:hint="eastAsia" w:ascii="黑体" w:hAnsi="黑体" w:eastAsia="黑体"/>
              <w:sz w:val="22"/>
              <w:szCs w:val="22"/>
            </w:rPr>
            <w:t>支出决算情况说明</w:t>
          </w:r>
          <w:r>
            <w:rPr>
              <w:sz w:val="22"/>
              <w:szCs w:val="22"/>
            </w:rPr>
            <w:tab/>
          </w:r>
          <w:r>
            <w:rPr>
              <w:sz w:val="22"/>
              <w:szCs w:val="22"/>
            </w:rPr>
            <w:fldChar w:fldCharType="begin"/>
          </w:r>
          <w:r>
            <w:rPr>
              <w:sz w:val="22"/>
              <w:szCs w:val="22"/>
            </w:rPr>
            <w:instrText xml:space="preserve"> PAGEREF _Toc29227 \h </w:instrText>
          </w:r>
          <w:r>
            <w:rPr>
              <w:sz w:val="22"/>
              <w:szCs w:val="22"/>
            </w:rPr>
            <w:fldChar w:fldCharType="separate"/>
          </w:r>
          <w:r>
            <w:rPr>
              <w:sz w:val="22"/>
              <w:szCs w:val="22"/>
            </w:rPr>
            <w:t>6</w:t>
          </w:r>
          <w:r>
            <w:rPr>
              <w:sz w:val="22"/>
              <w:szCs w:val="22"/>
            </w:rPr>
            <w:fldChar w:fldCharType="end"/>
          </w:r>
          <w:r>
            <w:rPr>
              <w:sz w:val="22"/>
              <w:szCs w:val="22"/>
            </w:rPr>
            <w:fldChar w:fldCharType="end"/>
          </w:r>
        </w:p>
        <w:p>
          <w:pPr>
            <w:pStyle w:val="34"/>
            <w:tabs>
              <w:tab w:val="right" w:leader="dot" w:pos="8306"/>
            </w:tabs>
            <w:rPr>
              <w:sz w:val="22"/>
              <w:szCs w:val="22"/>
            </w:rPr>
          </w:pPr>
          <w:r>
            <w:rPr>
              <w:sz w:val="22"/>
              <w:szCs w:val="22"/>
            </w:rPr>
            <w:fldChar w:fldCharType="begin"/>
          </w:r>
          <w:r>
            <w:rPr>
              <w:sz w:val="22"/>
              <w:szCs w:val="22"/>
            </w:rPr>
            <w:instrText xml:space="preserve"> HYPERLINK \l _Toc10066 </w:instrText>
          </w:r>
          <w:r>
            <w:rPr>
              <w:sz w:val="22"/>
              <w:szCs w:val="22"/>
            </w:rPr>
            <w:fldChar w:fldCharType="separate"/>
          </w:r>
          <w:r>
            <w:rPr>
              <w:rFonts w:hint="eastAsia" w:ascii="黑体" w:hAnsi="黑体" w:eastAsia="黑体"/>
              <w:sz w:val="22"/>
              <w:szCs w:val="22"/>
            </w:rPr>
            <w:t>四、财政拨款收入支出决算总体情况说明</w:t>
          </w:r>
          <w:r>
            <w:rPr>
              <w:sz w:val="22"/>
              <w:szCs w:val="22"/>
            </w:rPr>
            <w:tab/>
          </w:r>
          <w:r>
            <w:rPr>
              <w:sz w:val="22"/>
              <w:szCs w:val="22"/>
            </w:rPr>
            <w:fldChar w:fldCharType="begin"/>
          </w:r>
          <w:r>
            <w:rPr>
              <w:sz w:val="22"/>
              <w:szCs w:val="22"/>
            </w:rPr>
            <w:instrText xml:space="preserve"> PAGEREF _Toc10066 \h </w:instrText>
          </w:r>
          <w:r>
            <w:rPr>
              <w:sz w:val="22"/>
              <w:szCs w:val="22"/>
            </w:rPr>
            <w:fldChar w:fldCharType="separate"/>
          </w:r>
          <w:r>
            <w:rPr>
              <w:sz w:val="22"/>
              <w:szCs w:val="22"/>
            </w:rPr>
            <w:t>7</w:t>
          </w:r>
          <w:r>
            <w:rPr>
              <w:sz w:val="22"/>
              <w:szCs w:val="22"/>
            </w:rPr>
            <w:fldChar w:fldCharType="end"/>
          </w:r>
          <w:r>
            <w:rPr>
              <w:sz w:val="22"/>
              <w:szCs w:val="22"/>
            </w:rPr>
            <w:fldChar w:fldCharType="end"/>
          </w:r>
        </w:p>
        <w:p>
          <w:pPr>
            <w:pStyle w:val="34"/>
            <w:tabs>
              <w:tab w:val="right" w:leader="dot" w:pos="8306"/>
            </w:tabs>
            <w:rPr>
              <w:sz w:val="22"/>
              <w:szCs w:val="22"/>
            </w:rPr>
          </w:pPr>
          <w:r>
            <w:rPr>
              <w:sz w:val="22"/>
              <w:szCs w:val="22"/>
            </w:rPr>
            <w:fldChar w:fldCharType="begin"/>
          </w:r>
          <w:r>
            <w:rPr>
              <w:sz w:val="22"/>
              <w:szCs w:val="22"/>
            </w:rPr>
            <w:instrText xml:space="preserve"> HYPERLINK \l _Toc2268 </w:instrText>
          </w:r>
          <w:r>
            <w:rPr>
              <w:sz w:val="22"/>
              <w:szCs w:val="22"/>
            </w:rPr>
            <w:fldChar w:fldCharType="separate"/>
          </w:r>
          <w:r>
            <w:rPr>
              <w:rFonts w:hint="eastAsia" w:ascii="黑体" w:hAnsi="黑体" w:eastAsia="黑体"/>
              <w:sz w:val="22"/>
              <w:szCs w:val="22"/>
            </w:rPr>
            <w:t>五、一般公共预算财政拨款支出决算情况说明</w:t>
          </w:r>
          <w:r>
            <w:rPr>
              <w:sz w:val="22"/>
              <w:szCs w:val="22"/>
            </w:rPr>
            <w:tab/>
          </w:r>
          <w:r>
            <w:rPr>
              <w:sz w:val="22"/>
              <w:szCs w:val="22"/>
            </w:rPr>
            <w:fldChar w:fldCharType="begin"/>
          </w:r>
          <w:r>
            <w:rPr>
              <w:sz w:val="22"/>
              <w:szCs w:val="22"/>
            </w:rPr>
            <w:instrText xml:space="preserve"> PAGEREF _Toc2268 \h </w:instrText>
          </w:r>
          <w:r>
            <w:rPr>
              <w:sz w:val="22"/>
              <w:szCs w:val="22"/>
            </w:rPr>
            <w:fldChar w:fldCharType="separate"/>
          </w:r>
          <w:r>
            <w:rPr>
              <w:sz w:val="22"/>
              <w:szCs w:val="22"/>
            </w:rPr>
            <w:t>7</w:t>
          </w:r>
          <w:r>
            <w:rPr>
              <w:sz w:val="22"/>
              <w:szCs w:val="22"/>
            </w:rPr>
            <w:fldChar w:fldCharType="end"/>
          </w:r>
          <w:r>
            <w:rPr>
              <w:sz w:val="22"/>
              <w:szCs w:val="22"/>
            </w:rPr>
            <w:fldChar w:fldCharType="end"/>
          </w:r>
        </w:p>
        <w:p>
          <w:pPr>
            <w:pStyle w:val="34"/>
            <w:tabs>
              <w:tab w:val="right" w:leader="dot" w:pos="8306"/>
            </w:tabs>
            <w:rPr>
              <w:sz w:val="22"/>
              <w:szCs w:val="22"/>
            </w:rPr>
          </w:pPr>
          <w:r>
            <w:rPr>
              <w:sz w:val="22"/>
              <w:szCs w:val="22"/>
            </w:rPr>
            <w:fldChar w:fldCharType="begin"/>
          </w:r>
          <w:r>
            <w:rPr>
              <w:sz w:val="22"/>
              <w:szCs w:val="22"/>
            </w:rPr>
            <w:instrText xml:space="preserve"> HYPERLINK \l _Toc25763 </w:instrText>
          </w:r>
          <w:r>
            <w:rPr>
              <w:sz w:val="22"/>
              <w:szCs w:val="22"/>
            </w:rPr>
            <w:fldChar w:fldCharType="separate"/>
          </w:r>
          <w:r>
            <w:rPr>
              <w:rFonts w:hint="eastAsia" w:ascii="黑体" w:eastAsia="黑体"/>
              <w:sz w:val="22"/>
              <w:szCs w:val="22"/>
            </w:rPr>
            <w:t>六、</w:t>
          </w:r>
          <w:r>
            <w:rPr>
              <w:rFonts w:hint="eastAsia" w:ascii="黑体" w:hAnsi="黑体" w:eastAsia="黑体"/>
              <w:sz w:val="22"/>
              <w:szCs w:val="22"/>
            </w:rPr>
            <w:t>一般公共预算财政拨款基本支出决算情况说明</w:t>
          </w:r>
          <w:r>
            <w:rPr>
              <w:sz w:val="22"/>
              <w:szCs w:val="22"/>
            </w:rPr>
            <w:tab/>
          </w:r>
          <w:r>
            <w:rPr>
              <w:sz w:val="22"/>
              <w:szCs w:val="22"/>
            </w:rPr>
            <w:fldChar w:fldCharType="begin"/>
          </w:r>
          <w:r>
            <w:rPr>
              <w:sz w:val="22"/>
              <w:szCs w:val="22"/>
            </w:rPr>
            <w:instrText xml:space="preserve"> PAGEREF _Toc25763 \h </w:instrText>
          </w:r>
          <w:r>
            <w:rPr>
              <w:sz w:val="22"/>
              <w:szCs w:val="22"/>
            </w:rPr>
            <w:fldChar w:fldCharType="separate"/>
          </w:r>
          <w:r>
            <w:rPr>
              <w:sz w:val="22"/>
              <w:szCs w:val="22"/>
            </w:rPr>
            <w:t>10</w:t>
          </w:r>
          <w:r>
            <w:rPr>
              <w:sz w:val="22"/>
              <w:szCs w:val="22"/>
            </w:rPr>
            <w:fldChar w:fldCharType="end"/>
          </w:r>
          <w:r>
            <w:rPr>
              <w:sz w:val="22"/>
              <w:szCs w:val="22"/>
            </w:rPr>
            <w:fldChar w:fldCharType="end"/>
          </w:r>
        </w:p>
        <w:p>
          <w:pPr>
            <w:pStyle w:val="34"/>
            <w:tabs>
              <w:tab w:val="right" w:leader="dot" w:pos="8306"/>
            </w:tabs>
            <w:rPr>
              <w:sz w:val="22"/>
              <w:szCs w:val="22"/>
            </w:rPr>
          </w:pPr>
          <w:r>
            <w:rPr>
              <w:sz w:val="22"/>
              <w:szCs w:val="22"/>
            </w:rPr>
            <w:fldChar w:fldCharType="begin"/>
          </w:r>
          <w:r>
            <w:rPr>
              <w:sz w:val="22"/>
              <w:szCs w:val="22"/>
            </w:rPr>
            <w:instrText xml:space="preserve"> HYPERLINK \l _Toc31844 </w:instrText>
          </w:r>
          <w:r>
            <w:rPr>
              <w:sz w:val="22"/>
              <w:szCs w:val="22"/>
            </w:rPr>
            <w:fldChar w:fldCharType="separate"/>
          </w:r>
          <w:r>
            <w:rPr>
              <w:rFonts w:hint="eastAsia" w:ascii="黑体" w:eastAsia="黑体"/>
              <w:sz w:val="22"/>
              <w:szCs w:val="22"/>
            </w:rPr>
            <w:t>七、</w:t>
          </w:r>
          <w:r>
            <w:rPr>
              <w:rFonts w:hint="eastAsia" w:ascii="黑体" w:hAnsi="黑体" w:eastAsia="黑体"/>
              <w:sz w:val="22"/>
              <w:szCs w:val="22"/>
            </w:rPr>
            <w:t>“三公”经费财政拨款支出决算情况说明</w:t>
          </w:r>
          <w:r>
            <w:rPr>
              <w:sz w:val="22"/>
              <w:szCs w:val="22"/>
            </w:rPr>
            <w:tab/>
          </w:r>
          <w:r>
            <w:rPr>
              <w:sz w:val="22"/>
              <w:szCs w:val="22"/>
            </w:rPr>
            <w:fldChar w:fldCharType="begin"/>
          </w:r>
          <w:r>
            <w:rPr>
              <w:sz w:val="22"/>
              <w:szCs w:val="22"/>
            </w:rPr>
            <w:instrText xml:space="preserve"> PAGEREF _Toc31844 \h </w:instrText>
          </w:r>
          <w:r>
            <w:rPr>
              <w:sz w:val="22"/>
              <w:szCs w:val="22"/>
            </w:rPr>
            <w:fldChar w:fldCharType="separate"/>
          </w:r>
          <w:r>
            <w:rPr>
              <w:sz w:val="22"/>
              <w:szCs w:val="22"/>
            </w:rPr>
            <w:t>11</w:t>
          </w:r>
          <w:r>
            <w:rPr>
              <w:sz w:val="22"/>
              <w:szCs w:val="22"/>
            </w:rPr>
            <w:fldChar w:fldCharType="end"/>
          </w:r>
          <w:r>
            <w:rPr>
              <w:sz w:val="22"/>
              <w:szCs w:val="22"/>
            </w:rPr>
            <w:fldChar w:fldCharType="end"/>
          </w:r>
        </w:p>
        <w:p>
          <w:pPr>
            <w:pStyle w:val="34"/>
            <w:tabs>
              <w:tab w:val="right" w:leader="dot" w:pos="8306"/>
            </w:tabs>
            <w:rPr>
              <w:sz w:val="22"/>
              <w:szCs w:val="22"/>
            </w:rPr>
          </w:pPr>
          <w:r>
            <w:rPr>
              <w:sz w:val="22"/>
              <w:szCs w:val="22"/>
            </w:rPr>
            <w:fldChar w:fldCharType="begin"/>
          </w:r>
          <w:r>
            <w:rPr>
              <w:sz w:val="22"/>
              <w:szCs w:val="22"/>
            </w:rPr>
            <w:instrText xml:space="preserve"> HYPERLINK \l _Toc5276 </w:instrText>
          </w:r>
          <w:r>
            <w:rPr>
              <w:sz w:val="22"/>
              <w:szCs w:val="22"/>
            </w:rPr>
            <w:fldChar w:fldCharType="separate"/>
          </w:r>
          <w:r>
            <w:rPr>
              <w:rFonts w:hint="eastAsia" w:ascii="黑体" w:eastAsia="黑体"/>
              <w:sz w:val="22"/>
              <w:szCs w:val="22"/>
            </w:rPr>
            <w:t>八、</w:t>
          </w:r>
          <w:r>
            <w:rPr>
              <w:rFonts w:hint="eastAsia" w:ascii="黑体" w:hAnsi="黑体" w:eastAsia="黑体"/>
              <w:sz w:val="22"/>
              <w:szCs w:val="22"/>
            </w:rPr>
            <w:t>政府性基金预算支出决算情况说明</w:t>
          </w:r>
          <w:r>
            <w:rPr>
              <w:sz w:val="22"/>
              <w:szCs w:val="22"/>
            </w:rPr>
            <w:tab/>
          </w:r>
          <w:r>
            <w:rPr>
              <w:sz w:val="22"/>
              <w:szCs w:val="22"/>
            </w:rPr>
            <w:fldChar w:fldCharType="begin"/>
          </w:r>
          <w:r>
            <w:rPr>
              <w:sz w:val="22"/>
              <w:szCs w:val="22"/>
            </w:rPr>
            <w:instrText xml:space="preserve"> PAGEREF _Toc5276 \h </w:instrText>
          </w:r>
          <w:r>
            <w:rPr>
              <w:sz w:val="22"/>
              <w:szCs w:val="22"/>
            </w:rPr>
            <w:fldChar w:fldCharType="separate"/>
          </w:r>
          <w:r>
            <w:rPr>
              <w:sz w:val="22"/>
              <w:szCs w:val="22"/>
            </w:rPr>
            <w:t>12</w:t>
          </w:r>
          <w:r>
            <w:rPr>
              <w:sz w:val="22"/>
              <w:szCs w:val="22"/>
            </w:rPr>
            <w:fldChar w:fldCharType="end"/>
          </w:r>
          <w:r>
            <w:rPr>
              <w:sz w:val="22"/>
              <w:szCs w:val="22"/>
            </w:rPr>
            <w:fldChar w:fldCharType="end"/>
          </w:r>
        </w:p>
        <w:p>
          <w:pPr>
            <w:pStyle w:val="34"/>
            <w:tabs>
              <w:tab w:val="right" w:leader="dot" w:pos="8306"/>
            </w:tabs>
            <w:rPr>
              <w:sz w:val="22"/>
              <w:szCs w:val="22"/>
            </w:rPr>
          </w:pPr>
          <w:r>
            <w:rPr>
              <w:sz w:val="22"/>
              <w:szCs w:val="22"/>
            </w:rPr>
            <w:fldChar w:fldCharType="begin"/>
          </w:r>
          <w:r>
            <w:rPr>
              <w:sz w:val="22"/>
              <w:szCs w:val="22"/>
            </w:rPr>
            <w:instrText xml:space="preserve"> HYPERLINK \l _Toc24369 </w:instrText>
          </w:r>
          <w:r>
            <w:rPr>
              <w:sz w:val="22"/>
              <w:szCs w:val="22"/>
            </w:rPr>
            <w:fldChar w:fldCharType="separate"/>
          </w:r>
          <w:r>
            <w:rPr>
              <w:rFonts w:hint="eastAsia" w:ascii="黑体" w:hAnsi="黑体" w:eastAsia="黑体"/>
              <w:sz w:val="22"/>
              <w:szCs w:val="22"/>
            </w:rPr>
            <w:t>九、 国有资本经营预算支出决算情况说明</w:t>
          </w:r>
          <w:r>
            <w:rPr>
              <w:sz w:val="22"/>
              <w:szCs w:val="22"/>
            </w:rPr>
            <w:tab/>
          </w:r>
          <w:r>
            <w:rPr>
              <w:sz w:val="22"/>
              <w:szCs w:val="22"/>
            </w:rPr>
            <w:fldChar w:fldCharType="begin"/>
          </w:r>
          <w:r>
            <w:rPr>
              <w:sz w:val="22"/>
              <w:szCs w:val="22"/>
            </w:rPr>
            <w:instrText xml:space="preserve"> PAGEREF _Toc24369 \h </w:instrText>
          </w:r>
          <w:r>
            <w:rPr>
              <w:sz w:val="22"/>
              <w:szCs w:val="22"/>
            </w:rPr>
            <w:fldChar w:fldCharType="separate"/>
          </w:r>
          <w:r>
            <w:rPr>
              <w:sz w:val="22"/>
              <w:szCs w:val="22"/>
            </w:rPr>
            <w:t>12</w:t>
          </w:r>
          <w:r>
            <w:rPr>
              <w:sz w:val="22"/>
              <w:szCs w:val="22"/>
            </w:rPr>
            <w:fldChar w:fldCharType="end"/>
          </w:r>
          <w:r>
            <w:rPr>
              <w:sz w:val="22"/>
              <w:szCs w:val="22"/>
            </w:rPr>
            <w:fldChar w:fldCharType="end"/>
          </w:r>
        </w:p>
        <w:p>
          <w:pPr>
            <w:pStyle w:val="34"/>
            <w:tabs>
              <w:tab w:val="right" w:leader="dot" w:pos="8306"/>
            </w:tabs>
            <w:rPr>
              <w:sz w:val="22"/>
              <w:szCs w:val="22"/>
            </w:rPr>
          </w:pPr>
          <w:r>
            <w:rPr>
              <w:sz w:val="22"/>
              <w:szCs w:val="22"/>
            </w:rPr>
            <w:fldChar w:fldCharType="begin"/>
          </w:r>
          <w:r>
            <w:rPr>
              <w:sz w:val="22"/>
              <w:szCs w:val="22"/>
            </w:rPr>
            <w:instrText xml:space="preserve"> HYPERLINK \l _Toc22886 </w:instrText>
          </w:r>
          <w:r>
            <w:rPr>
              <w:sz w:val="22"/>
              <w:szCs w:val="22"/>
            </w:rPr>
            <w:fldChar w:fldCharType="separate"/>
          </w:r>
          <w:r>
            <w:rPr>
              <w:rFonts w:hint="eastAsia" w:ascii="黑体" w:hAnsi="黑体" w:eastAsia="黑体"/>
              <w:sz w:val="22"/>
              <w:szCs w:val="22"/>
            </w:rPr>
            <w:t>十、 其他重要事项的情况说明</w:t>
          </w:r>
          <w:r>
            <w:rPr>
              <w:sz w:val="22"/>
              <w:szCs w:val="22"/>
            </w:rPr>
            <w:tab/>
          </w:r>
          <w:r>
            <w:rPr>
              <w:sz w:val="22"/>
              <w:szCs w:val="22"/>
            </w:rPr>
            <w:fldChar w:fldCharType="begin"/>
          </w:r>
          <w:r>
            <w:rPr>
              <w:sz w:val="22"/>
              <w:szCs w:val="22"/>
            </w:rPr>
            <w:instrText xml:space="preserve"> PAGEREF _Toc22886 \h </w:instrText>
          </w:r>
          <w:r>
            <w:rPr>
              <w:sz w:val="22"/>
              <w:szCs w:val="22"/>
            </w:rPr>
            <w:fldChar w:fldCharType="separate"/>
          </w:r>
          <w:r>
            <w:rPr>
              <w:sz w:val="22"/>
              <w:szCs w:val="22"/>
            </w:rPr>
            <w:t>12</w:t>
          </w:r>
          <w:r>
            <w:rPr>
              <w:sz w:val="22"/>
              <w:szCs w:val="22"/>
            </w:rPr>
            <w:fldChar w:fldCharType="end"/>
          </w:r>
          <w:r>
            <w:rPr>
              <w:sz w:val="22"/>
              <w:szCs w:val="22"/>
            </w:rPr>
            <w:fldChar w:fldCharType="end"/>
          </w:r>
        </w:p>
        <w:p>
          <w:pPr>
            <w:pStyle w:val="33"/>
            <w:tabs>
              <w:tab w:val="right" w:leader="dot" w:pos="8306"/>
            </w:tabs>
            <w:rPr>
              <w:sz w:val="22"/>
              <w:szCs w:val="22"/>
            </w:rPr>
          </w:pPr>
          <w:r>
            <w:rPr>
              <w:sz w:val="22"/>
              <w:szCs w:val="22"/>
            </w:rPr>
            <w:fldChar w:fldCharType="begin"/>
          </w:r>
          <w:r>
            <w:rPr>
              <w:sz w:val="22"/>
              <w:szCs w:val="22"/>
            </w:rPr>
            <w:instrText xml:space="preserve"> HYPERLINK \l _Toc15705 </w:instrText>
          </w:r>
          <w:r>
            <w:rPr>
              <w:sz w:val="22"/>
              <w:szCs w:val="22"/>
            </w:rPr>
            <w:fldChar w:fldCharType="separate"/>
          </w:r>
          <w:r>
            <w:rPr>
              <w:rFonts w:hint="eastAsia" w:ascii="黑体" w:hAnsi="黑体" w:eastAsia="黑体" w:cs="黑体"/>
              <w:sz w:val="22"/>
              <w:szCs w:val="22"/>
            </w:rPr>
            <w:t xml:space="preserve">第三部分 </w:t>
          </w:r>
          <w:r>
            <w:rPr>
              <w:rFonts w:hint="eastAsia" w:ascii="黑体" w:hAnsi="黑体" w:eastAsia="黑体"/>
              <w:sz w:val="22"/>
              <w:szCs w:val="22"/>
            </w:rPr>
            <w:t>名词解释</w:t>
          </w:r>
          <w:r>
            <w:rPr>
              <w:sz w:val="22"/>
              <w:szCs w:val="22"/>
            </w:rPr>
            <w:tab/>
          </w:r>
          <w:r>
            <w:rPr>
              <w:sz w:val="22"/>
              <w:szCs w:val="22"/>
            </w:rPr>
            <w:fldChar w:fldCharType="begin"/>
          </w:r>
          <w:r>
            <w:rPr>
              <w:sz w:val="22"/>
              <w:szCs w:val="22"/>
            </w:rPr>
            <w:instrText xml:space="preserve"> PAGEREF _Toc15705 \h </w:instrText>
          </w:r>
          <w:r>
            <w:rPr>
              <w:sz w:val="22"/>
              <w:szCs w:val="22"/>
            </w:rPr>
            <w:fldChar w:fldCharType="separate"/>
          </w:r>
          <w:r>
            <w:rPr>
              <w:sz w:val="22"/>
              <w:szCs w:val="22"/>
            </w:rPr>
            <w:t>14</w:t>
          </w:r>
          <w:r>
            <w:rPr>
              <w:sz w:val="22"/>
              <w:szCs w:val="22"/>
            </w:rPr>
            <w:fldChar w:fldCharType="end"/>
          </w:r>
          <w:r>
            <w:rPr>
              <w:sz w:val="22"/>
              <w:szCs w:val="22"/>
            </w:rPr>
            <w:fldChar w:fldCharType="end"/>
          </w:r>
        </w:p>
        <w:p>
          <w:pPr>
            <w:pStyle w:val="33"/>
            <w:tabs>
              <w:tab w:val="right" w:leader="dot" w:pos="8306"/>
            </w:tabs>
            <w:rPr>
              <w:sz w:val="22"/>
              <w:szCs w:val="22"/>
            </w:rPr>
          </w:pPr>
          <w:r>
            <w:rPr>
              <w:sz w:val="22"/>
              <w:szCs w:val="22"/>
            </w:rPr>
            <w:fldChar w:fldCharType="begin"/>
          </w:r>
          <w:r>
            <w:rPr>
              <w:sz w:val="22"/>
              <w:szCs w:val="22"/>
            </w:rPr>
            <w:instrText xml:space="preserve"> HYPERLINK \l _Toc25806 </w:instrText>
          </w:r>
          <w:r>
            <w:rPr>
              <w:sz w:val="22"/>
              <w:szCs w:val="22"/>
            </w:rPr>
            <w:fldChar w:fldCharType="separate"/>
          </w:r>
          <w:r>
            <w:rPr>
              <w:rFonts w:hint="eastAsia" w:ascii="黑体" w:hAnsi="黑体" w:eastAsia="黑体"/>
              <w:sz w:val="22"/>
              <w:szCs w:val="22"/>
            </w:rPr>
            <w:t>第四部分 附件</w:t>
          </w:r>
          <w:r>
            <w:rPr>
              <w:sz w:val="22"/>
              <w:szCs w:val="22"/>
            </w:rPr>
            <w:tab/>
          </w:r>
          <w:r>
            <w:rPr>
              <w:sz w:val="22"/>
              <w:szCs w:val="22"/>
            </w:rPr>
            <w:fldChar w:fldCharType="begin"/>
          </w:r>
          <w:r>
            <w:rPr>
              <w:sz w:val="22"/>
              <w:szCs w:val="22"/>
            </w:rPr>
            <w:instrText xml:space="preserve"> PAGEREF _Toc25806 \h </w:instrText>
          </w:r>
          <w:r>
            <w:rPr>
              <w:sz w:val="22"/>
              <w:szCs w:val="22"/>
            </w:rPr>
            <w:fldChar w:fldCharType="separate"/>
          </w:r>
          <w:r>
            <w:rPr>
              <w:sz w:val="22"/>
              <w:szCs w:val="22"/>
            </w:rPr>
            <w:t>16</w:t>
          </w:r>
          <w:r>
            <w:rPr>
              <w:sz w:val="22"/>
              <w:szCs w:val="22"/>
            </w:rPr>
            <w:fldChar w:fldCharType="end"/>
          </w:r>
          <w:r>
            <w:rPr>
              <w:sz w:val="22"/>
              <w:szCs w:val="22"/>
            </w:rPr>
            <w:fldChar w:fldCharType="end"/>
          </w:r>
        </w:p>
        <w:p>
          <w:pPr>
            <w:pStyle w:val="34"/>
            <w:tabs>
              <w:tab w:val="right" w:leader="dot" w:pos="8306"/>
            </w:tabs>
            <w:rPr>
              <w:sz w:val="22"/>
              <w:szCs w:val="22"/>
            </w:rPr>
          </w:pPr>
          <w:r>
            <w:rPr>
              <w:sz w:val="22"/>
              <w:szCs w:val="22"/>
            </w:rPr>
            <w:fldChar w:fldCharType="begin"/>
          </w:r>
          <w:r>
            <w:rPr>
              <w:sz w:val="22"/>
              <w:szCs w:val="22"/>
            </w:rPr>
            <w:instrText xml:space="preserve"> HYPERLINK \l _Toc17210 </w:instrText>
          </w:r>
          <w:r>
            <w:rPr>
              <w:sz w:val="22"/>
              <w:szCs w:val="22"/>
            </w:rPr>
            <w:fldChar w:fldCharType="separate"/>
          </w:r>
          <w:r>
            <w:rPr>
              <w:rFonts w:hint="eastAsia" w:ascii="黑体" w:hAnsi="黑体" w:eastAsia="黑体" w:cs="黑体"/>
              <w:sz w:val="22"/>
              <w:szCs w:val="22"/>
            </w:rPr>
            <w:t>附件</w:t>
          </w:r>
          <w:r>
            <w:rPr>
              <w:sz w:val="22"/>
              <w:szCs w:val="22"/>
            </w:rPr>
            <w:tab/>
          </w:r>
          <w:r>
            <w:rPr>
              <w:sz w:val="22"/>
              <w:szCs w:val="22"/>
            </w:rPr>
            <w:fldChar w:fldCharType="begin"/>
          </w:r>
          <w:r>
            <w:rPr>
              <w:sz w:val="22"/>
              <w:szCs w:val="22"/>
            </w:rPr>
            <w:instrText xml:space="preserve"> PAGEREF _Toc17210 \h </w:instrText>
          </w:r>
          <w:r>
            <w:rPr>
              <w:sz w:val="22"/>
              <w:szCs w:val="22"/>
            </w:rPr>
            <w:fldChar w:fldCharType="separate"/>
          </w:r>
          <w:r>
            <w:rPr>
              <w:sz w:val="22"/>
              <w:szCs w:val="22"/>
            </w:rPr>
            <w:t>16</w:t>
          </w:r>
          <w:r>
            <w:rPr>
              <w:sz w:val="22"/>
              <w:szCs w:val="22"/>
            </w:rPr>
            <w:fldChar w:fldCharType="end"/>
          </w:r>
          <w:r>
            <w:rPr>
              <w:sz w:val="22"/>
              <w:szCs w:val="22"/>
            </w:rPr>
            <w:fldChar w:fldCharType="end"/>
          </w:r>
        </w:p>
        <w:p>
          <w:pPr>
            <w:pStyle w:val="33"/>
            <w:tabs>
              <w:tab w:val="right" w:leader="dot" w:pos="8306"/>
            </w:tabs>
            <w:rPr>
              <w:sz w:val="22"/>
              <w:szCs w:val="22"/>
            </w:rPr>
          </w:pPr>
          <w:r>
            <w:rPr>
              <w:sz w:val="22"/>
              <w:szCs w:val="22"/>
            </w:rPr>
            <w:fldChar w:fldCharType="begin"/>
          </w:r>
          <w:r>
            <w:rPr>
              <w:sz w:val="22"/>
              <w:szCs w:val="22"/>
            </w:rPr>
            <w:instrText xml:space="preserve"> HYPERLINK \l _Toc2081 </w:instrText>
          </w:r>
          <w:r>
            <w:rPr>
              <w:sz w:val="22"/>
              <w:szCs w:val="22"/>
            </w:rPr>
            <w:fldChar w:fldCharType="separate"/>
          </w:r>
          <w:r>
            <w:rPr>
              <w:rFonts w:hint="eastAsia" w:ascii="黑体" w:hAnsi="黑体" w:eastAsia="黑体"/>
              <w:sz w:val="22"/>
              <w:szCs w:val="22"/>
            </w:rPr>
            <w:t>第五部分 附表</w:t>
          </w:r>
          <w:r>
            <w:rPr>
              <w:sz w:val="22"/>
              <w:szCs w:val="22"/>
            </w:rPr>
            <w:tab/>
          </w:r>
          <w:r>
            <w:rPr>
              <w:sz w:val="22"/>
              <w:szCs w:val="22"/>
            </w:rPr>
            <w:fldChar w:fldCharType="begin"/>
          </w:r>
          <w:r>
            <w:rPr>
              <w:sz w:val="22"/>
              <w:szCs w:val="22"/>
            </w:rPr>
            <w:instrText xml:space="preserve"> PAGEREF _Toc2081 \h </w:instrText>
          </w:r>
          <w:r>
            <w:rPr>
              <w:sz w:val="22"/>
              <w:szCs w:val="22"/>
            </w:rPr>
            <w:fldChar w:fldCharType="separate"/>
          </w:r>
          <w:r>
            <w:rPr>
              <w:sz w:val="22"/>
              <w:szCs w:val="22"/>
            </w:rPr>
            <w:t>17</w:t>
          </w:r>
          <w:r>
            <w:rPr>
              <w:sz w:val="22"/>
              <w:szCs w:val="22"/>
            </w:rPr>
            <w:fldChar w:fldCharType="end"/>
          </w:r>
          <w:r>
            <w:rPr>
              <w:sz w:val="22"/>
              <w:szCs w:val="22"/>
            </w:rPr>
            <w:fldChar w:fldCharType="end"/>
          </w:r>
        </w:p>
        <w:p>
          <w:pPr>
            <w:pStyle w:val="34"/>
            <w:tabs>
              <w:tab w:val="right" w:leader="dot" w:pos="8306"/>
            </w:tabs>
            <w:rPr>
              <w:sz w:val="22"/>
              <w:szCs w:val="22"/>
            </w:rPr>
          </w:pPr>
          <w:r>
            <w:rPr>
              <w:sz w:val="22"/>
              <w:szCs w:val="22"/>
            </w:rPr>
            <w:fldChar w:fldCharType="begin"/>
          </w:r>
          <w:r>
            <w:rPr>
              <w:sz w:val="22"/>
              <w:szCs w:val="22"/>
            </w:rPr>
            <w:instrText xml:space="preserve"> HYPERLINK \l _Toc9305 </w:instrText>
          </w:r>
          <w:r>
            <w:rPr>
              <w:sz w:val="22"/>
              <w:szCs w:val="22"/>
            </w:rPr>
            <w:fldChar w:fldCharType="separate"/>
          </w:r>
          <w:r>
            <w:rPr>
              <w:rFonts w:hint="eastAsia" w:ascii="仿宋" w:hAnsi="仿宋" w:eastAsia="仿宋"/>
              <w:sz w:val="22"/>
              <w:szCs w:val="22"/>
            </w:rPr>
            <w:t>一、收</w:t>
          </w:r>
          <w:r>
            <w:rPr>
              <w:rFonts w:hint="eastAsia" w:ascii="仿宋" w:hAnsi="仿宋" w:eastAsia="仿宋"/>
              <w:bCs w:val="0"/>
              <w:sz w:val="22"/>
              <w:szCs w:val="22"/>
            </w:rPr>
            <w:t>入支出决算总表</w:t>
          </w:r>
          <w:r>
            <w:rPr>
              <w:sz w:val="22"/>
              <w:szCs w:val="22"/>
            </w:rPr>
            <w:tab/>
          </w:r>
          <w:r>
            <w:rPr>
              <w:sz w:val="22"/>
              <w:szCs w:val="22"/>
            </w:rPr>
            <w:fldChar w:fldCharType="begin"/>
          </w:r>
          <w:r>
            <w:rPr>
              <w:sz w:val="22"/>
              <w:szCs w:val="22"/>
            </w:rPr>
            <w:instrText xml:space="preserve"> PAGEREF _Toc9305 \h </w:instrText>
          </w:r>
          <w:r>
            <w:rPr>
              <w:sz w:val="22"/>
              <w:szCs w:val="22"/>
            </w:rPr>
            <w:fldChar w:fldCharType="separate"/>
          </w:r>
          <w:r>
            <w:rPr>
              <w:sz w:val="22"/>
              <w:szCs w:val="22"/>
            </w:rPr>
            <w:t>17</w:t>
          </w:r>
          <w:r>
            <w:rPr>
              <w:sz w:val="22"/>
              <w:szCs w:val="22"/>
            </w:rPr>
            <w:fldChar w:fldCharType="end"/>
          </w:r>
          <w:r>
            <w:rPr>
              <w:sz w:val="22"/>
              <w:szCs w:val="22"/>
            </w:rPr>
            <w:fldChar w:fldCharType="end"/>
          </w:r>
        </w:p>
        <w:p>
          <w:pPr>
            <w:pStyle w:val="34"/>
            <w:tabs>
              <w:tab w:val="right" w:leader="dot" w:pos="8306"/>
            </w:tabs>
            <w:rPr>
              <w:sz w:val="22"/>
              <w:szCs w:val="22"/>
            </w:rPr>
          </w:pPr>
          <w:r>
            <w:rPr>
              <w:sz w:val="22"/>
              <w:szCs w:val="22"/>
            </w:rPr>
            <w:fldChar w:fldCharType="begin"/>
          </w:r>
          <w:r>
            <w:rPr>
              <w:sz w:val="22"/>
              <w:szCs w:val="22"/>
            </w:rPr>
            <w:instrText xml:space="preserve"> HYPERLINK \l _Toc11422 </w:instrText>
          </w:r>
          <w:r>
            <w:rPr>
              <w:sz w:val="22"/>
              <w:szCs w:val="22"/>
            </w:rPr>
            <w:fldChar w:fldCharType="separate"/>
          </w:r>
          <w:r>
            <w:rPr>
              <w:rFonts w:hint="eastAsia" w:ascii="仿宋" w:hAnsi="仿宋" w:eastAsia="仿宋"/>
              <w:sz w:val="22"/>
              <w:szCs w:val="22"/>
            </w:rPr>
            <w:t>二、收</w:t>
          </w:r>
          <w:r>
            <w:rPr>
              <w:rFonts w:hint="eastAsia" w:ascii="仿宋" w:hAnsi="仿宋" w:eastAsia="仿宋"/>
              <w:bCs w:val="0"/>
              <w:sz w:val="22"/>
              <w:szCs w:val="22"/>
            </w:rPr>
            <w:t>入决算表</w:t>
          </w:r>
          <w:r>
            <w:rPr>
              <w:sz w:val="22"/>
              <w:szCs w:val="22"/>
            </w:rPr>
            <w:tab/>
          </w:r>
          <w:r>
            <w:rPr>
              <w:sz w:val="22"/>
              <w:szCs w:val="22"/>
            </w:rPr>
            <w:fldChar w:fldCharType="begin"/>
          </w:r>
          <w:r>
            <w:rPr>
              <w:sz w:val="22"/>
              <w:szCs w:val="22"/>
            </w:rPr>
            <w:instrText xml:space="preserve"> PAGEREF _Toc11422 \h </w:instrText>
          </w:r>
          <w:r>
            <w:rPr>
              <w:sz w:val="22"/>
              <w:szCs w:val="22"/>
            </w:rPr>
            <w:fldChar w:fldCharType="separate"/>
          </w:r>
          <w:r>
            <w:rPr>
              <w:sz w:val="22"/>
              <w:szCs w:val="22"/>
            </w:rPr>
            <w:t>17</w:t>
          </w:r>
          <w:r>
            <w:rPr>
              <w:sz w:val="22"/>
              <w:szCs w:val="22"/>
            </w:rPr>
            <w:fldChar w:fldCharType="end"/>
          </w:r>
          <w:r>
            <w:rPr>
              <w:sz w:val="22"/>
              <w:szCs w:val="22"/>
            </w:rPr>
            <w:fldChar w:fldCharType="end"/>
          </w:r>
        </w:p>
        <w:p>
          <w:pPr>
            <w:pStyle w:val="34"/>
            <w:tabs>
              <w:tab w:val="right" w:leader="dot" w:pos="8306"/>
            </w:tabs>
            <w:rPr>
              <w:sz w:val="22"/>
              <w:szCs w:val="22"/>
            </w:rPr>
          </w:pPr>
          <w:r>
            <w:rPr>
              <w:sz w:val="22"/>
              <w:szCs w:val="22"/>
            </w:rPr>
            <w:fldChar w:fldCharType="begin"/>
          </w:r>
          <w:r>
            <w:rPr>
              <w:sz w:val="22"/>
              <w:szCs w:val="22"/>
            </w:rPr>
            <w:instrText xml:space="preserve"> HYPERLINK \l _Toc25592 </w:instrText>
          </w:r>
          <w:r>
            <w:rPr>
              <w:sz w:val="22"/>
              <w:szCs w:val="22"/>
            </w:rPr>
            <w:fldChar w:fldCharType="separate"/>
          </w:r>
          <w:r>
            <w:rPr>
              <w:rFonts w:hint="eastAsia" w:ascii="仿宋" w:hAnsi="仿宋" w:eastAsia="仿宋"/>
              <w:bCs w:val="0"/>
              <w:sz w:val="22"/>
              <w:szCs w:val="22"/>
            </w:rPr>
            <w:t>三、</w:t>
          </w:r>
          <w:r>
            <w:rPr>
              <w:rFonts w:hint="eastAsia" w:ascii="仿宋" w:hAnsi="仿宋" w:eastAsia="仿宋"/>
              <w:sz w:val="22"/>
              <w:szCs w:val="22"/>
            </w:rPr>
            <w:t>支</w:t>
          </w:r>
          <w:r>
            <w:rPr>
              <w:rFonts w:hint="eastAsia" w:ascii="仿宋" w:hAnsi="仿宋" w:eastAsia="仿宋"/>
              <w:bCs w:val="0"/>
              <w:sz w:val="22"/>
              <w:szCs w:val="22"/>
            </w:rPr>
            <w:t>出决算表</w:t>
          </w:r>
          <w:r>
            <w:rPr>
              <w:sz w:val="22"/>
              <w:szCs w:val="22"/>
            </w:rPr>
            <w:tab/>
          </w:r>
          <w:r>
            <w:rPr>
              <w:sz w:val="22"/>
              <w:szCs w:val="22"/>
            </w:rPr>
            <w:fldChar w:fldCharType="begin"/>
          </w:r>
          <w:r>
            <w:rPr>
              <w:sz w:val="22"/>
              <w:szCs w:val="22"/>
            </w:rPr>
            <w:instrText xml:space="preserve"> PAGEREF _Toc25592 \h </w:instrText>
          </w:r>
          <w:r>
            <w:rPr>
              <w:sz w:val="22"/>
              <w:szCs w:val="22"/>
            </w:rPr>
            <w:fldChar w:fldCharType="separate"/>
          </w:r>
          <w:r>
            <w:rPr>
              <w:sz w:val="22"/>
              <w:szCs w:val="22"/>
            </w:rPr>
            <w:t>17</w:t>
          </w:r>
          <w:r>
            <w:rPr>
              <w:sz w:val="22"/>
              <w:szCs w:val="22"/>
            </w:rPr>
            <w:fldChar w:fldCharType="end"/>
          </w:r>
          <w:r>
            <w:rPr>
              <w:sz w:val="22"/>
              <w:szCs w:val="22"/>
            </w:rPr>
            <w:fldChar w:fldCharType="end"/>
          </w:r>
        </w:p>
        <w:p>
          <w:pPr>
            <w:pStyle w:val="34"/>
            <w:tabs>
              <w:tab w:val="right" w:leader="dot" w:pos="8306"/>
            </w:tabs>
            <w:rPr>
              <w:sz w:val="22"/>
              <w:szCs w:val="22"/>
            </w:rPr>
          </w:pPr>
          <w:r>
            <w:rPr>
              <w:sz w:val="22"/>
              <w:szCs w:val="22"/>
            </w:rPr>
            <w:fldChar w:fldCharType="begin"/>
          </w:r>
          <w:r>
            <w:rPr>
              <w:sz w:val="22"/>
              <w:szCs w:val="22"/>
            </w:rPr>
            <w:instrText xml:space="preserve"> HYPERLINK \l _Toc22686 </w:instrText>
          </w:r>
          <w:r>
            <w:rPr>
              <w:sz w:val="22"/>
              <w:szCs w:val="22"/>
            </w:rPr>
            <w:fldChar w:fldCharType="separate"/>
          </w:r>
          <w:r>
            <w:rPr>
              <w:rFonts w:hint="eastAsia" w:ascii="仿宋" w:hAnsi="仿宋" w:eastAsia="仿宋"/>
              <w:bCs w:val="0"/>
              <w:sz w:val="22"/>
              <w:szCs w:val="22"/>
            </w:rPr>
            <w:t>四、</w:t>
          </w:r>
          <w:r>
            <w:rPr>
              <w:rFonts w:hint="eastAsia" w:ascii="仿宋" w:hAnsi="仿宋" w:eastAsia="仿宋"/>
              <w:sz w:val="22"/>
              <w:szCs w:val="22"/>
            </w:rPr>
            <w:t>财</w:t>
          </w:r>
          <w:r>
            <w:rPr>
              <w:rFonts w:hint="eastAsia" w:ascii="仿宋" w:hAnsi="仿宋" w:eastAsia="仿宋"/>
              <w:bCs w:val="0"/>
              <w:sz w:val="22"/>
              <w:szCs w:val="22"/>
            </w:rPr>
            <w:t>政拨款收入支出决算总表</w:t>
          </w:r>
          <w:r>
            <w:rPr>
              <w:sz w:val="22"/>
              <w:szCs w:val="22"/>
            </w:rPr>
            <w:tab/>
          </w:r>
          <w:r>
            <w:rPr>
              <w:sz w:val="22"/>
              <w:szCs w:val="22"/>
            </w:rPr>
            <w:fldChar w:fldCharType="begin"/>
          </w:r>
          <w:r>
            <w:rPr>
              <w:sz w:val="22"/>
              <w:szCs w:val="22"/>
            </w:rPr>
            <w:instrText xml:space="preserve"> PAGEREF _Toc22686 \h </w:instrText>
          </w:r>
          <w:r>
            <w:rPr>
              <w:sz w:val="22"/>
              <w:szCs w:val="22"/>
            </w:rPr>
            <w:fldChar w:fldCharType="separate"/>
          </w:r>
          <w:r>
            <w:rPr>
              <w:sz w:val="22"/>
              <w:szCs w:val="22"/>
            </w:rPr>
            <w:t>17</w:t>
          </w:r>
          <w:r>
            <w:rPr>
              <w:sz w:val="22"/>
              <w:szCs w:val="22"/>
            </w:rPr>
            <w:fldChar w:fldCharType="end"/>
          </w:r>
          <w:r>
            <w:rPr>
              <w:sz w:val="22"/>
              <w:szCs w:val="22"/>
            </w:rPr>
            <w:fldChar w:fldCharType="end"/>
          </w:r>
        </w:p>
        <w:p>
          <w:pPr>
            <w:pStyle w:val="34"/>
            <w:tabs>
              <w:tab w:val="right" w:leader="dot" w:pos="8306"/>
            </w:tabs>
            <w:rPr>
              <w:sz w:val="22"/>
              <w:szCs w:val="22"/>
            </w:rPr>
          </w:pPr>
          <w:r>
            <w:rPr>
              <w:sz w:val="22"/>
              <w:szCs w:val="22"/>
            </w:rPr>
            <w:fldChar w:fldCharType="begin"/>
          </w:r>
          <w:r>
            <w:rPr>
              <w:sz w:val="22"/>
              <w:szCs w:val="22"/>
            </w:rPr>
            <w:instrText xml:space="preserve"> HYPERLINK \l _Toc18684 </w:instrText>
          </w:r>
          <w:r>
            <w:rPr>
              <w:sz w:val="22"/>
              <w:szCs w:val="22"/>
            </w:rPr>
            <w:fldChar w:fldCharType="separate"/>
          </w:r>
          <w:r>
            <w:rPr>
              <w:rFonts w:hint="eastAsia" w:ascii="仿宋" w:hAnsi="仿宋" w:eastAsia="仿宋"/>
              <w:bCs w:val="0"/>
              <w:sz w:val="22"/>
              <w:szCs w:val="22"/>
            </w:rPr>
            <w:t>五、</w:t>
          </w:r>
          <w:r>
            <w:rPr>
              <w:rFonts w:hint="eastAsia" w:ascii="仿宋" w:hAnsi="仿宋" w:eastAsia="仿宋"/>
              <w:sz w:val="22"/>
              <w:szCs w:val="22"/>
            </w:rPr>
            <w:t>财</w:t>
          </w:r>
          <w:r>
            <w:rPr>
              <w:rFonts w:hint="eastAsia" w:ascii="仿宋" w:hAnsi="仿宋" w:eastAsia="仿宋"/>
              <w:bCs w:val="0"/>
              <w:sz w:val="22"/>
              <w:szCs w:val="22"/>
            </w:rPr>
            <w:t>政拨款支出决算明细表</w:t>
          </w:r>
          <w:r>
            <w:rPr>
              <w:sz w:val="22"/>
              <w:szCs w:val="22"/>
            </w:rPr>
            <w:tab/>
          </w:r>
          <w:r>
            <w:rPr>
              <w:sz w:val="22"/>
              <w:szCs w:val="22"/>
            </w:rPr>
            <w:fldChar w:fldCharType="begin"/>
          </w:r>
          <w:r>
            <w:rPr>
              <w:sz w:val="22"/>
              <w:szCs w:val="22"/>
            </w:rPr>
            <w:instrText xml:space="preserve"> PAGEREF _Toc18684 \h </w:instrText>
          </w:r>
          <w:r>
            <w:rPr>
              <w:sz w:val="22"/>
              <w:szCs w:val="22"/>
            </w:rPr>
            <w:fldChar w:fldCharType="separate"/>
          </w:r>
          <w:r>
            <w:rPr>
              <w:sz w:val="22"/>
              <w:szCs w:val="22"/>
            </w:rPr>
            <w:t>17</w:t>
          </w:r>
          <w:r>
            <w:rPr>
              <w:sz w:val="22"/>
              <w:szCs w:val="22"/>
            </w:rPr>
            <w:fldChar w:fldCharType="end"/>
          </w:r>
          <w:r>
            <w:rPr>
              <w:sz w:val="22"/>
              <w:szCs w:val="22"/>
            </w:rPr>
            <w:fldChar w:fldCharType="end"/>
          </w:r>
        </w:p>
        <w:p>
          <w:pPr>
            <w:pStyle w:val="34"/>
            <w:tabs>
              <w:tab w:val="right" w:leader="dot" w:pos="8306"/>
            </w:tabs>
            <w:rPr>
              <w:sz w:val="22"/>
              <w:szCs w:val="22"/>
            </w:rPr>
          </w:pPr>
          <w:r>
            <w:rPr>
              <w:sz w:val="22"/>
              <w:szCs w:val="22"/>
            </w:rPr>
            <w:fldChar w:fldCharType="begin"/>
          </w:r>
          <w:r>
            <w:rPr>
              <w:sz w:val="22"/>
              <w:szCs w:val="22"/>
            </w:rPr>
            <w:instrText xml:space="preserve"> HYPERLINK \l _Toc29087 </w:instrText>
          </w:r>
          <w:r>
            <w:rPr>
              <w:sz w:val="22"/>
              <w:szCs w:val="22"/>
            </w:rPr>
            <w:fldChar w:fldCharType="separate"/>
          </w:r>
          <w:r>
            <w:rPr>
              <w:rFonts w:hint="eastAsia" w:ascii="仿宋" w:hAnsi="仿宋" w:eastAsia="仿宋"/>
              <w:bCs w:val="0"/>
              <w:sz w:val="22"/>
              <w:szCs w:val="22"/>
            </w:rPr>
            <w:t>六、</w:t>
          </w:r>
          <w:r>
            <w:rPr>
              <w:rFonts w:hint="eastAsia" w:ascii="仿宋" w:hAnsi="仿宋" w:eastAsia="仿宋"/>
              <w:sz w:val="22"/>
              <w:szCs w:val="22"/>
            </w:rPr>
            <w:t>一</w:t>
          </w:r>
          <w:r>
            <w:rPr>
              <w:rFonts w:hint="eastAsia" w:ascii="仿宋" w:hAnsi="仿宋" w:eastAsia="仿宋"/>
              <w:bCs w:val="0"/>
              <w:sz w:val="22"/>
              <w:szCs w:val="22"/>
            </w:rPr>
            <w:t>般公共预算财政拨款支出决算表</w:t>
          </w:r>
          <w:r>
            <w:rPr>
              <w:sz w:val="22"/>
              <w:szCs w:val="22"/>
            </w:rPr>
            <w:tab/>
          </w:r>
          <w:r>
            <w:rPr>
              <w:sz w:val="22"/>
              <w:szCs w:val="22"/>
            </w:rPr>
            <w:fldChar w:fldCharType="begin"/>
          </w:r>
          <w:r>
            <w:rPr>
              <w:sz w:val="22"/>
              <w:szCs w:val="22"/>
            </w:rPr>
            <w:instrText xml:space="preserve"> PAGEREF _Toc29087 \h </w:instrText>
          </w:r>
          <w:r>
            <w:rPr>
              <w:sz w:val="22"/>
              <w:szCs w:val="22"/>
            </w:rPr>
            <w:fldChar w:fldCharType="separate"/>
          </w:r>
          <w:r>
            <w:rPr>
              <w:sz w:val="22"/>
              <w:szCs w:val="22"/>
            </w:rPr>
            <w:t>17</w:t>
          </w:r>
          <w:r>
            <w:rPr>
              <w:sz w:val="22"/>
              <w:szCs w:val="22"/>
            </w:rPr>
            <w:fldChar w:fldCharType="end"/>
          </w:r>
          <w:r>
            <w:rPr>
              <w:sz w:val="22"/>
              <w:szCs w:val="22"/>
            </w:rPr>
            <w:fldChar w:fldCharType="end"/>
          </w:r>
        </w:p>
        <w:p>
          <w:pPr>
            <w:pStyle w:val="34"/>
            <w:tabs>
              <w:tab w:val="right" w:leader="dot" w:pos="8306"/>
            </w:tabs>
            <w:rPr>
              <w:sz w:val="22"/>
              <w:szCs w:val="22"/>
            </w:rPr>
          </w:pPr>
          <w:r>
            <w:rPr>
              <w:sz w:val="22"/>
              <w:szCs w:val="22"/>
            </w:rPr>
            <w:fldChar w:fldCharType="begin"/>
          </w:r>
          <w:r>
            <w:rPr>
              <w:sz w:val="22"/>
              <w:szCs w:val="22"/>
            </w:rPr>
            <w:instrText xml:space="preserve"> HYPERLINK \l _Toc7281 </w:instrText>
          </w:r>
          <w:r>
            <w:rPr>
              <w:sz w:val="22"/>
              <w:szCs w:val="22"/>
            </w:rPr>
            <w:fldChar w:fldCharType="separate"/>
          </w:r>
          <w:r>
            <w:rPr>
              <w:rFonts w:hint="eastAsia" w:ascii="仿宋" w:hAnsi="仿宋" w:eastAsia="仿宋"/>
              <w:bCs w:val="0"/>
              <w:sz w:val="22"/>
              <w:szCs w:val="22"/>
            </w:rPr>
            <w:t>七、</w:t>
          </w:r>
          <w:r>
            <w:rPr>
              <w:rFonts w:hint="eastAsia" w:ascii="仿宋" w:hAnsi="仿宋" w:eastAsia="仿宋"/>
              <w:sz w:val="22"/>
              <w:szCs w:val="22"/>
            </w:rPr>
            <w:t>一</w:t>
          </w:r>
          <w:r>
            <w:rPr>
              <w:rFonts w:hint="eastAsia" w:ascii="仿宋" w:hAnsi="仿宋" w:eastAsia="仿宋"/>
              <w:bCs w:val="0"/>
              <w:sz w:val="22"/>
              <w:szCs w:val="22"/>
            </w:rPr>
            <w:t>般公共预算财政拨款支出决算明细表</w:t>
          </w:r>
          <w:r>
            <w:rPr>
              <w:sz w:val="22"/>
              <w:szCs w:val="22"/>
            </w:rPr>
            <w:tab/>
          </w:r>
          <w:r>
            <w:rPr>
              <w:sz w:val="22"/>
              <w:szCs w:val="22"/>
            </w:rPr>
            <w:fldChar w:fldCharType="begin"/>
          </w:r>
          <w:r>
            <w:rPr>
              <w:sz w:val="22"/>
              <w:szCs w:val="22"/>
            </w:rPr>
            <w:instrText xml:space="preserve"> PAGEREF _Toc7281 \h </w:instrText>
          </w:r>
          <w:r>
            <w:rPr>
              <w:sz w:val="22"/>
              <w:szCs w:val="22"/>
            </w:rPr>
            <w:fldChar w:fldCharType="separate"/>
          </w:r>
          <w:r>
            <w:rPr>
              <w:sz w:val="22"/>
              <w:szCs w:val="22"/>
            </w:rPr>
            <w:t>17</w:t>
          </w:r>
          <w:r>
            <w:rPr>
              <w:sz w:val="22"/>
              <w:szCs w:val="22"/>
            </w:rPr>
            <w:fldChar w:fldCharType="end"/>
          </w:r>
          <w:r>
            <w:rPr>
              <w:sz w:val="22"/>
              <w:szCs w:val="22"/>
            </w:rPr>
            <w:fldChar w:fldCharType="end"/>
          </w:r>
        </w:p>
        <w:p>
          <w:pPr>
            <w:pStyle w:val="34"/>
            <w:tabs>
              <w:tab w:val="right" w:leader="dot" w:pos="8306"/>
            </w:tabs>
            <w:rPr>
              <w:sz w:val="22"/>
              <w:szCs w:val="22"/>
            </w:rPr>
          </w:pPr>
          <w:r>
            <w:rPr>
              <w:sz w:val="22"/>
              <w:szCs w:val="22"/>
            </w:rPr>
            <w:fldChar w:fldCharType="begin"/>
          </w:r>
          <w:r>
            <w:rPr>
              <w:sz w:val="22"/>
              <w:szCs w:val="22"/>
            </w:rPr>
            <w:instrText xml:space="preserve"> HYPERLINK \l _Toc14325 </w:instrText>
          </w:r>
          <w:r>
            <w:rPr>
              <w:sz w:val="22"/>
              <w:szCs w:val="22"/>
            </w:rPr>
            <w:fldChar w:fldCharType="separate"/>
          </w:r>
          <w:r>
            <w:rPr>
              <w:rFonts w:hint="eastAsia" w:ascii="仿宋" w:hAnsi="仿宋" w:eastAsia="仿宋"/>
              <w:bCs w:val="0"/>
              <w:sz w:val="22"/>
              <w:szCs w:val="22"/>
            </w:rPr>
            <w:t>八、</w:t>
          </w:r>
          <w:r>
            <w:rPr>
              <w:rFonts w:hint="eastAsia" w:ascii="仿宋" w:hAnsi="仿宋" w:eastAsia="仿宋"/>
              <w:sz w:val="22"/>
              <w:szCs w:val="22"/>
            </w:rPr>
            <w:t>一</w:t>
          </w:r>
          <w:r>
            <w:rPr>
              <w:rFonts w:hint="eastAsia" w:ascii="仿宋" w:hAnsi="仿宋" w:eastAsia="仿宋"/>
              <w:bCs w:val="0"/>
              <w:sz w:val="22"/>
              <w:szCs w:val="22"/>
            </w:rPr>
            <w:t>般公共预算财政拨款基本支出决算表</w:t>
          </w:r>
          <w:r>
            <w:rPr>
              <w:sz w:val="22"/>
              <w:szCs w:val="22"/>
            </w:rPr>
            <w:tab/>
          </w:r>
          <w:r>
            <w:rPr>
              <w:sz w:val="22"/>
              <w:szCs w:val="22"/>
            </w:rPr>
            <w:fldChar w:fldCharType="begin"/>
          </w:r>
          <w:r>
            <w:rPr>
              <w:sz w:val="22"/>
              <w:szCs w:val="22"/>
            </w:rPr>
            <w:instrText xml:space="preserve"> PAGEREF _Toc14325 \h </w:instrText>
          </w:r>
          <w:r>
            <w:rPr>
              <w:sz w:val="22"/>
              <w:szCs w:val="22"/>
            </w:rPr>
            <w:fldChar w:fldCharType="separate"/>
          </w:r>
          <w:r>
            <w:rPr>
              <w:sz w:val="22"/>
              <w:szCs w:val="22"/>
            </w:rPr>
            <w:t>17</w:t>
          </w:r>
          <w:r>
            <w:rPr>
              <w:sz w:val="22"/>
              <w:szCs w:val="22"/>
            </w:rPr>
            <w:fldChar w:fldCharType="end"/>
          </w:r>
          <w:r>
            <w:rPr>
              <w:sz w:val="22"/>
              <w:szCs w:val="22"/>
            </w:rPr>
            <w:fldChar w:fldCharType="end"/>
          </w:r>
        </w:p>
        <w:p>
          <w:pPr>
            <w:pStyle w:val="34"/>
            <w:tabs>
              <w:tab w:val="right" w:leader="dot" w:pos="8306"/>
            </w:tabs>
            <w:rPr>
              <w:sz w:val="22"/>
              <w:szCs w:val="22"/>
            </w:rPr>
          </w:pPr>
          <w:r>
            <w:rPr>
              <w:sz w:val="22"/>
              <w:szCs w:val="22"/>
            </w:rPr>
            <w:fldChar w:fldCharType="begin"/>
          </w:r>
          <w:r>
            <w:rPr>
              <w:sz w:val="22"/>
              <w:szCs w:val="22"/>
            </w:rPr>
            <w:instrText xml:space="preserve"> HYPERLINK \l _Toc13038 </w:instrText>
          </w:r>
          <w:r>
            <w:rPr>
              <w:sz w:val="22"/>
              <w:szCs w:val="22"/>
            </w:rPr>
            <w:fldChar w:fldCharType="separate"/>
          </w:r>
          <w:r>
            <w:rPr>
              <w:rFonts w:hint="eastAsia" w:ascii="仿宋" w:hAnsi="仿宋" w:eastAsia="仿宋"/>
              <w:bCs w:val="0"/>
              <w:sz w:val="22"/>
              <w:szCs w:val="22"/>
            </w:rPr>
            <w:t>九、</w:t>
          </w:r>
          <w:r>
            <w:rPr>
              <w:rFonts w:hint="eastAsia" w:ascii="仿宋" w:hAnsi="仿宋" w:eastAsia="仿宋"/>
              <w:sz w:val="22"/>
              <w:szCs w:val="22"/>
            </w:rPr>
            <w:t>一</w:t>
          </w:r>
          <w:r>
            <w:rPr>
              <w:rFonts w:hint="eastAsia" w:ascii="仿宋" w:hAnsi="仿宋" w:eastAsia="仿宋"/>
              <w:bCs w:val="0"/>
              <w:sz w:val="22"/>
              <w:szCs w:val="22"/>
            </w:rPr>
            <w:t>般公共预算财政拨款项目支出决算表</w:t>
          </w:r>
          <w:r>
            <w:rPr>
              <w:sz w:val="22"/>
              <w:szCs w:val="22"/>
            </w:rPr>
            <w:tab/>
          </w:r>
          <w:r>
            <w:rPr>
              <w:sz w:val="22"/>
              <w:szCs w:val="22"/>
            </w:rPr>
            <w:fldChar w:fldCharType="begin"/>
          </w:r>
          <w:r>
            <w:rPr>
              <w:sz w:val="22"/>
              <w:szCs w:val="22"/>
            </w:rPr>
            <w:instrText xml:space="preserve"> PAGEREF _Toc13038 \h </w:instrText>
          </w:r>
          <w:r>
            <w:rPr>
              <w:sz w:val="22"/>
              <w:szCs w:val="22"/>
            </w:rPr>
            <w:fldChar w:fldCharType="separate"/>
          </w:r>
          <w:r>
            <w:rPr>
              <w:sz w:val="22"/>
              <w:szCs w:val="22"/>
            </w:rPr>
            <w:t>17</w:t>
          </w:r>
          <w:r>
            <w:rPr>
              <w:sz w:val="22"/>
              <w:szCs w:val="22"/>
            </w:rPr>
            <w:fldChar w:fldCharType="end"/>
          </w:r>
          <w:r>
            <w:rPr>
              <w:sz w:val="22"/>
              <w:szCs w:val="22"/>
            </w:rPr>
            <w:fldChar w:fldCharType="end"/>
          </w:r>
        </w:p>
        <w:p>
          <w:pPr>
            <w:pStyle w:val="34"/>
            <w:tabs>
              <w:tab w:val="right" w:leader="dot" w:pos="8306"/>
            </w:tabs>
            <w:rPr>
              <w:sz w:val="22"/>
              <w:szCs w:val="22"/>
            </w:rPr>
          </w:pPr>
          <w:r>
            <w:rPr>
              <w:sz w:val="22"/>
              <w:szCs w:val="22"/>
            </w:rPr>
            <w:fldChar w:fldCharType="begin"/>
          </w:r>
          <w:r>
            <w:rPr>
              <w:sz w:val="22"/>
              <w:szCs w:val="22"/>
            </w:rPr>
            <w:instrText xml:space="preserve"> HYPERLINK \l _Toc13609 </w:instrText>
          </w:r>
          <w:r>
            <w:rPr>
              <w:sz w:val="22"/>
              <w:szCs w:val="22"/>
            </w:rPr>
            <w:fldChar w:fldCharType="separate"/>
          </w:r>
          <w:r>
            <w:rPr>
              <w:rFonts w:hint="eastAsia" w:ascii="仿宋" w:hAnsi="仿宋" w:eastAsia="仿宋"/>
              <w:bCs w:val="0"/>
              <w:sz w:val="22"/>
              <w:szCs w:val="22"/>
            </w:rPr>
            <w:t>十、</w:t>
          </w:r>
          <w:r>
            <w:rPr>
              <w:rFonts w:hint="eastAsia" w:ascii="仿宋" w:hAnsi="仿宋" w:eastAsia="仿宋"/>
              <w:sz w:val="22"/>
              <w:szCs w:val="22"/>
            </w:rPr>
            <w:t>一</w:t>
          </w:r>
          <w:r>
            <w:rPr>
              <w:rFonts w:hint="eastAsia" w:ascii="仿宋" w:hAnsi="仿宋" w:eastAsia="仿宋"/>
              <w:bCs w:val="0"/>
              <w:sz w:val="22"/>
              <w:szCs w:val="22"/>
            </w:rPr>
            <w:t>般公共预算财政拨款“三公”经费支出决算表</w:t>
          </w:r>
          <w:r>
            <w:rPr>
              <w:sz w:val="22"/>
              <w:szCs w:val="22"/>
            </w:rPr>
            <w:tab/>
          </w:r>
          <w:r>
            <w:rPr>
              <w:sz w:val="22"/>
              <w:szCs w:val="22"/>
            </w:rPr>
            <w:fldChar w:fldCharType="begin"/>
          </w:r>
          <w:r>
            <w:rPr>
              <w:sz w:val="22"/>
              <w:szCs w:val="22"/>
            </w:rPr>
            <w:instrText xml:space="preserve"> PAGEREF _Toc13609 \h </w:instrText>
          </w:r>
          <w:r>
            <w:rPr>
              <w:sz w:val="22"/>
              <w:szCs w:val="22"/>
            </w:rPr>
            <w:fldChar w:fldCharType="separate"/>
          </w:r>
          <w:r>
            <w:rPr>
              <w:sz w:val="22"/>
              <w:szCs w:val="22"/>
            </w:rPr>
            <w:t>17</w:t>
          </w:r>
          <w:r>
            <w:rPr>
              <w:sz w:val="22"/>
              <w:szCs w:val="22"/>
            </w:rPr>
            <w:fldChar w:fldCharType="end"/>
          </w:r>
          <w:r>
            <w:rPr>
              <w:sz w:val="22"/>
              <w:szCs w:val="22"/>
            </w:rPr>
            <w:fldChar w:fldCharType="end"/>
          </w:r>
        </w:p>
        <w:p>
          <w:pPr>
            <w:pStyle w:val="34"/>
            <w:tabs>
              <w:tab w:val="right" w:leader="dot" w:pos="8306"/>
            </w:tabs>
            <w:rPr>
              <w:sz w:val="22"/>
              <w:szCs w:val="22"/>
            </w:rPr>
          </w:pPr>
          <w:r>
            <w:rPr>
              <w:sz w:val="22"/>
              <w:szCs w:val="22"/>
            </w:rPr>
            <w:fldChar w:fldCharType="begin"/>
          </w:r>
          <w:r>
            <w:rPr>
              <w:sz w:val="22"/>
              <w:szCs w:val="22"/>
            </w:rPr>
            <w:instrText xml:space="preserve"> HYPERLINK \l _Toc501 </w:instrText>
          </w:r>
          <w:r>
            <w:rPr>
              <w:sz w:val="22"/>
              <w:szCs w:val="22"/>
            </w:rPr>
            <w:fldChar w:fldCharType="separate"/>
          </w:r>
          <w:r>
            <w:rPr>
              <w:rFonts w:hint="eastAsia" w:ascii="仿宋" w:hAnsi="仿宋" w:eastAsia="仿宋"/>
              <w:bCs w:val="0"/>
              <w:sz w:val="22"/>
              <w:szCs w:val="22"/>
            </w:rPr>
            <w:t>十一、</w:t>
          </w:r>
          <w:r>
            <w:rPr>
              <w:rFonts w:hint="eastAsia" w:ascii="仿宋" w:hAnsi="仿宋" w:eastAsia="仿宋"/>
              <w:sz w:val="22"/>
              <w:szCs w:val="22"/>
            </w:rPr>
            <w:t>政</w:t>
          </w:r>
          <w:r>
            <w:rPr>
              <w:rFonts w:hint="eastAsia" w:ascii="仿宋" w:hAnsi="仿宋" w:eastAsia="仿宋"/>
              <w:bCs w:val="0"/>
              <w:sz w:val="22"/>
              <w:szCs w:val="22"/>
            </w:rPr>
            <w:t>府性基金预算财政拨款收入支出决算表</w:t>
          </w:r>
          <w:r>
            <w:rPr>
              <w:sz w:val="22"/>
              <w:szCs w:val="22"/>
            </w:rPr>
            <w:tab/>
          </w:r>
          <w:r>
            <w:rPr>
              <w:sz w:val="22"/>
              <w:szCs w:val="22"/>
            </w:rPr>
            <w:fldChar w:fldCharType="begin"/>
          </w:r>
          <w:r>
            <w:rPr>
              <w:sz w:val="22"/>
              <w:szCs w:val="22"/>
            </w:rPr>
            <w:instrText xml:space="preserve"> PAGEREF _Toc501 \h </w:instrText>
          </w:r>
          <w:r>
            <w:rPr>
              <w:sz w:val="22"/>
              <w:szCs w:val="22"/>
            </w:rPr>
            <w:fldChar w:fldCharType="separate"/>
          </w:r>
          <w:r>
            <w:rPr>
              <w:sz w:val="22"/>
              <w:szCs w:val="22"/>
            </w:rPr>
            <w:t>17</w:t>
          </w:r>
          <w:r>
            <w:rPr>
              <w:sz w:val="22"/>
              <w:szCs w:val="22"/>
            </w:rPr>
            <w:fldChar w:fldCharType="end"/>
          </w:r>
          <w:r>
            <w:rPr>
              <w:sz w:val="22"/>
              <w:szCs w:val="22"/>
            </w:rPr>
            <w:fldChar w:fldCharType="end"/>
          </w:r>
        </w:p>
        <w:p>
          <w:pPr>
            <w:pStyle w:val="34"/>
            <w:tabs>
              <w:tab w:val="right" w:leader="dot" w:pos="8306"/>
            </w:tabs>
            <w:rPr>
              <w:sz w:val="22"/>
              <w:szCs w:val="22"/>
            </w:rPr>
          </w:pPr>
          <w:r>
            <w:rPr>
              <w:sz w:val="22"/>
              <w:szCs w:val="22"/>
            </w:rPr>
            <w:fldChar w:fldCharType="begin"/>
          </w:r>
          <w:r>
            <w:rPr>
              <w:sz w:val="22"/>
              <w:szCs w:val="22"/>
            </w:rPr>
            <w:instrText xml:space="preserve"> HYPERLINK \l _Toc23114 </w:instrText>
          </w:r>
          <w:r>
            <w:rPr>
              <w:sz w:val="22"/>
              <w:szCs w:val="22"/>
            </w:rPr>
            <w:fldChar w:fldCharType="separate"/>
          </w:r>
          <w:r>
            <w:rPr>
              <w:rFonts w:hint="eastAsia" w:ascii="仿宋" w:hAnsi="仿宋" w:eastAsia="仿宋"/>
              <w:bCs w:val="0"/>
              <w:sz w:val="22"/>
              <w:szCs w:val="22"/>
            </w:rPr>
            <w:t>十二、</w:t>
          </w:r>
          <w:r>
            <w:rPr>
              <w:rFonts w:hint="eastAsia" w:ascii="仿宋" w:hAnsi="仿宋" w:eastAsia="仿宋"/>
              <w:sz w:val="22"/>
              <w:szCs w:val="22"/>
            </w:rPr>
            <w:t>政</w:t>
          </w:r>
          <w:r>
            <w:rPr>
              <w:rFonts w:hint="eastAsia" w:ascii="仿宋" w:hAnsi="仿宋" w:eastAsia="仿宋"/>
              <w:bCs w:val="0"/>
              <w:sz w:val="22"/>
              <w:szCs w:val="22"/>
            </w:rPr>
            <w:t>府性基金预算财政拨款“三公”经费支出决算表</w:t>
          </w:r>
          <w:r>
            <w:rPr>
              <w:sz w:val="22"/>
              <w:szCs w:val="22"/>
            </w:rPr>
            <w:tab/>
          </w:r>
          <w:r>
            <w:rPr>
              <w:sz w:val="22"/>
              <w:szCs w:val="22"/>
            </w:rPr>
            <w:fldChar w:fldCharType="begin"/>
          </w:r>
          <w:r>
            <w:rPr>
              <w:sz w:val="22"/>
              <w:szCs w:val="22"/>
            </w:rPr>
            <w:instrText xml:space="preserve"> PAGEREF _Toc23114 \h </w:instrText>
          </w:r>
          <w:r>
            <w:rPr>
              <w:sz w:val="22"/>
              <w:szCs w:val="22"/>
            </w:rPr>
            <w:fldChar w:fldCharType="separate"/>
          </w:r>
          <w:r>
            <w:rPr>
              <w:sz w:val="22"/>
              <w:szCs w:val="22"/>
            </w:rPr>
            <w:t>17</w:t>
          </w:r>
          <w:r>
            <w:rPr>
              <w:sz w:val="22"/>
              <w:szCs w:val="22"/>
            </w:rPr>
            <w:fldChar w:fldCharType="end"/>
          </w:r>
          <w:r>
            <w:rPr>
              <w:sz w:val="22"/>
              <w:szCs w:val="22"/>
            </w:rPr>
            <w:fldChar w:fldCharType="end"/>
          </w:r>
        </w:p>
        <w:p>
          <w:pPr>
            <w:pStyle w:val="34"/>
            <w:tabs>
              <w:tab w:val="right" w:leader="dot" w:pos="8306"/>
            </w:tabs>
            <w:rPr>
              <w:sz w:val="22"/>
              <w:szCs w:val="22"/>
            </w:rPr>
          </w:pPr>
          <w:r>
            <w:rPr>
              <w:sz w:val="22"/>
              <w:szCs w:val="22"/>
            </w:rPr>
            <w:fldChar w:fldCharType="begin"/>
          </w:r>
          <w:r>
            <w:rPr>
              <w:sz w:val="22"/>
              <w:szCs w:val="22"/>
            </w:rPr>
            <w:instrText xml:space="preserve"> HYPERLINK \l _Toc10635 </w:instrText>
          </w:r>
          <w:r>
            <w:rPr>
              <w:sz w:val="22"/>
              <w:szCs w:val="22"/>
            </w:rPr>
            <w:fldChar w:fldCharType="separate"/>
          </w:r>
          <w:r>
            <w:rPr>
              <w:rFonts w:hint="eastAsia" w:ascii="仿宋" w:hAnsi="仿宋" w:eastAsia="仿宋"/>
              <w:bCs w:val="0"/>
              <w:sz w:val="22"/>
              <w:szCs w:val="22"/>
            </w:rPr>
            <w:t>十三、</w:t>
          </w:r>
          <w:r>
            <w:rPr>
              <w:rFonts w:hint="eastAsia" w:ascii="仿宋" w:hAnsi="仿宋" w:eastAsia="仿宋"/>
              <w:sz w:val="22"/>
              <w:szCs w:val="22"/>
            </w:rPr>
            <w:t>国</w:t>
          </w:r>
          <w:r>
            <w:rPr>
              <w:rFonts w:hint="eastAsia" w:ascii="仿宋" w:hAnsi="仿宋" w:eastAsia="仿宋"/>
              <w:bCs w:val="0"/>
              <w:sz w:val="22"/>
              <w:szCs w:val="22"/>
            </w:rPr>
            <w:t>有资本经营预算财政拨款收入支出决算表</w:t>
          </w:r>
          <w:r>
            <w:rPr>
              <w:sz w:val="22"/>
              <w:szCs w:val="22"/>
            </w:rPr>
            <w:tab/>
          </w:r>
          <w:r>
            <w:rPr>
              <w:sz w:val="22"/>
              <w:szCs w:val="22"/>
            </w:rPr>
            <w:fldChar w:fldCharType="begin"/>
          </w:r>
          <w:r>
            <w:rPr>
              <w:sz w:val="22"/>
              <w:szCs w:val="22"/>
            </w:rPr>
            <w:instrText xml:space="preserve"> PAGEREF _Toc10635 \h </w:instrText>
          </w:r>
          <w:r>
            <w:rPr>
              <w:sz w:val="22"/>
              <w:szCs w:val="22"/>
            </w:rPr>
            <w:fldChar w:fldCharType="separate"/>
          </w:r>
          <w:r>
            <w:rPr>
              <w:sz w:val="22"/>
              <w:szCs w:val="22"/>
            </w:rPr>
            <w:t>17</w:t>
          </w:r>
          <w:r>
            <w:rPr>
              <w:sz w:val="22"/>
              <w:szCs w:val="22"/>
            </w:rPr>
            <w:fldChar w:fldCharType="end"/>
          </w:r>
          <w:r>
            <w:rPr>
              <w:sz w:val="22"/>
              <w:szCs w:val="22"/>
            </w:rPr>
            <w:fldChar w:fldCharType="end"/>
          </w:r>
        </w:p>
        <w:p>
          <w:pPr>
            <w:pStyle w:val="34"/>
            <w:tabs>
              <w:tab w:val="right" w:leader="dot" w:pos="8306"/>
            </w:tabs>
            <w:rPr>
              <w:sz w:val="22"/>
              <w:szCs w:val="22"/>
            </w:rPr>
          </w:pPr>
          <w:r>
            <w:rPr>
              <w:sz w:val="22"/>
              <w:szCs w:val="22"/>
            </w:rPr>
            <w:fldChar w:fldCharType="begin"/>
          </w:r>
          <w:r>
            <w:rPr>
              <w:sz w:val="22"/>
              <w:szCs w:val="22"/>
            </w:rPr>
            <w:instrText xml:space="preserve"> HYPERLINK \l _Toc13750 </w:instrText>
          </w:r>
          <w:r>
            <w:rPr>
              <w:sz w:val="22"/>
              <w:szCs w:val="22"/>
            </w:rPr>
            <w:fldChar w:fldCharType="separate"/>
          </w:r>
          <w:r>
            <w:rPr>
              <w:rFonts w:hint="eastAsia" w:ascii="仿宋" w:hAnsi="仿宋" w:eastAsia="仿宋"/>
              <w:bCs w:val="0"/>
              <w:sz w:val="22"/>
              <w:szCs w:val="22"/>
            </w:rPr>
            <w:t>十四、国有资本经营预算财政拨款支出决算表</w:t>
          </w:r>
          <w:r>
            <w:rPr>
              <w:sz w:val="22"/>
              <w:szCs w:val="22"/>
            </w:rPr>
            <w:tab/>
          </w:r>
          <w:r>
            <w:rPr>
              <w:sz w:val="22"/>
              <w:szCs w:val="22"/>
            </w:rPr>
            <w:fldChar w:fldCharType="begin"/>
          </w:r>
          <w:r>
            <w:rPr>
              <w:sz w:val="22"/>
              <w:szCs w:val="22"/>
            </w:rPr>
            <w:instrText xml:space="preserve"> PAGEREF _Toc13750 \h </w:instrText>
          </w:r>
          <w:r>
            <w:rPr>
              <w:sz w:val="22"/>
              <w:szCs w:val="22"/>
            </w:rPr>
            <w:fldChar w:fldCharType="separate"/>
          </w:r>
          <w:r>
            <w:rPr>
              <w:sz w:val="22"/>
              <w:szCs w:val="22"/>
            </w:rPr>
            <w:t>17</w:t>
          </w:r>
          <w:r>
            <w:rPr>
              <w:sz w:val="22"/>
              <w:szCs w:val="22"/>
            </w:rPr>
            <w:fldChar w:fldCharType="end"/>
          </w:r>
          <w:r>
            <w:rPr>
              <w:sz w:val="22"/>
              <w:szCs w:val="22"/>
            </w:rPr>
            <w:fldChar w:fldCharType="end"/>
          </w:r>
        </w:p>
        <w:p>
          <w:r>
            <w:rPr>
              <w:sz w:val="22"/>
              <w:szCs w:val="22"/>
            </w:rPr>
            <w:fldChar w:fldCharType="end"/>
          </w:r>
        </w:p>
      </w:sdtContent>
    </w:sdt>
    <w:p>
      <w:pPr>
        <w:pStyle w:val="3"/>
        <w:jc w:val="center"/>
        <w:rPr>
          <w:rFonts w:hint="eastAsia" w:ascii="黑体" w:hAnsi="黑体" w:eastAsia="黑体"/>
          <w:b w:val="0"/>
        </w:rPr>
        <w:sectPr>
          <w:headerReference r:id="rId3" w:type="default"/>
          <w:pgSz w:w="11906" w:h="16838"/>
          <w:pgMar w:top="1440" w:right="1800" w:bottom="1440" w:left="1800" w:header="851" w:footer="992" w:gutter="0"/>
          <w:pgNumType w:fmt="decimal"/>
          <w:cols w:space="425" w:num="1"/>
          <w:titlePg/>
          <w:docGrid w:type="lines" w:linePitch="312" w:charSpace="0"/>
        </w:sectPr>
      </w:pPr>
      <w:bookmarkStart w:id="18" w:name="_Toc26277"/>
    </w:p>
    <w:p>
      <w:pPr>
        <w:pStyle w:val="3"/>
        <w:jc w:val="center"/>
        <w:rPr>
          <w:rStyle w:val="25"/>
          <w:rFonts w:ascii="Times New Roman" w:hAnsi="Times New Roman" w:eastAsia="方正小标宋简体"/>
          <w:b/>
          <w:bCs w:val="0"/>
          <w:sz w:val="44"/>
        </w:rPr>
      </w:pPr>
      <w:r>
        <w:rPr>
          <w:rFonts w:hint="eastAsia" w:ascii="Times New Roman" w:hAnsi="Times New Roman" w:eastAsia="方正小标宋简体"/>
          <w:b w:val="0"/>
          <w:sz w:val="44"/>
        </w:rPr>
        <w:t>第一部分 单位</w:t>
      </w:r>
      <w:r>
        <w:rPr>
          <w:rStyle w:val="25"/>
          <w:rFonts w:hint="eastAsia" w:ascii="Times New Roman" w:hAnsi="Times New Roman" w:eastAsia="方正小标宋简体"/>
          <w:b w:val="0"/>
          <w:bCs w:val="0"/>
          <w:sz w:val="44"/>
        </w:rPr>
        <w:t>概况</w:t>
      </w:r>
      <w:bookmarkEnd w:id="16"/>
      <w:bookmarkEnd w:id="17"/>
      <w:bookmarkEnd w:id="18"/>
    </w:p>
    <w:p>
      <w:pPr>
        <w:widowControl/>
        <w:jc w:val="left"/>
        <w:rPr>
          <w:rFonts w:ascii="黑体" w:eastAsia="黑体"/>
          <w:sz w:val="32"/>
          <w:szCs w:val="32"/>
        </w:rPr>
      </w:pPr>
    </w:p>
    <w:p>
      <w:pPr>
        <w:pStyle w:val="4"/>
        <w:keepNext/>
        <w:keepLines/>
        <w:pageBreakBefore w:val="0"/>
        <w:widowControl w:val="0"/>
        <w:numPr>
          <w:ilvl w:val="0"/>
          <w:numId w:val="1"/>
        </w:numPr>
        <w:kinsoku/>
        <w:wordWrap/>
        <w:overflowPunct/>
        <w:topLinePunct w:val="0"/>
        <w:autoSpaceDE/>
        <w:autoSpaceDN/>
        <w:bidi w:val="0"/>
        <w:adjustRightInd/>
        <w:snapToGrid/>
        <w:spacing w:line="416" w:lineRule="auto"/>
        <w:ind w:firstLine="640" w:firstLineChars="200"/>
        <w:textAlignment w:val="auto"/>
        <w:rPr>
          <w:rStyle w:val="26"/>
          <w:rFonts w:hint="eastAsia" w:ascii="黑体" w:hAnsi="黑体" w:eastAsia="黑体"/>
          <w:b w:val="0"/>
          <w:bCs w:val="0"/>
          <w:sz w:val="32"/>
          <w:szCs w:val="32"/>
        </w:rPr>
      </w:pPr>
      <w:bookmarkStart w:id="19" w:name="_Toc13653"/>
      <w:bookmarkStart w:id="20" w:name="_Toc15377197"/>
      <w:bookmarkStart w:id="21" w:name="_Toc15396600"/>
      <w:r>
        <w:rPr>
          <w:rStyle w:val="26"/>
          <w:rFonts w:hint="eastAsia" w:ascii="黑体" w:hAnsi="黑体" w:eastAsia="黑体"/>
          <w:b w:val="0"/>
          <w:bCs w:val="0"/>
          <w:sz w:val="32"/>
          <w:szCs w:val="32"/>
        </w:rPr>
        <w:t>职能简介</w:t>
      </w:r>
      <w:bookmarkEnd w:id="19"/>
    </w:p>
    <w:p>
      <w:pPr>
        <w:pStyle w:val="12"/>
        <w:spacing w:line="510" w:lineRule="atLeast"/>
        <w:ind w:firstLine="640" w:firstLineChars="200"/>
        <w:rPr>
          <w:rFonts w:hint="eastAsia" w:ascii="仿宋_GB2312" w:hAnsi="??" w:eastAsia="仿宋_GB2312" w:cs="仿宋_GB2312"/>
          <w:color w:val="333333"/>
          <w:kern w:val="2"/>
          <w:sz w:val="32"/>
          <w:szCs w:val="32"/>
          <w:lang w:val="en-US" w:eastAsia="zh-CN" w:bidi="ar-SA"/>
        </w:rPr>
      </w:pPr>
      <w:r>
        <w:rPr>
          <w:rFonts w:hint="eastAsia" w:ascii="仿宋_GB2312" w:hAnsi="??" w:eastAsia="仿宋_GB2312" w:cs="仿宋_GB2312"/>
          <w:color w:val="333333"/>
          <w:kern w:val="2"/>
          <w:sz w:val="32"/>
          <w:szCs w:val="32"/>
          <w:lang w:val="en-US" w:eastAsia="zh-CN" w:bidi="ar-SA"/>
        </w:rPr>
        <w:t>1、认真宣传贯彻、执行国家有关水上交通安全的政策、法规，贯彻执行“安全第一、预防为主”的方针，制定贯彻执行的具体措施，传布水上交通安全的经验和教训，严格遵守海事行政执法守则。</w:t>
      </w:r>
    </w:p>
    <w:p>
      <w:pPr>
        <w:pStyle w:val="12"/>
        <w:spacing w:line="510" w:lineRule="atLeast"/>
        <w:rPr>
          <w:rFonts w:hint="eastAsia" w:ascii="仿宋_GB2312" w:hAnsi="??" w:eastAsia="仿宋_GB2312" w:cs="仿宋_GB2312"/>
          <w:color w:val="333333"/>
          <w:kern w:val="2"/>
          <w:sz w:val="32"/>
          <w:szCs w:val="32"/>
          <w:lang w:val="en-US" w:eastAsia="zh-CN" w:bidi="ar-SA"/>
        </w:rPr>
      </w:pPr>
      <w:r>
        <w:rPr>
          <w:rFonts w:hint="eastAsia" w:ascii="仿宋_GB2312" w:hAnsi="??" w:eastAsia="仿宋_GB2312" w:cs="仿宋_GB2312"/>
          <w:color w:val="333333"/>
          <w:kern w:val="2"/>
          <w:sz w:val="32"/>
          <w:szCs w:val="32"/>
          <w:lang w:val="en-US" w:eastAsia="zh-CN" w:bidi="ar-SA"/>
        </w:rPr>
        <w:t>　  2、严格执行海事法规。深入现场监督检查，发现违法行为严格查处，按规定权限对违法行为实施处罚。</w:t>
      </w:r>
    </w:p>
    <w:p>
      <w:pPr>
        <w:pStyle w:val="12"/>
        <w:spacing w:line="510" w:lineRule="atLeast"/>
        <w:rPr>
          <w:rFonts w:hint="eastAsia" w:ascii="仿宋_GB2312" w:hAnsi="??" w:eastAsia="仿宋_GB2312" w:cs="仿宋_GB2312"/>
          <w:color w:val="333333"/>
          <w:kern w:val="2"/>
          <w:sz w:val="32"/>
          <w:szCs w:val="32"/>
          <w:lang w:val="en-US" w:eastAsia="zh-CN" w:bidi="ar-SA"/>
        </w:rPr>
      </w:pPr>
      <w:r>
        <w:rPr>
          <w:rFonts w:hint="eastAsia" w:ascii="仿宋_GB2312" w:hAnsi="??" w:eastAsia="仿宋_GB2312" w:cs="仿宋_GB2312"/>
          <w:color w:val="333333"/>
          <w:kern w:val="2"/>
          <w:sz w:val="32"/>
          <w:szCs w:val="32"/>
          <w:lang w:val="en-US" w:eastAsia="zh-CN" w:bidi="ar-SA"/>
        </w:rPr>
        <w:t>　  3、维护水上交通秩序，保障人民群众生命、财产安全。监督船舶的船员配备，对船舶进出港口进行安全检查及签证工作，查出安全隐患督促整改。</w:t>
      </w:r>
    </w:p>
    <w:p>
      <w:pPr>
        <w:pStyle w:val="12"/>
        <w:spacing w:line="510" w:lineRule="atLeast"/>
        <w:rPr>
          <w:rFonts w:hint="eastAsia" w:ascii="仿宋_GB2312" w:hAnsi="??" w:eastAsia="仿宋_GB2312" w:cs="仿宋_GB2312"/>
          <w:color w:val="333333"/>
          <w:kern w:val="2"/>
          <w:sz w:val="32"/>
          <w:szCs w:val="32"/>
          <w:lang w:val="en-US" w:eastAsia="zh-CN" w:bidi="ar-SA"/>
        </w:rPr>
      </w:pPr>
      <w:r>
        <w:rPr>
          <w:rFonts w:hint="eastAsia" w:ascii="仿宋_GB2312" w:hAnsi="??" w:eastAsia="仿宋_GB2312" w:cs="仿宋_GB2312"/>
          <w:color w:val="333333"/>
          <w:kern w:val="2"/>
          <w:sz w:val="32"/>
          <w:szCs w:val="32"/>
          <w:lang w:val="en-US" w:eastAsia="zh-CN" w:bidi="ar-SA"/>
        </w:rPr>
        <w:t>　  4、指导乡（镇）船管机构的业务工作，定期对船管员开展业务培训，并对船员进行法规宣传教育。</w:t>
      </w:r>
    </w:p>
    <w:p>
      <w:pPr>
        <w:pStyle w:val="12"/>
        <w:spacing w:line="510" w:lineRule="atLeast"/>
        <w:rPr>
          <w:rFonts w:hint="eastAsia" w:ascii="仿宋_GB2312" w:hAnsi="??" w:eastAsia="仿宋_GB2312" w:cs="仿宋_GB2312"/>
          <w:color w:val="333333"/>
          <w:kern w:val="2"/>
          <w:sz w:val="32"/>
          <w:szCs w:val="32"/>
          <w:lang w:val="en-US" w:eastAsia="zh-CN" w:bidi="ar-SA"/>
        </w:rPr>
      </w:pPr>
      <w:r>
        <w:rPr>
          <w:rFonts w:hint="eastAsia" w:ascii="仿宋_GB2312" w:hAnsi="??" w:eastAsia="仿宋_GB2312" w:cs="仿宋_GB2312"/>
          <w:color w:val="333333"/>
          <w:kern w:val="2"/>
          <w:sz w:val="32"/>
          <w:szCs w:val="32"/>
          <w:lang w:val="en-US" w:eastAsia="zh-CN" w:bidi="ar-SA"/>
        </w:rPr>
        <w:t>　  5、负责辖区内水上交通事故的现场组织施救，并及时、认真、公正的调查处理水上交通事故及船舶污染水域事故。办理船舶交通事故的统计，编制报表。</w:t>
      </w:r>
    </w:p>
    <w:p>
      <w:pPr>
        <w:pStyle w:val="2"/>
        <w:adjustRightInd w:val="0"/>
        <w:snapToGrid w:val="0"/>
        <w:spacing w:before="93" w:line="600" w:lineRule="exact"/>
        <w:ind w:firstLine="672" w:firstLineChars="210"/>
        <w:outlineLvl w:val="2"/>
        <w:rPr>
          <w:rFonts w:hint="eastAsia" w:ascii="仿宋_GB2312" w:hAnsi="??" w:eastAsia="仿宋_GB2312" w:cs="仿宋_GB2312"/>
          <w:color w:val="333333"/>
          <w:kern w:val="2"/>
          <w:sz w:val="32"/>
          <w:szCs w:val="32"/>
          <w:lang w:val="en-US" w:eastAsia="zh-CN" w:bidi="ar-SA"/>
        </w:rPr>
      </w:pPr>
      <w:bookmarkStart w:id="22" w:name="_Toc10496"/>
      <w:r>
        <w:rPr>
          <w:rFonts w:hint="eastAsia" w:ascii="仿宋_GB2312" w:hAnsi="??" w:eastAsia="仿宋_GB2312" w:cs="仿宋_GB2312"/>
          <w:color w:val="333333"/>
          <w:kern w:val="2"/>
          <w:sz w:val="32"/>
          <w:szCs w:val="32"/>
          <w:lang w:val="en-US" w:eastAsia="zh-CN" w:bidi="ar-SA"/>
        </w:rPr>
        <w:t>6、负责海事各项基础工作的原始资料、报表、台帐、档案的健全和管理工作。</w:t>
      </w:r>
      <w:bookmarkEnd w:id="22"/>
    </w:p>
    <w:p>
      <w:pPr>
        <w:numPr>
          <w:ilvl w:val="0"/>
          <w:numId w:val="0"/>
        </w:numPr>
      </w:pPr>
    </w:p>
    <w:p>
      <w:pPr>
        <w:pStyle w:val="4"/>
        <w:keepNext/>
        <w:keepLines/>
        <w:pageBreakBefore w:val="0"/>
        <w:widowControl w:val="0"/>
        <w:kinsoku/>
        <w:wordWrap/>
        <w:overflowPunct/>
        <w:topLinePunct w:val="0"/>
        <w:autoSpaceDE/>
        <w:autoSpaceDN/>
        <w:bidi w:val="0"/>
        <w:adjustRightInd/>
        <w:snapToGrid/>
        <w:spacing w:line="416" w:lineRule="auto"/>
        <w:ind w:firstLine="640" w:firstLineChars="200"/>
        <w:textAlignment w:val="auto"/>
        <w:rPr>
          <w:rFonts w:ascii="黑体" w:hAnsi="黑体" w:eastAsia="黑体"/>
          <w:b w:val="0"/>
        </w:rPr>
      </w:pPr>
      <w:bookmarkStart w:id="23" w:name="_Toc508"/>
      <w:r>
        <w:rPr>
          <w:rFonts w:hint="eastAsia" w:ascii="黑体" w:hAnsi="黑体" w:eastAsia="黑体"/>
          <w:b w:val="0"/>
        </w:rPr>
        <w:t>二、2021年重点工作</w:t>
      </w:r>
      <w:bookmarkEnd w:id="20"/>
      <w:bookmarkEnd w:id="21"/>
      <w:r>
        <w:rPr>
          <w:rFonts w:hint="eastAsia" w:ascii="黑体" w:hAnsi="黑体" w:eastAsia="黑体"/>
          <w:b w:val="0"/>
        </w:rPr>
        <w:t>完成情况</w:t>
      </w:r>
      <w:bookmarkEnd w:id="23"/>
    </w:p>
    <w:p>
      <w:pPr>
        <w:widowControl/>
        <w:ind w:firstLine="640" w:firstLineChars="200"/>
        <w:jc w:val="left"/>
        <w:rPr>
          <w:rFonts w:hint="eastAsia" w:ascii="仿宋_GB2312" w:hAnsi="??" w:eastAsia="仿宋_GB2312" w:cs="仿宋_GB2312"/>
          <w:color w:val="333333"/>
          <w:kern w:val="2"/>
          <w:sz w:val="32"/>
          <w:szCs w:val="32"/>
          <w:lang w:val="en-US" w:eastAsia="zh-CN" w:bidi="ar-SA"/>
        </w:rPr>
      </w:pPr>
      <w:r>
        <w:rPr>
          <w:rFonts w:hint="eastAsia" w:ascii="仿宋_GB2312" w:hAnsi="??" w:eastAsia="仿宋_GB2312" w:cs="仿宋_GB2312"/>
          <w:color w:val="333333"/>
          <w:kern w:val="2"/>
          <w:sz w:val="32"/>
          <w:szCs w:val="32"/>
          <w:lang w:val="en-US" w:eastAsia="zh-CN" w:bidi="ar-SA"/>
        </w:rPr>
        <w:t>2021年，我中心在县委、县政府和县交通运输局的正确领导下，在省、市地方海事局的细心指导和大力支持下，坚守依法行政之职，恪守执法为民之道，以精神文明建设为保障，建立完善航务、海事管理体系和安全监督为重点，通过全海事人员的共同努力，在安全监督管理、环境保护、基础设施建设、精神文明建设等方面取得了一定成绩。2021年1-12月完成水路客运29.4914万人, 周转量927.1990万人公里,完成水路货运量19.1228万吨，货运周转量1207.288万吨公里。</w:t>
      </w:r>
    </w:p>
    <w:p>
      <w:pPr>
        <w:pStyle w:val="4"/>
        <w:keepNext/>
        <w:keepLines/>
        <w:pageBreakBefore w:val="0"/>
        <w:widowControl w:val="0"/>
        <w:kinsoku/>
        <w:wordWrap/>
        <w:overflowPunct/>
        <w:topLinePunct w:val="0"/>
        <w:autoSpaceDE/>
        <w:autoSpaceDN/>
        <w:bidi w:val="0"/>
        <w:adjustRightInd/>
        <w:snapToGrid/>
        <w:spacing w:line="416" w:lineRule="auto"/>
        <w:ind w:firstLine="640" w:firstLineChars="200"/>
        <w:textAlignment w:val="auto"/>
        <w:rPr>
          <w:rFonts w:hint="eastAsia" w:ascii="黑体" w:hAnsi="黑体" w:eastAsia="黑体"/>
          <w:b w:val="0"/>
          <w:lang w:val="en-US" w:eastAsia="zh-CN"/>
        </w:rPr>
      </w:pPr>
      <w:r>
        <w:rPr>
          <w:rFonts w:hint="eastAsia" w:ascii="黑体" w:hAnsi="黑体" w:eastAsia="黑体"/>
          <w:b w:val="0"/>
          <w:lang w:val="en-US" w:eastAsia="zh-CN"/>
        </w:rPr>
        <w:t>三、机构设置</w:t>
      </w:r>
    </w:p>
    <w:p>
      <w:pPr>
        <w:pStyle w:val="2"/>
        <w:ind w:firstLine="640" w:firstLineChars="200"/>
        <w:rPr>
          <w:rFonts w:hint="eastAsia" w:ascii="仿宋_GB2312" w:hAnsi="??" w:eastAsia="仿宋_GB2312" w:cs="仿宋_GB2312"/>
          <w:color w:val="333333"/>
          <w:kern w:val="2"/>
          <w:sz w:val="32"/>
          <w:szCs w:val="32"/>
          <w:lang w:val="en-US" w:eastAsia="zh-CN" w:bidi="ar-SA"/>
        </w:rPr>
      </w:pPr>
      <w:r>
        <w:rPr>
          <w:rFonts w:hint="eastAsia" w:ascii="仿宋_GB2312" w:hAnsi="??" w:eastAsia="仿宋_GB2312" w:cs="仿宋_GB2312"/>
          <w:color w:val="333333"/>
          <w:kern w:val="2"/>
          <w:sz w:val="32"/>
          <w:szCs w:val="32"/>
          <w:lang w:val="en-US" w:eastAsia="zh-CN" w:bidi="ar-SA"/>
        </w:rPr>
        <w:t>盐边县航务海事中心为参照公务员法管理的事业单位1个</w:t>
      </w:r>
      <w:r>
        <w:rPr>
          <w:rFonts w:hint="eastAsia" w:hAnsi="??" w:cs="仿宋_GB2312"/>
          <w:color w:val="333333"/>
          <w:kern w:val="2"/>
          <w:sz w:val="32"/>
          <w:szCs w:val="32"/>
          <w:lang w:val="en-US" w:eastAsia="zh-CN" w:bidi="ar-SA"/>
        </w:rPr>
        <w:t>。</w:t>
      </w:r>
    </w:p>
    <w:p>
      <w:pPr>
        <w:pStyle w:val="2"/>
        <w:rPr>
          <w:rFonts w:hint="eastAsia" w:ascii="仿宋_GB2312" w:hAnsi="??" w:eastAsia="仿宋_GB2312" w:cs="仿宋_GB2312"/>
          <w:color w:val="333333"/>
          <w:kern w:val="2"/>
          <w:sz w:val="32"/>
          <w:szCs w:val="32"/>
          <w:lang w:val="en-US" w:eastAsia="zh-CN" w:bidi="ar-SA"/>
        </w:rPr>
      </w:pPr>
    </w:p>
    <w:p>
      <w:pPr>
        <w:pStyle w:val="2"/>
        <w:rPr>
          <w:rFonts w:hint="eastAsia" w:ascii="仿宋_GB2312" w:hAnsi="??" w:eastAsia="仿宋_GB2312" w:cs="仿宋_GB2312"/>
          <w:color w:val="333333"/>
          <w:kern w:val="2"/>
          <w:sz w:val="32"/>
          <w:szCs w:val="32"/>
          <w:lang w:val="en-US" w:eastAsia="zh-CN" w:bidi="ar-SA"/>
        </w:rPr>
      </w:pPr>
    </w:p>
    <w:p>
      <w:pPr>
        <w:pStyle w:val="2"/>
        <w:rPr>
          <w:rFonts w:hint="eastAsia" w:ascii="仿宋_GB2312" w:hAnsi="??" w:eastAsia="仿宋_GB2312" w:cs="仿宋_GB2312"/>
          <w:color w:val="333333"/>
          <w:kern w:val="2"/>
          <w:sz w:val="32"/>
          <w:szCs w:val="32"/>
          <w:lang w:val="en-US" w:eastAsia="zh-CN" w:bidi="ar-SA"/>
        </w:rPr>
      </w:pPr>
    </w:p>
    <w:p>
      <w:pPr>
        <w:pStyle w:val="2"/>
        <w:rPr>
          <w:rFonts w:hint="eastAsia" w:ascii="仿宋_GB2312" w:hAnsi="??" w:eastAsia="仿宋_GB2312" w:cs="仿宋_GB2312"/>
          <w:color w:val="333333"/>
          <w:kern w:val="2"/>
          <w:sz w:val="32"/>
          <w:szCs w:val="32"/>
          <w:lang w:val="en-US" w:eastAsia="zh-CN" w:bidi="ar-SA"/>
        </w:rPr>
      </w:pPr>
    </w:p>
    <w:p>
      <w:pPr>
        <w:pStyle w:val="2"/>
        <w:rPr>
          <w:rFonts w:hint="eastAsia" w:ascii="仿宋_GB2312" w:hAnsi="??" w:eastAsia="仿宋_GB2312" w:cs="仿宋_GB2312"/>
          <w:color w:val="333333"/>
          <w:kern w:val="2"/>
          <w:sz w:val="32"/>
          <w:szCs w:val="32"/>
          <w:lang w:val="en-US" w:eastAsia="zh-CN" w:bidi="ar-SA"/>
        </w:rPr>
      </w:pPr>
    </w:p>
    <w:p>
      <w:pPr>
        <w:pStyle w:val="2"/>
        <w:rPr>
          <w:rFonts w:hint="eastAsia" w:ascii="仿宋_GB2312" w:hAnsi="??" w:eastAsia="仿宋_GB2312" w:cs="仿宋_GB2312"/>
          <w:color w:val="333333"/>
          <w:kern w:val="2"/>
          <w:sz w:val="32"/>
          <w:szCs w:val="32"/>
          <w:lang w:val="en-US" w:eastAsia="zh-CN" w:bidi="ar-SA"/>
        </w:rPr>
      </w:pPr>
    </w:p>
    <w:p>
      <w:pPr>
        <w:pStyle w:val="2"/>
        <w:rPr>
          <w:rFonts w:hint="eastAsia" w:ascii="仿宋_GB2312" w:hAnsi="??" w:eastAsia="仿宋_GB2312" w:cs="仿宋_GB2312"/>
          <w:color w:val="333333"/>
          <w:kern w:val="2"/>
          <w:sz w:val="32"/>
          <w:szCs w:val="32"/>
          <w:lang w:val="en-US" w:eastAsia="zh-CN" w:bidi="ar-SA"/>
        </w:rPr>
      </w:pPr>
    </w:p>
    <w:p>
      <w:pPr>
        <w:pStyle w:val="2"/>
        <w:rPr>
          <w:rFonts w:hint="eastAsia" w:ascii="仿宋_GB2312" w:hAnsi="??" w:eastAsia="仿宋_GB2312" w:cs="仿宋_GB2312"/>
          <w:color w:val="333333"/>
          <w:kern w:val="2"/>
          <w:sz w:val="32"/>
          <w:szCs w:val="32"/>
          <w:lang w:val="en-US" w:eastAsia="zh-CN" w:bidi="ar-SA"/>
        </w:rPr>
      </w:pPr>
    </w:p>
    <w:p>
      <w:pPr>
        <w:pStyle w:val="3"/>
        <w:jc w:val="center"/>
        <w:rPr>
          <w:rFonts w:hint="eastAsia" w:ascii="Times New Roman" w:hAnsi="Times New Roman" w:eastAsia="方正小标宋简体"/>
          <w:b w:val="0"/>
          <w:sz w:val="44"/>
        </w:rPr>
      </w:pPr>
      <w:bookmarkStart w:id="24" w:name="_Toc15377204"/>
      <w:bookmarkStart w:id="25" w:name="_Toc15396602"/>
      <w:bookmarkStart w:id="26" w:name="_Toc8573"/>
      <w:r>
        <w:rPr>
          <w:rFonts w:hint="eastAsia" w:ascii="Times New Roman" w:hAnsi="Times New Roman" w:eastAsia="方正小标宋简体"/>
          <w:b w:val="0"/>
          <w:sz w:val="44"/>
        </w:rPr>
        <w:t>第二部分 2021年度单位决算情况说明</w:t>
      </w:r>
      <w:bookmarkEnd w:id="24"/>
      <w:bookmarkEnd w:id="25"/>
      <w:bookmarkEnd w:id="26"/>
    </w:p>
    <w:p/>
    <w:p>
      <w:pPr>
        <w:pStyle w:val="24"/>
        <w:numPr>
          <w:ilvl w:val="0"/>
          <w:numId w:val="2"/>
        </w:numPr>
        <w:spacing w:line="600" w:lineRule="exact"/>
        <w:ind w:firstLineChars="0"/>
        <w:outlineLvl w:val="1"/>
        <w:rPr>
          <w:rStyle w:val="26"/>
          <w:rFonts w:ascii="黑体" w:hAnsi="黑体" w:eastAsia="黑体"/>
          <w:b w:val="0"/>
        </w:rPr>
      </w:pPr>
      <w:bookmarkStart w:id="27" w:name="_Toc15396603"/>
      <w:bookmarkStart w:id="28" w:name="_Toc15377205"/>
      <w:bookmarkStart w:id="29" w:name="_Toc12366"/>
      <w:r>
        <w:rPr>
          <w:rFonts w:hint="eastAsia" w:ascii="黑体" w:hAnsi="黑体" w:eastAsia="黑体"/>
          <w:sz w:val="32"/>
          <w:szCs w:val="32"/>
        </w:rPr>
        <w:t>收</w:t>
      </w:r>
      <w:r>
        <w:rPr>
          <w:rStyle w:val="26"/>
          <w:rFonts w:hint="eastAsia" w:ascii="黑体" w:hAnsi="黑体" w:eastAsia="黑体"/>
          <w:b w:val="0"/>
        </w:rPr>
        <w:t>入支出决算总体情况说明</w:t>
      </w:r>
      <w:bookmarkEnd w:id="27"/>
      <w:bookmarkEnd w:id="28"/>
      <w:bookmarkEnd w:id="29"/>
    </w:p>
    <w:p>
      <w:pPr>
        <w:spacing w:line="600" w:lineRule="exact"/>
        <w:ind w:firstLine="630" w:firstLineChars="300"/>
        <w:rPr>
          <w:rFonts w:hint="eastAsia" w:ascii="仿宋" w:hAnsi="仿宋" w:eastAsia="仿宋"/>
          <w:sz w:val="32"/>
          <w:szCs w:val="32"/>
        </w:rPr>
      </w:pPr>
      <w:r>
        <w:drawing>
          <wp:anchor distT="0" distB="0" distL="0" distR="0" simplePos="0" relativeHeight="251659264" behindDoc="0" locked="0" layoutInCell="1" allowOverlap="1">
            <wp:simplePos x="0" y="0"/>
            <wp:positionH relativeFrom="column">
              <wp:posOffset>71755</wp:posOffset>
            </wp:positionH>
            <wp:positionV relativeFrom="paragraph">
              <wp:posOffset>1443990</wp:posOffset>
            </wp:positionV>
            <wp:extent cx="5274310" cy="3076575"/>
            <wp:effectExtent l="19050" t="0" r="21590" b="0"/>
            <wp:wrapSquare wrapText="bothSides"/>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r>
        <w:rPr>
          <w:rFonts w:hint="eastAsia" w:ascii="仿宋" w:hAnsi="仿宋" w:eastAsia="仿宋"/>
          <w:sz w:val="32"/>
          <w:szCs w:val="32"/>
        </w:rPr>
        <w:t>2021年度收</w:t>
      </w:r>
      <w:r>
        <w:rPr>
          <w:rFonts w:hint="eastAsia" w:ascii="仿宋" w:hAnsi="仿宋" w:eastAsia="仿宋"/>
          <w:sz w:val="32"/>
          <w:szCs w:val="32"/>
          <w:lang w:val="en-US" w:eastAsia="zh-CN"/>
        </w:rPr>
        <w:t>入76.08万元</w:t>
      </w:r>
      <w:r>
        <w:rPr>
          <w:rFonts w:hint="eastAsia" w:ascii="仿宋" w:hAnsi="仿宋" w:eastAsia="仿宋"/>
          <w:sz w:val="32"/>
          <w:szCs w:val="32"/>
        </w:rPr>
        <w:t>、支总计</w:t>
      </w:r>
      <w:r>
        <w:rPr>
          <w:rFonts w:hint="eastAsia" w:ascii="仿宋" w:hAnsi="仿宋" w:eastAsia="仿宋"/>
          <w:sz w:val="32"/>
          <w:szCs w:val="32"/>
          <w:lang w:val="en-US" w:eastAsia="zh-CN"/>
        </w:rPr>
        <w:t>76.38</w:t>
      </w:r>
      <w:r>
        <w:rPr>
          <w:rFonts w:hint="eastAsia" w:ascii="仿宋" w:hAnsi="仿宋" w:eastAsia="仿宋"/>
          <w:sz w:val="32"/>
          <w:szCs w:val="32"/>
        </w:rPr>
        <w:t>万元。与2020年相比，收</w:t>
      </w:r>
      <w:r>
        <w:rPr>
          <w:rFonts w:hint="eastAsia" w:ascii="仿宋" w:hAnsi="仿宋" w:eastAsia="仿宋"/>
          <w:sz w:val="32"/>
          <w:szCs w:val="32"/>
          <w:lang w:val="en-US" w:eastAsia="zh-CN"/>
        </w:rPr>
        <w:t>入增加26.05万元，增长52.06%，</w:t>
      </w:r>
      <w:r>
        <w:rPr>
          <w:rFonts w:hint="eastAsia" w:ascii="仿宋" w:hAnsi="仿宋" w:eastAsia="仿宋"/>
          <w:sz w:val="32"/>
          <w:szCs w:val="32"/>
        </w:rPr>
        <w:t>支</w:t>
      </w:r>
      <w:r>
        <w:rPr>
          <w:rFonts w:hint="eastAsia" w:ascii="仿宋" w:hAnsi="仿宋" w:eastAsia="仿宋"/>
          <w:sz w:val="32"/>
          <w:szCs w:val="32"/>
          <w:lang w:val="en-US" w:eastAsia="zh-CN"/>
        </w:rPr>
        <w:t>出</w:t>
      </w:r>
      <w:r>
        <w:rPr>
          <w:rFonts w:hint="eastAsia" w:ascii="仿宋" w:hAnsi="仿宋" w:eastAsia="仿宋"/>
          <w:sz w:val="32"/>
          <w:szCs w:val="32"/>
        </w:rPr>
        <w:t>增加</w:t>
      </w:r>
      <w:r>
        <w:rPr>
          <w:rFonts w:hint="eastAsia" w:ascii="仿宋" w:hAnsi="仿宋" w:eastAsia="仿宋"/>
          <w:sz w:val="32"/>
          <w:szCs w:val="32"/>
          <w:lang w:val="en-US" w:eastAsia="zh-CN"/>
        </w:rPr>
        <w:t>26.35</w:t>
      </w:r>
      <w:r>
        <w:rPr>
          <w:rFonts w:hint="eastAsia" w:ascii="仿宋" w:hAnsi="仿宋" w:eastAsia="仿宋"/>
          <w:sz w:val="32"/>
          <w:szCs w:val="32"/>
        </w:rPr>
        <w:t>万元，增长</w:t>
      </w:r>
      <w:r>
        <w:rPr>
          <w:rFonts w:hint="eastAsia" w:ascii="仿宋" w:hAnsi="仿宋" w:eastAsia="仿宋"/>
          <w:sz w:val="32"/>
          <w:szCs w:val="32"/>
          <w:lang w:val="en-US" w:eastAsia="zh-CN"/>
        </w:rPr>
        <w:t>52.67</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val="en-US" w:eastAsia="zh-CN"/>
        </w:rPr>
        <w:t>正常变动。</w:t>
      </w:r>
    </w:p>
    <w:p>
      <w:pPr>
        <w:spacing w:line="600" w:lineRule="exact"/>
        <w:ind w:firstLine="640" w:firstLineChars="200"/>
        <w:jc w:val="center"/>
        <w:rPr>
          <w:rFonts w:hint="eastAsia"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pPr>
        <w:pStyle w:val="2"/>
      </w:pPr>
    </w:p>
    <w:p>
      <w:pPr>
        <w:pStyle w:val="24"/>
        <w:numPr>
          <w:ilvl w:val="0"/>
          <w:numId w:val="2"/>
        </w:numPr>
        <w:spacing w:line="600" w:lineRule="exact"/>
        <w:ind w:firstLineChars="0"/>
        <w:outlineLvl w:val="1"/>
        <w:rPr>
          <w:rStyle w:val="26"/>
          <w:rFonts w:ascii="黑体" w:hAnsi="黑体" w:eastAsia="黑体"/>
          <w:b w:val="0"/>
        </w:rPr>
      </w:pPr>
      <w:bookmarkStart w:id="30" w:name="_Toc15377206"/>
      <w:bookmarkStart w:id="31" w:name="_Toc15396604"/>
      <w:bookmarkStart w:id="32" w:name="_Toc13770"/>
      <w:r>
        <w:rPr>
          <w:rFonts w:hint="eastAsia" w:ascii="黑体" w:hAnsi="黑体" w:eastAsia="黑体"/>
          <w:sz w:val="32"/>
          <w:szCs w:val="32"/>
        </w:rPr>
        <w:t>收</w:t>
      </w:r>
      <w:r>
        <w:rPr>
          <w:rStyle w:val="26"/>
          <w:rFonts w:hint="eastAsia" w:ascii="黑体" w:hAnsi="黑体" w:eastAsia="黑体"/>
          <w:b w:val="0"/>
        </w:rPr>
        <w:t>入决算情况说明</w:t>
      </w:r>
      <w:bookmarkEnd w:id="30"/>
      <w:bookmarkEnd w:id="31"/>
      <w:bookmarkEnd w:id="32"/>
    </w:p>
    <w:p>
      <w:pPr>
        <w:spacing w:line="600" w:lineRule="exact"/>
        <w:ind w:firstLine="640" w:firstLineChars="200"/>
        <w:outlineLvl w:val="1"/>
        <w:rPr>
          <w:rFonts w:ascii="仿宋" w:hAnsi="仿宋" w:eastAsia="仿宋"/>
          <w:sz w:val="32"/>
          <w:szCs w:val="32"/>
        </w:rPr>
      </w:pPr>
      <w:bookmarkStart w:id="33" w:name="_Toc25020"/>
      <w:r>
        <w:rPr>
          <w:rFonts w:ascii="仿宋" w:hAnsi="仿宋" w:eastAsia="仿宋"/>
          <w:sz w:val="32"/>
          <w:szCs w:val="32"/>
        </w:rPr>
        <w:t>20</w:t>
      </w:r>
      <w:r>
        <w:rPr>
          <w:rFonts w:hint="eastAsia" w:ascii="仿宋" w:hAnsi="仿宋" w:eastAsia="仿宋"/>
          <w:sz w:val="32"/>
          <w:szCs w:val="32"/>
        </w:rPr>
        <w:t>21年本年收入合计</w:t>
      </w:r>
      <w:r>
        <w:rPr>
          <w:rFonts w:hint="eastAsia" w:ascii="仿宋" w:hAnsi="仿宋" w:eastAsia="仿宋"/>
          <w:sz w:val="32"/>
          <w:szCs w:val="32"/>
          <w:lang w:val="en-US" w:eastAsia="zh-CN"/>
        </w:rPr>
        <w:t>76.08</w:t>
      </w:r>
      <w:r>
        <w:rPr>
          <w:rFonts w:hint="eastAsia" w:ascii="仿宋" w:hAnsi="仿宋" w:eastAsia="仿宋"/>
          <w:sz w:val="32"/>
          <w:szCs w:val="32"/>
        </w:rPr>
        <w:t>万元，其中：一般公共预算财政拨款收入</w:t>
      </w:r>
      <w:r>
        <w:rPr>
          <w:rFonts w:hint="eastAsia" w:ascii="仿宋" w:hAnsi="仿宋" w:eastAsia="仿宋"/>
          <w:sz w:val="32"/>
          <w:szCs w:val="32"/>
          <w:lang w:val="en-US" w:eastAsia="zh-CN"/>
        </w:rPr>
        <w:t>76.08</w:t>
      </w:r>
      <w:r>
        <w:rPr>
          <w:rFonts w:hint="eastAsia" w:ascii="仿宋" w:hAnsi="仿宋" w:eastAsia="仿宋"/>
          <w:sz w:val="32"/>
          <w:szCs w:val="32"/>
        </w:rPr>
        <w:t>万元，占</w:t>
      </w:r>
      <w:r>
        <w:rPr>
          <w:rFonts w:hint="eastAsia" w:ascii="仿宋" w:hAnsi="仿宋" w:eastAsia="仿宋"/>
          <w:sz w:val="32"/>
          <w:szCs w:val="32"/>
          <w:lang w:val="en-US" w:eastAsia="zh-CN"/>
        </w:rPr>
        <w:t>100</w:t>
      </w:r>
      <w:r>
        <w:rPr>
          <w:rFonts w:ascii="仿宋" w:hAnsi="仿宋" w:eastAsia="仿宋"/>
          <w:sz w:val="32"/>
          <w:szCs w:val="32"/>
        </w:rPr>
        <w:t>%</w:t>
      </w:r>
      <w:r>
        <w:rPr>
          <w:rFonts w:hint="eastAsia" w:ascii="仿宋" w:hAnsi="仿宋" w:eastAsia="仿宋"/>
          <w:sz w:val="32"/>
          <w:szCs w:val="32"/>
        </w:rPr>
        <w:t>；政府性基金预算财政拨款收入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；国有资本经营预算财政拨款收入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；上级补助收入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；事业收入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；经营收入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；附属单位上缴收入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；其他收入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bookmarkEnd w:id="33"/>
    </w:p>
    <w:p>
      <w:pPr>
        <w:pStyle w:val="2"/>
        <w:jc w:val="center"/>
        <w:rPr>
          <w:rFonts w:ascii="仿宋_GB2312" w:eastAsia="仿宋_GB2312"/>
          <w:sz w:val="32"/>
          <w:szCs w:val="32"/>
        </w:rPr>
      </w:pPr>
      <w:r>
        <w:drawing>
          <wp:anchor distT="0" distB="0" distL="0" distR="0" simplePos="0" relativeHeight="251661312" behindDoc="0" locked="0" layoutInCell="1" allowOverlap="1">
            <wp:simplePos x="0" y="0"/>
            <wp:positionH relativeFrom="column">
              <wp:posOffset>-13970</wp:posOffset>
            </wp:positionH>
            <wp:positionV relativeFrom="paragraph">
              <wp:posOffset>179705</wp:posOffset>
            </wp:positionV>
            <wp:extent cx="5274310" cy="3076575"/>
            <wp:effectExtent l="5080" t="4445" r="16510" b="5080"/>
            <wp:wrapTopAndBottom/>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r>
        <w:rPr>
          <w:rFonts w:hint="eastAsia" w:ascii="仿宋" w:hAnsi="仿宋" w:eastAsia="仿宋"/>
          <w:sz w:val="32"/>
          <w:szCs w:val="32"/>
        </w:rPr>
        <w:t>（图2：收入决算结构图）（饼状图）</w:t>
      </w:r>
    </w:p>
    <w:p>
      <w:pPr>
        <w:pStyle w:val="24"/>
        <w:numPr>
          <w:ilvl w:val="0"/>
          <w:numId w:val="2"/>
        </w:numPr>
        <w:spacing w:line="600" w:lineRule="exact"/>
        <w:ind w:firstLineChars="0"/>
        <w:outlineLvl w:val="1"/>
        <w:rPr>
          <w:rStyle w:val="26"/>
          <w:rFonts w:ascii="黑体" w:hAnsi="黑体" w:eastAsia="黑体"/>
          <w:b w:val="0"/>
        </w:rPr>
      </w:pPr>
      <w:bookmarkStart w:id="34" w:name="_Toc15396605"/>
      <w:bookmarkStart w:id="35" w:name="_Toc15377207"/>
      <w:bookmarkStart w:id="36" w:name="_Toc29227"/>
      <w:r>
        <w:rPr>
          <w:rFonts w:hint="eastAsia" w:ascii="黑体" w:hAnsi="黑体" w:eastAsia="黑体"/>
          <w:sz w:val="32"/>
          <w:szCs w:val="32"/>
        </w:rPr>
        <w:t>支</w:t>
      </w:r>
      <w:r>
        <w:rPr>
          <w:rStyle w:val="26"/>
          <w:rFonts w:hint="eastAsia" w:ascii="黑体" w:hAnsi="黑体" w:eastAsia="黑体"/>
          <w:b w:val="0"/>
        </w:rPr>
        <w:t>出决算情况说明</w:t>
      </w:r>
      <w:bookmarkEnd w:id="34"/>
      <w:bookmarkEnd w:id="35"/>
      <w:bookmarkEnd w:id="36"/>
    </w:p>
    <w:p>
      <w:pPr>
        <w:spacing w:line="600" w:lineRule="exact"/>
        <w:ind w:firstLine="630" w:firstLineChars="300"/>
        <w:outlineLvl w:val="1"/>
      </w:pPr>
      <w:bookmarkStart w:id="37" w:name="_Toc26558"/>
      <w:r>
        <w:drawing>
          <wp:anchor distT="0" distB="0" distL="0" distR="0" simplePos="0" relativeHeight="251662336" behindDoc="0" locked="0" layoutInCell="1" allowOverlap="1">
            <wp:simplePos x="0" y="0"/>
            <wp:positionH relativeFrom="column">
              <wp:posOffset>69850</wp:posOffset>
            </wp:positionH>
            <wp:positionV relativeFrom="paragraph">
              <wp:posOffset>1779270</wp:posOffset>
            </wp:positionV>
            <wp:extent cx="5200650" cy="2781300"/>
            <wp:effectExtent l="4445" t="4445" r="14605" b="14605"/>
            <wp:wrapTopAndBottom/>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r>
        <w:rPr>
          <w:rFonts w:ascii="仿宋" w:hAnsi="仿宋" w:eastAsia="仿宋"/>
          <w:sz w:val="32"/>
          <w:szCs w:val="32"/>
        </w:rPr>
        <w:t>20</w:t>
      </w:r>
      <w:r>
        <w:rPr>
          <w:rFonts w:hint="eastAsia" w:ascii="仿宋" w:hAnsi="仿宋" w:eastAsia="仿宋"/>
          <w:sz w:val="32"/>
          <w:szCs w:val="32"/>
        </w:rPr>
        <w:t>21年本年支出合计</w:t>
      </w:r>
      <w:r>
        <w:rPr>
          <w:rFonts w:hint="eastAsia" w:ascii="仿宋" w:hAnsi="仿宋" w:eastAsia="仿宋"/>
          <w:sz w:val="32"/>
          <w:szCs w:val="32"/>
          <w:lang w:val="en-US" w:eastAsia="zh-CN"/>
        </w:rPr>
        <w:t>76.38</w:t>
      </w:r>
      <w:r>
        <w:rPr>
          <w:rFonts w:hint="eastAsia" w:ascii="仿宋" w:hAnsi="仿宋" w:eastAsia="仿宋"/>
          <w:sz w:val="32"/>
          <w:szCs w:val="32"/>
        </w:rPr>
        <w:t>万元，其中：基本支出</w:t>
      </w:r>
      <w:r>
        <w:rPr>
          <w:rFonts w:hint="eastAsia" w:ascii="仿宋" w:hAnsi="仿宋" w:eastAsia="仿宋"/>
          <w:sz w:val="32"/>
          <w:szCs w:val="32"/>
          <w:lang w:val="en-US" w:eastAsia="zh-CN"/>
        </w:rPr>
        <w:t>76.38</w:t>
      </w:r>
      <w:r>
        <w:rPr>
          <w:rFonts w:hint="eastAsia" w:ascii="仿宋" w:hAnsi="仿宋" w:eastAsia="仿宋"/>
          <w:sz w:val="32"/>
          <w:szCs w:val="32"/>
        </w:rPr>
        <w:t>万元，占</w:t>
      </w:r>
      <w:r>
        <w:rPr>
          <w:rFonts w:hint="eastAsia" w:ascii="仿宋" w:hAnsi="仿宋" w:eastAsia="仿宋"/>
          <w:sz w:val="32"/>
          <w:szCs w:val="32"/>
          <w:lang w:val="en-US" w:eastAsia="zh-CN"/>
        </w:rPr>
        <w:t>100</w:t>
      </w:r>
      <w:r>
        <w:rPr>
          <w:rFonts w:ascii="仿宋" w:hAnsi="仿宋" w:eastAsia="仿宋"/>
          <w:sz w:val="32"/>
          <w:szCs w:val="32"/>
        </w:rPr>
        <w:t>%</w:t>
      </w:r>
      <w:r>
        <w:rPr>
          <w:rFonts w:hint="eastAsia" w:ascii="仿宋" w:hAnsi="仿宋" w:eastAsia="仿宋"/>
          <w:sz w:val="32"/>
          <w:szCs w:val="32"/>
        </w:rPr>
        <w:t>；项目支出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；上缴上级支出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；经营支出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；对附属单位补助支出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bookmarkEnd w:id="37"/>
    </w:p>
    <w:p>
      <w:pPr>
        <w:pStyle w:val="2"/>
        <w:jc w:val="center"/>
        <w:rPr>
          <w:rFonts w:hint="eastAsia" w:ascii="仿宋" w:hAnsi="仿宋" w:eastAsia="仿宋"/>
          <w:sz w:val="32"/>
          <w:szCs w:val="32"/>
        </w:rPr>
      </w:pPr>
      <w:r>
        <w:rPr>
          <w:rFonts w:hint="eastAsia" w:ascii="仿宋" w:hAnsi="仿宋" w:eastAsia="仿宋"/>
          <w:sz w:val="32"/>
          <w:szCs w:val="32"/>
        </w:rPr>
        <w:t>（图3：支出决算结构图）（饼状图）</w:t>
      </w:r>
    </w:p>
    <w:p>
      <w:pPr>
        <w:pStyle w:val="2"/>
        <w:jc w:val="center"/>
        <w:rPr>
          <w:rFonts w:hint="eastAsia" w:ascii="仿宋" w:hAnsi="仿宋" w:eastAsia="仿宋"/>
          <w:sz w:val="32"/>
          <w:szCs w:val="32"/>
        </w:rPr>
      </w:pPr>
    </w:p>
    <w:p>
      <w:pPr>
        <w:spacing w:line="600" w:lineRule="exact"/>
        <w:ind w:firstLine="640" w:firstLineChars="200"/>
        <w:outlineLvl w:val="1"/>
        <w:rPr>
          <w:rStyle w:val="26"/>
          <w:rFonts w:ascii="黑体" w:hAnsi="黑体" w:eastAsia="黑体"/>
          <w:b w:val="0"/>
        </w:rPr>
      </w:pPr>
      <w:bookmarkStart w:id="38" w:name="_Toc10066"/>
      <w:bookmarkStart w:id="39" w:name="_Toc15377208"/>
      <w:bookmarkStart w:id="40" w:name="_Toc15396606"/>
      <w:r>
        <w:rPr>
          <w:rFonts w:hint="eastAsia" w:ascii="黑体" w:hAnsi="黑体" w:eastAsia="黑体"/>
          <w:sz w:val="32"/>
          <w:szCs w:val="32"/>
        </w:rPr>
        <w:t>四、财</w:t>
      </w:r>
      <w:r>
        <w:rPr>
          <w:rStyle w:val="26"/>
          <w:rFonts w:hint="eastAsia" w:ascii="黑体" w:hAnsi="黑体" w:eastAsia="黑体"/>
          <w:b w:val="0"/>
        </w:rPr>
        <w:t>政拨款收入支出决算总体情况说明</w:t>
      </w:r>
      <w:bookmarkEnd w:id="38"/>
      <w:bookmarkEnd w:id="39"/>
      <w:bookmarkEnd w:id="40"/>
    </w:p>
    <w:p>
      <w:pPr>
        <w:spacing w:line="600" w:lineRule="exact"/>
        <w:ind w:firstLine="640" w:firstLineChars="200"/>
        <w:rPr>
          <w:rFonts w:hint="eastAsia"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21年财政拨款收</w:t>
      </w:r>
      <w:r>
        <w:rPr>
          <w:rFonts w:hint="eastAsia" w:ascii="仿宋" w:hAnsi="仿宋" w:eastAsia="仿宋"/>
          <w:sz w:val="32"/>
          <w:szCs w:val="32"/>
          <w:lang w:val="en-US" w:eastAsia="zh-CN"/>
        </w:rPr>
        <w:t>入76.08万元</w:t>
      </w:r>
      <w:r>
        <w:rPr>
          <w:rFonts w:hint="eastAsia" w:ascii="仿宋" w:hAnsi="仿宋" w:eastAsia="仿宋"/>
          <w:sz w:val="32"/>
          <w:szCs w:val="32"/>
        </w:rPr>
        <w:t>、支</w:t>
      </w:r>
      <w:r>
        <w:rPr>
          <w:rFonts w:hint="eastAsia" w:ascii="仿宋" w:hAnsi="仿宋" w:eastAsia="仿宋"/>
          <w:sz w:val="32"/>
          <w:szCs w:val="32"/>
          <w:lang w:val="en-US" w:eastAsia="zh-CN"/>
        </w:rPr>
        <w:t>出76.38</w:t>
      </w:r>
      <w:r>
        <w:rPr>
          <w:rFonts w:hint="eastAsia" w:ascii="仿宋" w:hAnsi="仿宋" w:eastAsia="仿宋"/>
          <w:sz w:val="32"/>
          <w:szCs w:val="32"/>
        </w:rPr>
        <w:t>万元。与</w:t>
      </w:r>
      <w:r>
        <w:rPr>
          <w:rFonts w:ascii="仿宋" w:hAnsi="仿宋" w:eastAsia="仿宋"/>
          <w:sz w:val="32"/>
          <w:szCs w:val="32"/>
        </w:rPr>
        <w:t>20</w:t>
      </w:r>
      <w:r>
        <w:rPr>
          <w:rFonts w:hint="eastAsia" w:ascii="仿宋" w:hAnsi="仿宋" w:eastAsia="仿宋"/>
          <w:sz w:val="32"/>
          <w:szCs w:val="32"/>
        </w:rPr>
        <w:t>20年相比，财政拨款收</w:t>
      </w:r>
      <w:r>
        <w:rPr>
          <w:rFonts w:hint="eastAsia" w:ascii="仿宋" w:hAnsi="仿宋" w:eastAsia="仿宋"/>
          <w:sz w:val="32"/>
          <w:szCs w:val="32"/>
          <w:lang w:val="en-US" w:eastAsia="zh-CN"/>
        </w:rPr>
        <w:t>入增加26.05万元，增长52.06%，</w:t>
      </w:r>
      <w:r>
        <w:rPr>
          <w:rFonts w:hint="eastAsia" w:ascii="仿宋" w:hAnsi="仿宋" w:eastAsia="仿宋"/>
          <w:sz w:val="32"/>
          <w:szCs w:val="32"/>
        </w:rPr>
        <w:t>支</w:t>
      </w:r>
      <w:r>
        <w:rPr>
          <w:rFonts w:hint="eastAsia" w:ascii="仿宋" w:hAnsi="仿宋" w:eastAsia="仿宋"/>
          <w:sz w:val="32"/>
          <w:szCs w:val="32"/>
          <w:lang w:val="en-US" w:eastAsia="zh-CN"/>
        </w:rPr>
        <w:t>出</w:t>
      </w:r>
      <w:r>
        <w:rPr>
          <w:rFonts w:hint="eastAsia" w:ascii="仿宋" w:hAnsi="仿宋" w:eastAsia="仿宋"/>
          <w:sz w:val="32"/>
          <w:szCs w:val="32"/>
        </w:rPr>
        <w:t>增加</w:t>
      </w:r>
      <w:r>
        <w:rPr>
          <w:rFonts w:hint="eastAsia" w:ascii="仿宋" w:hAnsi="仿宋" w:eastAsia="仿宋"/>
          <w:sz w:val="32"/>
          <w:szCs w:val="32"/>
          <w:lang w:val="en-US" w:eastAsia="zh-CN"/>
        </w:rPr>
        <w:t>26.35</w:t>
      </w:r>
      <w:r>
        <w:rPr>
          <w:rFonts w:hint="eastAsia" w:ascii="仿宋" w:hAnsi="仿宋" w:eastAsia="仿宋"/>
          <w:sz w:val="32"/>
          <w:szCs w:val="32"/>
        </w:rPr>
        <w:t>万元，增长</w:t>
      </w:r>
      <w:r>
        <w:rPr>
          <w:rFonts w:hint="eastAsia" w:ascii="仿宋" w:hAnsi="仿宋" w:eastAsia="仿宋"/>
          <w:sz w:val="32"/>
          <w:szCs w:val="32"/>
          <w:lang w:val="en-US" w:eastAsia="zh-CN"/>
        </w:rPr>
        <w:t>52.67</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val="en-US" w:eastAsia="zh-CN"/>
        </w:rPr>
        <w:t>正常变动。</w:t>
      </w:r>
    </w:p>
    <w:p/>
    <w:p>
      <w:pPr>
        <w:spacing w:line="600" w:lineRule="exact"/>
        <w:ind w:firstLine="210" w:firstLineChars="100"/>
        <w:rPr>
          <w:rFonts w:ascii="仿宋" w:hAnsi="仿宋" w:eastAsia="仿宋"/>
          <w:b/>
          <w:sz w:val="32"/>
          <w:szCs w:val="32"/>
        </w:rPr>
      </w:pPr>
      <w:r>
        <w:drawing>
          <wp:anchor distT="0" distB="0" distL="0" distR="0" simplePos="0" relativeHeight="251660288" behindDoc="0" locked="0" layoutInCell="1" allowOverlap="1">
            <wp:simplePos x="0" y="0"/>
            <wp:positionH relativeFrom="column">
              <wp:posOffset>71120</wp:posOffset>
            </wp:positionH>
            <wp:positionV relativeFrom="paragraph">
              <wp:posOffset>187325</wp:posOffset>
            </wp:positionV>
            <wp:extent cx="5274310" cy="3056890"/>
            <wp:effectExtent l="4445" t="4445" r="17145" b="5715"/>
            <wp:wrapTopAndBottom/>
            <wp:docPr id="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Pr>
          <w:rFonts w:hint="eastAsia" w:ascii="仿宋" w:hAnsi="仿宋" w:eastAsia="仿宋"/>
          <w:sz w:val="32"/>
          <w:szCs w:val="32"/>
        </w:rPr>
        <w:t>（图4：财政拨款收、支决算总计变动情况）（柱状图）</w:t>
      </w:r>
    </w:p>
    <w:p>
      <w:pPr>
        <w:spacing w:line="600" w:lineRule="exact"/>
        <w:ind w:firstLine="640" w:firstLineChars="200"/>
        <w:outlineLvl w:val="1"/>
        <w:rPr>
          <w:rFonts w:hint="eastAsia" w:ascii="黑体" w:hAnsi="黑体" w:eastAsia="黑体"/>
          <w:sz w:val="32"/>
          <w:szCs w:val="32"/>
        </w:rPr>
      </w:pPr>
      <w:bookmarkStart w:id="41" w:name="_Toc15396607"/>
      <w:bookmarkStart w:id="42" w:name="_Toc2268"/>
      <w:bookmarkStart w:id="43" w:name="_Toc15377209"/>
    </w:p>
    <w:p>
      <w:pPr>
        <w:spacing w:line="600" w:lineRule="exact"/>
        <w:ind w:firstLine="640" w:firstLineChars="200"/>
        <w:outlineLvl w:val="1"/>
        <w:rPr>
          <w:rStyle w:val="26"/>
          <w:rFonts w:ascii="黑体" w:hAnsi="黑体" w:eastAsia="黑体"/>
          <w:b w:val="0"/>
        </w:rPr>
      </w:pPr>
      <w:r>
        <w:rPr>
          <w:rFonts w:hint="eastAsia" w:ascii="黑体" w:hAnsi="黑体" w:eastAsia="黑体"/>
          <w:sz w:val="32"/>
          <w:szCs w:val="32"/>
        </w:rPr>
        <w:t>五、</w:t>
      </w:r>
      <w:r>
        <w:rPr>
          <w:rFonts w:hint="eastAsia" w:ascii="黑体" w:hAnsi="黑体" w:eastAsia="黑体"/>
          <w:b/>
          <w:sz w:val="32"/>
          <w:szCs w:val="32"/>
        </w:rPr>
        <w:t>一</w:t>
      </w:r>
      <w:r>
        <w:rPr>
          <w:rStyle w:val="26"/>
          <w:rFonts w:hint="eastAsia" w:ascii="黑体" w:hAnsi="黑体" w:eastAsia="黑体"/>
          <w:b w:val="0"/>
        </w:rPr>
        <w:t>般公共预算财政拨款支出决算情况说明</w:t>
      </w:r>
      <w:bookmarkEnd w:id="41"/>
      <w:bookmarkEnd w:id="42"/>
      <w:bookmarkEnd w:id="43"/>
    </w:p>
    <w:p>
      <w:pPr>
        <w:spacing w:line="600" w:lineRule="exact"/>
        <w:ind w:firstLine="643" w:firstLineChars="200"/>
        <w:outlineLvl w:val="2"/>
        <w:rPr>
          <w:rFonts w:ascii="仿宋" w:hAnsi="仿宋" w:eastAsia="仿宋"/>
          <w:b/>
          <w:sz w:val="32"/>
          <w:szCs w:val="32"/>
        </w:rPr>
      </w:pPr>
      <w:bookmarkStart w:id="44" w:name="_Toc16351"/>
      <w:bookmarkStart w:id="45" w:name="_Toc15377210"/>
      <w:r>
        <w:rPr>
          <w:rFonts w:hint="eastAsia" w:ascii="仿宋" w:hAnsi="仿宋" w:eastAsia="仿宋"/>
          <w:b/>
          <w:sz w:val="32"/>
          <w:szCs w:val="32"/>
        </w:rPr>
        <w:t>（一）一般公共预算财政拨款支出决算总体情况</w:t>
      </w:r>
      <w:bookmarkEnd w:id="44"/>
      <w:bookmarkEnd w:id="45"/>
    </w:p>
    <w:p>
      <w:pPr>
        <w:spacing w:line="600" w:lineRule="exact"/>
        <w:ind w:firstLine="640" w:firstLineChars="200"/>
        <w:rPr>
          <w:rFonts w:hint="eastAsia" w:ascii="仿宋" w:hAnsi="仿宋" w:eastAsia="仿宋"/>
          <w:sz w:val="32"/>
          <w:szCs w:val="32"/>
          <w:lang w:val="en-US" w:eastAsia="zh-CN"/>
        </w:rPr>
      </w:pPr>
      <w:r>
        <w:rPr>
          <w:rFonts w:ascii="仿宋" w:hAnsi="仿宋" w:eastAsia="仿宋"/>
          <w:sz w:val="32"/>
          <w:szCs w:val="32"/>
        </w:rPr>
        <w:t>20</w:t>
      </w:r>
      <w:r>
        <w:rPr>
          <w:rFonts w:hint="eastAsia" w:ascii="仿宋" w:hAnsi="仿宋" w:eastAsia="仿宋"/>
          <w:sz w:val="32"/>
          <w:szCs w:val="32"/>
        </w:rPr>
        <w:t>21年一般公共预算财政拨款支出</w:t>
      </w:r>
      <w:r>
        <w:rPr>
          <w:rFonts w:hint="eastAsia" w:ascii="仿宋" w:hAnsi="仿宋" w:eastAsia="仿宋"/>
          <w:sz w:val="32"/>
          <w:szCs w:val="32"/>
          <w:lang w:val="en-US" w:eastAsia="zh-CN"/>
        </w:rPr>
        <w:t>76.38</w:t>
      </w:r>
      <w:r>
        <w:rPr>
          <w:rFonts w:hint="eastAsia" w:ascii="仿宋" w:hAnsi="仿宋" w:eastAsia="仿宋"/>
          <w:sz w:val="32"/>
          <w:szCs w:val="32"/>
        </w:rPr>
        <w:t>万元，占本年支出合计的</w:t>
      </w:r>
      <w:r>
        <w:rPr>
          <w:rFonts w:hint="eastAsia" w:ascii="仿宋" w:hAnsi="仿宋" w:eastAsia="仿宋"/>
          <w:sz w:val="32"/>
          <w:szCs w:val="32"/>
          <w:lang w:val="en-US" w:eastAsia="zh-CN"/>
        </w:rPr>
        <w:t>100</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20年相比，一般公共预算财政拨款支出增加</w:t>
      </w:r>
      <w:r>
        <w:rPr>
          <w:rFonts w:hint="eastAsia" w:ascii="仿宋" w:hAnsi="仿宋" w:eastAsia="仿宋"/>
          <w:sz w:val="32"/>
          <w:szCs w:val="32"/>
          <w:lang w:val="en-US" w:eastAsia="zh-CN"/>
        </w:rPr>
        <w:t>26.35</w:t>
      </w:r>
      <w:r>
        <w:rPr>
          <w:rFonts w:hint="eastAsia" w:ascii="仿宋" w:hAnsi="仿宋" w:eastAsia="仿宋"/>
          <w:sz w:val="32"/>
          <w:szCs w:val="32"/>
        </w:rPr>
        <w:t>万元，增长</w:t>
      </w:r>
      <w:r>
        <w:rPr>
          <w:rFonts w:hint="eastAsia" w:ascii="仿宋" w:hAnsi="仿宋" w:eastAsia="仿宋"/>
          <w:sz w:val="32"/>
          <w:szCs w:val="32"/>
          <w:lang w:val="en-US" w:eastAsia="zh-CN"/>
        </w:rPr>
        <w:t>52.67</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val="en-US" w:eastAsia="zh-CN"/>
        </w:rPr>
        <w:t>正常变动。</w:t>
      </w:r>
    </w:p>
    <w:p/>
    <w:p>
      <w:pPr>
        <w:spacing w:line="600" w:lineRule="exact"/>
        <w:jc w:val="center"/>
        <w:rPr>
          <w:rFonts w:hint="eastAsia" w:ascii="仿宋" w:hAnsi="仿宋" w:eastAsia="仿宋"/>
          <w:sz w:val="32"/>
          <w:szCs w:val="32"/>
          <w:lang w:eastAsia="zh-CN"/>
        </w:rPr>
      </w:pPr>
      <w:r>
        <w:drawing>
          <wp:anchor distT="0" distB="0" distL="0" distR="0" simplePos="0" relativeHeight="251663360" behindDoc="0" locked="0" layoutInCell="1" allowOverlap="1">
            <wp:simplePos x="0" y="0"/>
            <wp:positionH relativeFrom="column">
              <wp:posOffset>147320</wp:posOffset>
            </wp:positionH>
            <wp:positionV relativeFrom="paragraph">
              <wp:posOffset>273050</wp:posOffset>
            </wp:positionV>
            <wp:extent cx="5274310" cy="3209925"/>
            <wp:effectExtent l="4445" t="4445" r="17145" b="5080"/>
            <wp:wrapTopAndBottom/>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Pr>
          <w:rFonts w:hint="eastAsia" w:ascii="仿宋" w:hAnsi="仿宋" w:eastAsia="仿宋"/>
          <w:sz w:val="32"/>
          <w:szCs w:val="32"/>
        </w:rPr>
        <w:t>（图5：一般公共预算财政拨款支出决算变动情况柱状图</w:t>
      </w:r>
      <w:r>
        <w:rPr>
          <w:rFonts w:hint="eastAsia" w:ascii="仿宋" w:hAnsi="仿宋" w:eastAsia="仿宋"/>
          <w:sz w:val="32"/>
          <w:szCs w:val="32"/>
          <w:lang w:eastAsia="zh-CN"/>
        </w:rPr>
        <w:t>）</w:t>
      </w:r>
    </w:p>
    <w:p>
      <w:pPr>
        <w:pStyle w:val="2"/>
        <w:rPr>
          <w:rFonts w:hint="eastAsia"/>
          <w:lang w:eastAsia="zh-CN"/>
        </w:rPr>
      </w:pPr>
    </w:p>
    <w:p>
      <w:pPr>
        <w:spacing w:line="600" w:lineRule="exact"/>
        <w:ind w:firstLine="321" w:firstLineChars="100"/>
        <w:outlineLvl w:val="2"/>
        <w:rPr>
          <w:rFonts w:ascii="仿宋" w:hAnsi="仿宋" w:eastAsia="仿宋"/>
          <w:b/>
          <w:sz w:val="32"/>
          <w:szCs w:val="32"/>
        </w:rPr>
      </w:pPr>
      <w:bookmarkStart w:id="46" w:name="_Toc15377211"/>
      <w:bookmarkStart w:id="47" w:name="_Toc4767"/>
      <w:r>
        <w:rPr>
          <w:rFonts w:hint="eastAsia" w:ascii="仿宋" w:hAnsi="仿宋" w:eastAsia="仿宋"/>
          <w:b/>
          <w:sz w:val="32"/>
          <w:szCs w:val="32"/>
        </w:rPr>
        <w:t>（二）一般公共预算财政拨款支出决算结构情况</w:t>
      </w:r>
      <w:bookmarkEnd w:id="46"/>
      <w:bookmarkEnd w:id="47"/>
    </w:p>
    <w:p>
      <w:pPr>
        <w:spacing w:line="600" w:lineRule="exact"/>
        <w:ind w:firstLine="640"/>
        <w:rPr>
          <w:rFonts w:ascii="仿宋" w:hAnsi="仿宋" w:eastAsia="仿宋"/>
          <w:b/>
          <w:sz w:val="32"/>
          <w:szCs w:val="32"/>
        </w:rPr>
      </w:pPr>
      <w:r>
        <w:rPr>
          <w:rFonts w:ascii="仿宋" w:hAnsi="仿宋" w:eastAsia="仿宋"/>
          <w:sz w:val="32"/>
          <w:szCs w:val="32"/>
        </w:rPr>
        <w:t>20</w:t>
      </w:r>
      <w:r>
        <w:rPr>
          <w:rFonts w:hint="eastAsia" w:ascii="仿宋" w:hAnsi="仿宋" w:eastAsia="仿宋"/>
          <w:sz w:val="32"/>
          <w:szCs w:val="32"/>
        </w:rPr>
        <w:t>21年一般公共预算财政拨款支出</w:t>
      </w:r>
      <w:r>
        <w:rPr>
          <w:rFonts w:hint="eastAsia" w:ascii="仿宋" w:hAnsi="仿宋" w:eastAsia="仿宋"/>
          <w:sz w:val="32"/>
          <w:szCs w:val="32"/>
          <w:lang w:val="en-US" w:eastAsia="zh-CN"/>
        </w:rPr>
        <w:t>76.38</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一般公共服务（类）</w:t>
      </w:r>
      <w:r>
        <w:rPr>
          <w:rFonts w:hint="eastAsia" w:ascii="仿宋" w:hAnsi="仿宋" w:eastAsia="仿宋"/>
          <w:sz w:val="32"/>
          <w:szCs w:val="32"/>
        </w:rPr>
        <w:t>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教育支出（类）</w:t>
      </w:r>
      <w:r>
        <w:rPr>
          <w:rFonts w:hint="eastAsia" w:ascii="仿宋" w:hAnsi="仿宋" w:eastAsia="仿宋"/>
          <w:b/>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科学技术（类）</w:t>
      </w:r>
      <w:r>
        <w:rPr>
          <w:rFonts w:hint="eastAsia" w:ascii="仿宋" w:hAnsi="仿宋" w:eastAsia="仿宋"/>
          <w:sz w:val="32"/>
          <w:szCs w:val="32"/>
        </w:rPr>
        <w:t>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文化旅游体育与传媒（类）支出</w:t>
      </w:r>
      <w:r>
        <w:rPr>
          <w:rFonts w:hint="eastAsia" w:ascii="仿宋" w:hAnsi="仿宋" w:eastAsia="仿宋"/>
          <w:b/>
          <w:bCs/>
          <w:sz w:val="32"/>
          <w:szCs w:val="32"/>
          <w:lang w:val="en-US" w:eastAsia="zh-CN"/>
        </w:rPr>
        <w:t>0</w:t>
      </w:r>
      <w:r>
        <w:rPr>
          <w:rFonts w:hint="eastAsia" w:ascii="仿宋" w:hAnsi="仿宋" w:eastAsia="仿宋"/>
          <w:b/>
          <w:bCs/>
          <w:sz w:val="32"/>
          <w:szCs w:val="32"/>
        </w:rPr>
        <w:t>万元，占</w:t>
      </w:r>
      <w:r>
        <w:rPr>
          <w:rFonts w:hint="eastAsia" w:ascii="仿宋" w:hAnsi="仿宋" w:eastAsia="仿宋"/>
          <w:b/>
          <w:bCs/>
          <w:sz w:val="32"/>
          <w:szCs w:val="32"/>
          <w:lang w:val="en-US" w:eastAsia="zh-CN"/>
        </w:rPr>
        <w:t>0</w:t>
      </w:r>
      <w:r>
        <w:rPr>
          <w:rFonts w:ascii="仿宋" w:hAnsi="仿宋" w:eastAsia="仿宋"/>
          <w:b/>
          <w:bCs/>
          <w:sz w:val="32"/>
          <w:szCs w:val="32"/>
        </w:rPr>
        <w:t>%</w:t>
      </w:r>
      <w:r>
        <w:rPr>
          <w:rFonts w:hint="eastAsia" w:ascii="仿宋" w:hAnsi="仿宋" w:eastAsia="仿宋"/>
          <w:sz w:val="32"/>
          <w:szCs w:val="32"/>
        </w:rPr>
        <w:t>；</w:t>
      </w:r>
      <w:r>
        <w:rPr>
          <w:rFonts w:hint="eastAsia" w:ascii="仿宋" w:hAnsi="仿宋" w:eastAsia="仿宋"/>
          <w:b/>
          <w:sz w:val="32"/>
          <w:szCs w:val="32"/>
        </w:rPr>
        <w:t>社会保障和就业（类）</w:t>
      </w:r>
      <w:r>
        <w:rPr>
          <w:rFonts w:hint="eastAsia" w:ascii="仿宋" w:hAnsi="仿宋" w:eastAsia="仿宋"/>
          <w:sz w:val="32"/>
          <w:szCs w:val="32"/>
        </w:rPr>
        <w:t>支出</w:t>
      </w:r>
      <w:r>
        <w:rPr>
          <w:rFonts w:hint="eastAsia" w:ascii="仿宋" w:hAnsi="仿宋" w:eastAsia="仿宋"/>
          <w:sz w:val="32"/>
          <w:szCs w:val="32"/>
          <w:lang w:val="en-US" w:eastAsia="zh-CN"/>
        </w:rPr>
        <w:t>15.74</w:t>
      </w:r>
      <w:r>
        <w:rPr>
          <w:rFonts w:hint="eastAsia" w:ascii="仿宋" w:hAnsi="仿宋" w:eastAsia="仿宋"/>
          <w:sz w:val="32"/>
          <w:szCs w:val="32"/>
        </w:rPr>
        <w:t>万元，占</w:t>
      </w:r>
      <w:r>
        <w:rPr>
          <w:rFonts w:hint="eastAsia" w:ascii="仿宋" w:hAnsi="仿宋" w:eastAsia="仿宋"/>
          <w:sz w:val="32"/>
          <w:szCs w:val="32"/>
          <w:lang w:val="en-US" w:eastAsia="zh-CN"/>
        </w:rPr>
        <w:t>20.61</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w:t>
      </w:r>
      <w:r>
        <w:rPr>
          <w:rFonts w:hint="eastAsia" w:ascii="仿宋" w:hAnsi="仿宋" w:eastAsia="仿宋"/>
          <w:b/>
          <w:bCs/>
          <w:sz w:val="32"/>
          <w:szCs w:val="32"/>
          <w:lang w:val="en-US" w:eastAsia="zh-CN"/>
        </w:rPr>
        <w:t>3.69</w:t>
      </w:r>
      <w:r>
        <w:rPr>
          <w:rFonts w:hint="eastAsia" w:ascii="仿宋" w:hAnsi="仿宋" w:eastAsia="仿宋"/>
          <w:sz w:val="32"/>
          <w:szCs w:val="32"/>
        </w:rPr>
        <w:t>万元，占</w:t>
      </w:r>
      <w:r>
        <w:rPr>
          <w:rFonts w:hint="eastAsia" w:ascii="仿宋" w:hAnsi="仿宋" w:eastAsia="仿宋"/>
          <w:sz w:val="32"/>
          <w:szCs w:val="32"/>
          <w:lang w:val="en-US" w:eastAsia="zh-CN"/>
        </w:rPr>
        <w:t>4.83</w:t>
      </w:r>
      <w:r>
        <w:rPr>
          <w:rFonts w:ascii="仿宋" w:hAnsi="仿宋" w:eastAsia="仿宋"/>
          <w:sz w:val="32"/>
          <w:szCs w:val="32"/>
        </w:rPr>
        <w:t>%</w:t>
      </w:r>
      <w:r>
        <w:rPr>
          <w:rFonts w:hint="eastAsia" w:ascii="仿宋" w:hAnsi="仿宋" w:eastAsia="仿宋"/>
          <w:sz w:val="32"/>
          <w:szCs w:val="32"/>
        </w:rPr>
        <w:t>；住房保障支出</w:t>
      </w:r>
      <w:r>
        <w:rPr>
          <w:rFonts w:hint="eastAsia" w:ascii="仿宋" w:hAnsi="仿宋" w:eastAsia="仿宋"/>
          <w:sz w:val="32"/>
          <w:szCs w:val="32"/>
          <w:lang w:val="en-US" w:eastAsia="zh-CN"/>
        </w:rPr>
        <w:t>4.96</w:t>
      </w:r>
      <w:r>
        <w:rPr>
          <w:rFonts w:hint="eastAsia" w:ascii="仿宋" w:hAnsi="仿宋" w:eastAsia="仿宋"/>
          <w:sz w:val="32"/>
          <w:szCs w:val="32"/>
        </w:rPr>
        <w:t>万元，占</w:t>
      </w:r>
      <w:r>
        <w:rPr>
          <w:rFonts w:hint="eastAsia" w:ascii="仿宋" w:hAnsi="仿宋" w:eastAsia="仿宋"/>
          <w:sz w:val="32"/>
          <w:szCs w:val="32"/>
          <w:lang w:val="en-US" w:eastAsia="zh-CN"/>
        </w:rPr>
        <w:t>6.49</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sz w:val="32"/>
          <w:szCs w:val="32"/>
          <w:lang w:val="en-US" w:eastAsia="zh-CN"/>
        </w:rPr>
        <w:t>交通运输支出51.98万元，占68.05%</w:t>
      </w:r>
      <w:r>
        <w:rPr>
          <w:rFonts w:hint="eastAsia" w:ascii="仿宋" w:hAnsi="仿宋" w:eastAsia="仿宋"/>
          <w:sz w:val="32"/>
          <w:szCs w:val="32"/>
        </w:rPr>
        <w:t>。</w:t>
      </w:r>
    </w:p>
    <w:p>
      <w:pPr>
        <w:rPr>
          <w:rFonts w:ascii="仿宋" w:hAnsi="仿宋" w:eastAsia="仿宋"/>
          <w:sz w:val="32"/>
          <w:szCs w:val="32"/>
        </w:rPr>
      </w:pPr>
      <w:r>
        <w:drawing>
          <wp:inline distT="0" distB="0" distL="0" distR="0">
            <wp:extent cx="5274310" cy="3076575"/>
            <wp:effectExtent l="5080" t="4445" r="16510" b="508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600" w:lineRule="exact"/>
        <w:rPr>
          <w:rFonts w:ascii="仿宋" w:hAnsi="仿宋" w:eastAsia="仿宋"/>
          <w:sz w:val="32"/>
          <w:szCs w:val="32"/>
        </w:rPr>
      </w:pPr>
      <w:r>
        <w:rPr>
          <w:rFonts w:hint="eastAsia" w:ascii="仿宋" w:hAnsi="仿宋" w:eastAsia="仿宋"/>
          <w:sz w:val="32"/>
          <w:szCs w:val="32"/>
        </w:rPr>
        <w:t>（图6：一般公共预算财政拨款支出决算结构）（饼状图）</w:t>
      </w:r>
    </w:p>
    <w:p>
      <w:pPr>
        <w:spacing w:line="600" w:lineRule="exact"/>
        <w:ind w:firstLine="643" w:firstLineChars="200"/>
        <w:outlineLvl w:val="9"/>
        <w:rPr>
          <w:rFonts w:hint="eastAsia" w:ascii="仿宋" w:hAnsi="仿宋" w:eastAsia="仿宋"/>
          <w:b/>
          <w:sz w:val="32"/>
          <w:szCs w:val="32"/>
        </w:rPr>
      </w:pPr>
      <w:bookmarkStart w:id="48" w:name="_Toc15377212"/>
    </w:p>
    <w:p>
      <w:pPr>
        <w:spacing w:line="600" w:lineRule="exact"/>
        <w:ind w:firstLine="643" w:firstLineChars="200"/>
        <w:outlineLvl w:val="2"/>
        <w:rPr>
          <w:rFonts w:ascii="仿宋" w:hAnsi="仿宋" w:eastAsia="仿宋"/>
          <w:b/>
          <w:sz w:val="32"/>
          <w:szCs w:val="32"/>
        </w:rPr>
      </w:pPr>
      <w:bookmarkStart w:id="49" w:name="_Toc21241"/>
      <w:r>
        <w:rPr>
          <w:rFonts w:hint="eastAsia" w:ascii="仿宋" w:hAnsi="仿宋" w:eastAsia="仿宋"/>
          <w:b/>
          <w:sz w:val="32"/>
          <w:szCs w:val="32"/>
        </w:rPr>
        <w:t>（三）一般公共预算财政拨款支出决算具体情况</w:t>
      </w:r>
      <w:bookmarkEnd w:id="48"/>
      <w:bookmarkEnd w:id="49"/>
    </w:p>
    <w:p>
      <w:pPr>
        <w:spacing w:line="600" w:lineRule="exact"/>
        <w:ind w:firstLine="643" w:firstLineChars="200"/>
        <w:outlineLvl w:val="2"/>
        <w:rPr>
          <w:rFonts w:ascii="仿宋" w:hAnsi="仿宋" w:eastAsia="仿宋"/>
          <w:sz w:val="32"/>
          <w:szCs w:val="32"/>
        </w:rPr>
      </w:pPr>
      <w:bookmarkStart w:id="50" w:name="_Toc15377444"/>
      <w:bookmarkStart w:id="51" w:name="_Toc18507"/>
      <w:bookmarkStart w:id="52" w:name="_Toc15378460"/>
      <w:bookmarkStart w:id="53" w:name="_Toc15377213"/>
      <w:r>
        <w:rPr>
          <w:rFonts w:hint="eastAsia" w:ascii="仿宋" w:hAnsi="仿宋" w:eastAsia="仿宋"/>
          <w:b/>
          <w:sz w:val="32"/>
          <w:szCs w:val="32"/>
        </w:rPr>
        <w:t>2021年一般公共预算支出决算数为</w:t>
      </w:r>
      <w:r>
        <w:rPr>
          <w:rFonts w:hint="eastAsia" w:ascii="仿宋" w:hAnsi="仿宋" w:eastAsia="仿宋"/>
          <w:b/>
          <w:sz w:val="32"/>
          <w:szCs w:val="32"/>
          <w:lang w:val="en-US" w:eastAsia="zh-CN"/>
        </w:rPr>
        <w:t>76.08万元</w:t>
      </w:r>
      <w:r>
        <w:rPr>
          <w:rFonts w:hint="eastAsia" w:ascii="仿宋" w:hAnsi="仿宋" w:eastAsia="仿宋"/>
          <w:sz w:val="32"/>
          <w:szCs w:val="32"/>
        </w:rPr>
        <w:t>，</w:t>
      </w:r>
      <w:r>
        <w:rPr>
          <w:rStyle w:val="15"/>
          <w:rFonts w:hint="eastAsia" w:ascii="仿宋" w:hAnsi="仿宋" w:eastAsia="仿宋"/>
          <w:bCs/>
          <w:sz w:val="32"/>
          <w:szCs w:val="32"/>
        </w:rPr>
        <w:t>完成预算</w:t>
      </w:r>
      <w:r>
        <w:rPr>
          <w:rStyle w:val="15"/>
          <w:rFonts w:hint="eastAsia" w:ascii="仿宋" w:hAnsi="仿宋" w:eastAsia="仿宋"/>
          <w:bCs/>
          <w:sz w:val="32"/>
          <w:szCs w:val="32"/>
          <w:lang w:val="en-US" w:eastAsia="zh-CN"/>
        </w:rPr>
        <w:t>100</w:t>
      </w:r>
      <w:r>
        <w:rPr>
          <w:rStyle w:val="15"/>
          <w:rFonts w:ascii="仿宋" w:hAnsi="仿宋" w:eastAsia="仿宋"/>
          <w:bCs/>
          <w:sz w:val="32"/>
          <w:szCs w:val="32"/>
        </w:rPr>
        <w:t>%</w:t>
      </w:r>
      <w:r>
        <w:rPr>
          <w:rStyle w:val="15"/>
          <w:rFonts w:hint="eastAsia" w:ascii="仿宋" w:hAnsi="仿宋" w:eastAsia="仿宋"/>
          <w:bCs/>
          <w:sz w:val="32"/>
          <w:szCs w:val="32"/>
        </w:rPr>
        <w:t>。其中：</w:t>
      </w:r>
      <w:bookmarkEnd w:id="50"/>
      <w:bookmarkEnd w:id="51"/>
      <w:bookmarkEnd w:id="52"/>
      <w:bookmarkEnd w:id="53"/>
    </w:p>
    <w:p>
      <w:pPr>
        <w:numPr>
          <w:ilvl w:val="0"/>
          <w:numId w:val="3"/>
        </w:numPr>
        <w:spacing w:line="600" w:lineRule="exact"/>
        <w:ind w:firstLine="643" w:firstLineChars="200"/>
        <w:rPr>
          <w:rStyle w:val="15"/>
          <w:rFonts w:hint="eastAsia" w:ascii="仿宋" w:hAnsi="仿宋" w:eastAsia="仿宋"/>
          <w:b w:val="0"/>
          <w:bCs/>
          <w:sz w:val="32"/>
          <w:szCs w:val="32"/>
          <w:lang w:eastAsia="zh-CN"/>
        </w:rPr>
      </w:pPr>
      <w:r>
        <w:rPr>
          <w:rStyle w:val="15"/>
          <w:rFonts w:hint="eastAsia" w:ascii="仿宋" w:hAnsi="仿宋" w:eastAsia="仿宋"/>
          <w:bCs/>
          <w:sz w:val="32"/>
          <w:szCs w:val="32"/>
        </w:rPr>
        <w:t>社会保障和就业（类）</w:t>
      </w:r>
      <w:r>
        <w:rPr>
          <w:rStyle w:val="15"/>
          <w:rFonts w:hint="eastAsia" w:ascii="仿宋" w:hAnsi="仿宋" w:eastAsia="仿宋"/>
          <w:b w:val="0"/>
          <w:bCs/>
          <w:sz w:val="32"/>
          <w:szCs w:val="32"/>
        </w:rPr>
        <w:t>支出</w:t>
      </w:r>
      <w:r>
        <w:rPr>
          <w:rStyle w:val="15"/>
          <w:rFonts w:hint="eastAsia" w:ascii="仿宋" w:hAnsi="仿宋" w:eastAsia="仿宋"/>
          <w:b w:val="0"/>
          <w:bCs/>
          <w:sz w:val="32"/>
          <w:szCs w:val="32"/>
          <w:lang w:eastAsia="zh-CN"/>
        </w:rPr>
        <w:t>：</w:t>
      </w:r>
    </w:p>
    <w:p>
      <w:pPr>
        <w:spacing w:line="600" w:lineRule="exact"/>
        <w:ind w:firstLine="645"/>
        <w:rPr>
          <w:rFonts w:hint="eastAsia" w:ascii="仿宋" w:hAnsi="仿宋" w:eastAsia="仿宋"/>
          <w:sz w:val="32"/>
          <w:szCs w:val="32"/>
          <w:lang w:val="en-US" w:eastAsia="zh-CN"/>
        </w:rPr>
      </w:pPr>
      <w:r>
        <w:rPr>
          <w:rFonts w:hint="eastAsia" w:ascii="仿宋" w:hAnsi="仿宋" w:eastAsia="仿宋"/>
          <w:sz w:val="32"/>
          <w:szCs w:val="32"/>
          <w:lang w:val="en-US" w:eastAsia="zh-CN"/>
        </w:rPr>
        <w:t>2080501：行政单位离退休支出决算数为：4.78万元，</w:t>
      </w:r>
      <w:r>
        <w:rPr>
          <w:rFonts w:hint="eastAsia" w:ascii="仿宋" w:hAnsi="仿宋" w:eastAsia="仿宋"/>
          <w:sz w:val="32"/>
          <w:szCs w:val="32"/>
          <w:lang w:val="en-US" w:eastAsia="zh-CN"/>
        </w:rPr>
        <w:tab/>
      </w:r>
      <w:r>
        <w:rPr>
          <w:rFonts w:hint="eastAsia" w:ascii="仿宋" w:hAnsi="仿宋" w:eastAsia="仿宋"/>
          <w:sz w:val="32"/>
          <w:szCs w:val="32"/>
          <w:lang w:val="en-US" w:eastAsia="zh-CN"/>
        </w:rPr>
        <w:t>完成预算100%。</w:t>
      </w:r>
    </w:p>
    <w:p>
      <w:pPr>
        <w:spacing w:line="600" w:lineRule="exact"/>
        <w:ind w:firstLine="645"/>
        <w:rPr>
          <w:rFonts w:hint="eastAsia" w:ascii="仿宋" w:hAnsi="仿宋" w:eastAsia="仿宋"/>
          <w:sz w:val="32"/>
          <w:szCs w:val="32"/>
          <w:lang w:val="en-US" w:eastAsia="zh-CN"/>
        </w:rPr>
      </w:pPr>
      <w:r>
        <w:rPr>
          <w:rFonts w:hint="eastAsia" w:ascii="仿宋" w:hAnsi="仿宋" w:eastAsia="仿宋"/>
          <w:sz w:val="32"/>
          <w:szCs w:val="32"/>
          <w:lang w:val="en-US" w:eastAsia="zh-CN"/>
        </w:rPr>
        <w:t>2080505：机关事业单位基本养老保险缴费支出决算数为5.24万元，完成预算100%。</w:t>
      </w:r>
    </w:p>
    <w:p>
      <w:pPr>
        <w:spacing w:line="600" w:lineRule="exact"/>
        <w:ind w:firstLine="645"/>
        <w:rPr>
          <w:rFonts w:hint="eastAsia" w:ascii="仿宋" w:hAnsi="仿宋" w:eastAsia="仿宋"/>
          <w:sz w:val="32"/>
          <w:szCs w:val="32"/>
          <w:lang w:val="en-US" w:eastAsia="zh-CN"/>
        </w:rPr>
      </w:pPr>
      <w:r>
        <w:rPr>
          <w:rFonts w:hint="eastAsia" w:ascii="仿宋" w:hAnsi="仿宋" w:eastAsia="仿宋"/>
          <w:sz w:val="32"/>
          <w:szCs w:val="32"/>
          <w:lang w:val="en-US" w:eastAsia="zh-CN"/>
        </w:rPr>
        <w:t>2080506:机关事业单位职业年金缴费支出就算数为3.85万元，完成预算100%。</w:t>
      </w:r>
    </w:p>
    <w:p>
      <w:pPr>
        <w:spacing w:line="600" w:lineRule="exact"/>
        <w:ind w:firstLine="645"/>
        <w:rPr>
          <w:rFonts w:hint="default" w:ascii="仿宋" w:hAnsi="仿宋" w:eastAsia="仿宋"/>
          <w:sz w:val="32"/>
          <w:szCs w:val="32"/>
          <w:lang w:val="en-US" w:eastAsia="zh-CN"/>
        </w:rPr>
      </w:pPr>
      <w:r>
        <w:rPr>
          <w:rFonts w:hint="eastAsia" w:ascii="仿宋" w:hAnsi="仿宋" w:eastAsia="仿宋"/>
          <w:sz w:val="32"/>
          <w:szCs w:val="32"/>
          <w:lang w:val="en-US" w:eastAsia="zh-CN"/>
        </w:rPr>
        <w:t>2080802:伤残抚恤支出决算数为1.87万元，完成预算100%。</w:t>
      </w:r>
    </w:p>
    <w:p>
      <w:pPr>
        <w:numPr>
          <w:ilvl w:val="0"/>
          <w:numId w:val="0"/>
        </w:numPr>
        <w:spacing w:line="600" w:lineRule="exact"/>
        <w:ind w:firstLine="643" w:firstLineChars="200"/>
        <w:rPr>
          <w:rStyle w:val="15"/>
          <w:rFonts w:hint="eastAsia" w:ascii="仿宋" w:hAnsi="仿宋" w:eastAsia="仿宋"/>
          <w:b w:val="0"/>
          <w:bCs/>
          <w:sz w:val="32"/>
          <w:szCs w:val="32"/>
        </w:rPr>
      </w:pPr>
      <w:r>
        <w:rPr>
          <w:rFonts w:hint="eastAsia" w:ascii="仿宋" w:hAnsi="仿宋" w:eastAsia="仿宋"/>
          <w:b/>
          <w:bCs/>
          <w:sz w:val="32"/>
          <w:szCs w:val="32"/>
          <w:lang w:val="en-US" w:eastAsia="zh-CN"/>
        </w:rPr>
        <w:t>2、</w:t>
      </w:r>
      <w:r>
        <w:rPr>
          <w:rFonts w:hint="eastAsia" w:ascii="仿宋" w:hAnsi="仿宋" w:eastAsia="仿宋"/>
          <w:b/>
          <w:bCs/>
          <w:sz w:val="32"/>
          <w:szCs w:val="32"/>
        </w:rPr>
        <w:t>卫生健康</w:t>
      </w:r>
      <w:r>
        <w:rPr>
          <w:rStyle w:val="15"/>
          <w:rFonts w:hint="eastAsia" w:ascii="仿宋" w:hAnsi="仿宋" w:eastAsia="仿宋"/>
          <w:bCs/>
          <w:sz w:val="32"/>
          <w:szCs w:val="32"/>
        </w:rPr>
        <w:t>（类）</w:t>
      </w:r>
      <w:r>
        <w:rPr>
          <w:rStyle w:val="15"/>
          <w:rFonts w:hint="eastAsia" w:ascii="仿宋" w:hAnsi="仿宋" w:eastAsia="仿宋"/>
          <w:b w:val="0"/>
          <w:bCs/>
          <w:sz w:val="32"/>
          <w:szCs w:val="32"/>
        </w:rPr>
        <w:t>支出</w:t>
      </w:r>
      <w:r>
        <w:rPr>
          <w:rStyle w:val="15"/>
          <w:rFonts w:hint="eastAsia" w:ascii="仿宋" w:hAnsi="仿宋" w:eastAsia="仿宋"/>
          <w:b w:val="0"/>
          <w:bCs/>
          <w:sz w:val="32"/>
          <w:szCs w:val="32"/>
          <w:lang w:eastAsia="zh-CN"/>
        </w:rPr>
        <w:t>：</w:t>
      </w:r>
    </w:p>
    <w:p>
      <w:pPr>
        <w:spacing w:line="600" w:lineRule="exact"/>
        <w:ind w:firstLine="645"/>
        <w:rPr>
          <w:rFonts w:hint="eastAsia" w:ascii="仿宋" w:hAnsi="仿宋" w:eastAsia="仿宋"/>
          <w:sz w:val="32"/>
          <w:szCs w:val="32"/>
          <w:lang w:eastAsia="zh-CN"/>
        </w:rPr>
      </w:pPr>
      <w:r>
        <w:rPr>
          <w:rFonts w:hint="eastAsia" w:ascii="仿宋" w:hAnsi="仿宋" w:eastAsia="仿宋"/>
          <w:sz w:val="32"/>
          <w:szCs w:val="32"/>
        </w:rPr>
        <w:t>2101101</w:t>
      </w:r>
      <w:r>
        <w:rPr>
          <w:rFonts w:hint="eastAsia" w:ascii="仿宋" w:hAnsi="仿宋" w:eastAsia="仿宋"/>
          <w:sz w:val="32"/>
          <w:szCs w:val="32"/>
          <w:lang w:eastAsia="zh-CN"/>
        </w:rPr>
        <w:t>：</w:t>
      </w:r>
      <w:r>
        <w:rPr>
          <w:rFonts w:hint="eastAsia" w:ascii="仿宋" w:hAnsi="仿宋" w:eastAsia="仿宋"/>
          <w:sz w:val="32"/>
          <w:szCs w:val="32"/>
        </w:rPr>
        <w:t>行政单位医疗支出决算数为3.37万元，完成预算100%</w:t>
      </w:r>
      <w:r>
        <w:rPr>
          <w:rFonts w:hint="eastAsia" w:ascii="仿宋" w:hAnsi="仿宋" w:eastAsia="仿宋"/>
          <w:sz w:val="32"/>
          <w:szCs w:val="32"/>
          <w:lang w:eastAsia="zh-CN"/>
        </w:rPr>
        <w:t>。</w:t>
      </w:r>
    </w:p>
    <w:p>
      <w:pPr>
        <w:spacing w:line="600" w:lineRule="exact"/>
        <w:ind w:firstLine="645"/>
        <w:rPr>
          <w:rFonts w:hint="eastAsia" w:ascii="仿宋" w:hAnsi="仿宋" w:eastAsia="仿宋"/>
          <w:sz w:val="32"/>
          <w:szCs w:val="32"/>
          <w:lang w:eastAsia="zh-CN"/>
        </w:rPr>
      </w:pPr>
      <w:r>
        <w:rPr>
          <w:rFonts w:hint="eastAsia" w:ascii="仿宋" w:hAnsi="仿宋" w:eastAsia="仿宋"/>
          <w:sz w:val="32"/>
          <w:szCs w:val="32"/>
        </w:rPr>
        <w:t>2101103</w:t>
      </w:r>
      <w:r>
        <w:rPr>
          <w:rFonts w:hint="eastAsia" w:ascii="仿宋" w:hAnsi="仿宋" w:eastAsia="仿宋"/>
          <w:sz w:val="32"/>
          <w:szCs w:val="32"/>
          <w:lang w:eastAsia="zh-CN"/>
        </w:rPr>
        <w:t>：</w:t>
      </w:r>
      <w:r>
        <w:rPr>
          <w:rFonts w:hint="eastAsia" w:ascii="仿宋" w:hAnsi="仿宋" w:eastAsia="仿宋"/>
          <w:sz w:val="32"/>
          <w:szCs w:val="32"/>
        </w:rPr>
        <w:t>公务员医疗补助出决算数为0.32万元，完成预算100%</w:t>
      </w:r>
      <w:r>
        <w:rPr>
          <w:rFonts w:hint="eastAsia" w:ascii="仿宋" w:hAnsi="仿宋" w:eastAsia="仿宋"/>
          <w:sz w:val="32"/>
          <w:szCs w:val="32"/>
          <w:lang w:eastAsia="zh-CN"/>
        </w:rPr>
        <w:t>。</w:t>
      </w:r>
    </w:p>
    <w:p>
      <w:pPr>
        <w:numPr>
          <w:ilvl w:val="0"/>
          <w:numId w:val="0"/>
        </w:numPr>
        <w:spacing w:line="600" w:lineRule="exact"/>
        <w:ind w:firstLine="643" w:firstLineChars="200"/>
        <w:rPr>
          <w:rFonts w:hint="eastAsia"/>
          <w:lang w:eastAsia="zh-CN"/>
        </w:rPr>
      </w:pPr>
      <w:r>
        <w:rPr>
          <w:rFonts w:hint="eastAsia" w:ascii="仿宋" w:hAnsi="仿宋" w:eastAsia="仿宋"/>
          <w:b/>
          <w:bCs/>
          <w:sz w:val="32"/>
          <w:szCs w:val="32"/>
          <w:lang w:val="en-US" w:eastAsia="zh-CN"/>
        </w:rPr>
        <w:t>3、交通运输</w:t>
      </w:r>
      <w:r>
        <w:rPr>
          <w:rStyle w:val="15"/>
          <w:rFonts w:hint="eastAsia" w:ascii="仿宋" w:hAnsi="仿宋" w:eastAsia="仿宋"/>
          <w:bCs/>
          <w:sz w:val="32"/>
          <w:szCs w:val="32"/>
        </w:rPr>
        <w:t>（类）</w:t>
      </w:r>
      <w:r>
        <w:rPr>
          <w:rStyle w:val="15"/>
          <w:rFonts w:hint="eastAsia" w:ascii="仿宋" w:hAnsi="仿宋" w:eastAsia="仿宋"/>
          <w:b w:val="0"/>
          <w:bCs/>
          <w:sz w:val="32"/>
          <w:szCs w:val="32"/>
        </w:rPr>
        <w:t>支出决算</w:t>
      </w:r>
      <w:r>
        <w:rPr>
          <w:rStyle w:val="15"/>
          <w:rFonts w:hint="eastAsia" w:ascii="仿宋" w:hAnsi="仿宋" w:eastAsia="仿宋"/>
          <w:b w:val="0"/>
          <w:bCs/>
          <w:sz w:val="32"/>
          <w:szCs w:val="32"/>
          <w:lang w:eastAsia="zh-CN"/>
        </w:rPr>
        <w:t>：</w:t>
      </w:r>
    </w:p>
    <w:p>
      <w:pPr>
        <w:spacing w:line="600" w:lineRule="exact"/>
        <w:ind w:firstLine="645"/>
        <w:rPr>
          <w:rFonts w:hint="eastAsia" w:ascii="仿宋" w:hAnsi="仿宋" w:eastAsia="仿宋"/>
          <w:sz w:val="32"/>
          <w:szCs w:val="32"/>
          <w:lang w:eastAsia="zh-CN"/>
        </w:rPr>
      </w:pPr>
      <w:r>
        <w:rPr>
          <w:rFonts w:hint="eastAsia" w:ascii="仿宋" w:hAnsi="仿宋" w:eastAsia="仿宋"/>
          <w:sz w:val="32"/>
          <w:szCs w:val="32"/>
        </w:rPr>
        <w:t>2140101</w:t>
      </w:r>
      <w:r>
        <w:rPr>
          <w:rFonts w:hint="eastAsia" w:ascii="仿宋" w:hAnsi="仿宋" w:eastAsia="仿宋"/>
          <w:sz w:val="32"/>
          <w:szCs w:val="32"/>
          <w:lang w:eastAsia="zh-CN"/>
        </w:rPr>
        <w:t>：</w:t>
      </w:r>
      <w:r>
        <w:rPr>
          <w:rFonts w:hint="eastAsia" w:ascii="仿宋" w:hAnsi="仿宋" w:eastAsia="仿宋"/>
          <w:sz w:val="32"/>
          <w:szCs w:val="32"/>
        </w:rPr>
        <w:t>行政运行出决算数为51.68万元</w:t>
      </w:r>
      <w:r>
        <w:rPr>
          <w:rFonts w:hint="eastAsia" w:ascii="仿宋" w:hAnsi="仿宋" w:eastAsia="仿宋"/>
          <w:sz w:val="32"/>
          <w:szCs w:val="32"/>
          <w:lang w:eastAsia="zh-CN"/>
        </w:rPr>
        <w:t>，</w:t>
      </w:r>
      <w:r>
        <w:rPr>
          <w:rFonts w:hint="eastAsia" w:ascii="仿宋" w:hAnsi="仿宋" w:eastAsia="仿宋"/>
          <w:sz w:val="32"/>
          <w:szCs w:val="32"/>
        </w:rPr>
        <w:t>完成预算100%</w:t>
      </w:r>
      <w:r>
        <w:rPr>
          <w:rFonts w:hint="eastAsia" w:ascii="仿宋" w:hAnsi="仿宋" w:eastAsia="仿宋"/>
          <w:sz w:val="32"/>
          <w:szCs w:val="32"/>
          <w:lang w:eastAsia="zh-CN"/>
        </w:rPr>
        <w:t>。</w:t>
      </w:r>
    </w:p>
    <w:p>
      <w:pPr>
        <w:spacing w:line="600" w:lineRule="exact"/>
        <w:ind w:firstLine="645"/>
        <w:rPr>
          <w:rFonts w:hint="eastAsia" w:ascii="仿宋" w:hAnsi="仿宋" w:eastAsia="仿宋"/>
          <w:sz w:val="32"/>
          <w:szCs w:val="32"/>
          <w:lang w:eastAsia="zh-CN"/>
        </w:rPr>
      </w:pPr>
      <w:r>
        <w:rPr>
          <w:rFonts w:hint="eastAsia" w:ascii="仿宋" w:hAnsi="仿宋" w:eastAsia="仿宋"/>
          <w:sz w:val="32"/>
          <w:szCs w:val="32"/>
        </w:rPr>
        <w:t>2140102</w:t>
      </w:r>
      <w:r>
        <w:rPr>
          <w:rFonts w:hint="eastAsia" w:ascii="仿宋" w:hAnsi="仿宋" w:eastAsia="仿宋"/>
          <w:sz w:val="32"/>
          <w:szCs w:val="32"/>
          <w:lang w:eastAsia="zh-CN"/>
        </w:rPr>
        <w:t>：</w:t>
      </w:r>
      <w:r>
        <w:rPr>
          <w:rFonts w:hint="eastAsia" w:ascii="仿宋" w:hAnsi="仿宋" w:eastAsia="仿宋"/>
          <w:sz w:val="32"/>
          <w:szCs w:val="32"/>
        </w:rPr>
        <w:t>一般行政管理事务出决算数为0.3万元，完成预算100%</w:t>
      </w:r>
      <w:r>
        <w:rPr>
          <w:rFonts w:hint="eastAsia" w:ascii="仿宋" w:hAnsi="仿宋" w:eastAsia="仿宋"/>
          <w:sz w:val="32"/>
          <w:szCs w:val="32"/>
          <w:lang w:eastAsia="zh-CN"/>
        </w:rPr>
        <w:t>。</w:t>
      </w:r>
    </w:p>
    <w:p>
      <w:pPr>
        <w:numPr>
          <w:ilvl w:val="0"/>
          <w:numId w:val="0"/>
        </w:numPr>
        <w:spacing w:line="600" w:lineRule="exact"/>
        <w:ind w:firstLine="643" w:firstLineChars="200"/>
        <w:rPr>
          <w:rFonts w:hint="eastAsia"/>
          <w:lang w:eastAsia="zh-CN"/>
        </w:rPr>
      </w:pPr>
      <w:r>
        <w:rPr>
          <w:rFonts w:hint="eastAsia" w:ascii="仿宋" w:hAnsi="仿宋" w:eastAsia="仿宋"/>
          <w:b/>
          <w:bCs/>
          <w:sz w:val="32"/>
          <w:szCs w:val="32"/>
          <w:lang w:val="en-US" w:eastAsia="zh-CN"/>
        </w:rPr>
        <w:t>4、住房保障</w:t>
      </w:r>
      <w:r>
        <w:rPr>
          <w:rStyle w:val="15"/>
          <w:rFonts w:hint="eastAsia" w:ascii="仿宋" w:hAnsi="仿宋" w:eastAsia="仿宋"/>
          <w:bCs/>
          <w:sz w:val="32"/>
          <w:szCs w:val="32"/>
        </w:rPr>
        <w:t>（类）</w:t>
      </w:r>
      <w:r>
        <w:rPr>
          <w:rStyle w:val="15"/>
          <w:rFonts w:hint="eastAsia" w:ascii="仿宋" w:hAnsi="仿宋" w:eastAsia="仿宋"/>
          <w:b w:val="0"/>
          <w:bCs/>
          <w:sz w:val="32"/>
          <w:szCs w:val="32"/>
        </w:rPr>
        <w:t>支出决算</w:t>
      </w:r>
      <w:r>
        <w:rPr>
          <w:rStyle w:val="15"/>
          <w:rFonts w:hint="eastAsia" w:ascii="仿宋" w:hAnsi="仿宋" w:eastAsia="仿宋"/>
          <w:b w:val="0"/>
          <w:bCs/>
          <w:sz w:val="32"/>
          <w:szCs w:val="32"/>
          <w:lang w:eastAsia="zh-CN"/>
        </w:rPr>
        <w:t>：</w:t>
      </w:r>
    </w:p>
    <w:p>
      <w:pPr>
        <w:spacing w:line="600" w:lineRule="exact"/>
        <w:ind w:firstLine="645"/>
        <w:rPr>
          <w:rFonts w:hint="eastAsia" w:ascii="仿宋" w:hAnsi="仿宋" w:eastAsia="仿宋"/>
          <w:sz w:val="32"/>
          <w:szCs w:val="32"/>
          <w:lang w:eastAsia="zh-CN"/>
        </w:rPr>
      </w:pPr>
      <w:r>
        <w:rPr>
          <w:rFonts w:hint="eastAsia" w:ascii="仿宋" w:hAnsi="仿宋" w:eastAsia="仿宋"/>
          <w:sz w:val="32"/>
          <w:szCs w:val="32"/>
        </w:rPr>
        <w:t>2210201</w:t>
      </w:r>
      <w:r>
        <w:rPr>
          <w:rFonts w:hint="eastAsia" w:ascii="仿宋" w:hAnsi="仿宋" w:eastAsia="仿宋"/>
          <w:sz w:val="32"/>
          <w:szCs w:val="32"/>
          <w:lang w:eastAsia="zh-CN"/>
        </w:rPr>
        <w:t>：</w:t>
      </w:r>
      <w:r>
        <w:rPr>
          <w:rFonts w:hint="eastAsia" w:ascii="仿宋" w:hAnsi="仿宋" w:eastAsia="仿宋"/>
          <w:sz w:val="32"/>
          <w:szCs w:val="32"/>
        </w:rPr>
        <w:t>住房公积金出决算数为4.96万元，完成预算100%</w:t>
      </w:r>
      <w:r>
        <w:rPr>
          <w:rFonts w:hint="eastAsia" w:ascii="仿宋" w:hAnsi="仿宋" w:eastAsia="仿宋"/>
          <w:sz w:val="32"/>
          <w:szCs w:val="32"/>
          <w:lang w:eastAsia="zh-CN"/>
        </w:rPr>
        <w:t>。</w:t>
      </w:r>
    </w:p>
    <w:p>
      <w:pPr>
        <w:pStyle w:val="2"/>
      </w:pPr>
    </w:p>
    <w:p>
      <w:pPr>
        <w:tabs>
          <w:tab w:val="right" w:pos="8306"/>
        </w:tabs>
        <w:spacing w:line="600" w:lineRule="exact"/>
        <w:ind w:firstLine="640"/>
        <w:outlineLvl w:val="1"/>
        <w:rPr>
          <w:rStyle w:val="26"/>
        </w:rPr>
      </w:pPr>
      <w:bookmarkStart w:id="54" w:name="_Toc25763"/>
      <w:bookmarkStart w:id="55" w:name="_Toc15377214"/>
      <w:bookmarkStart w:id="56"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6"/>
          <w:rFonts w:hint="eastAsia" w:ascii="黑体" w:hAnsi="黑体" w:eastAsia="黑体"/>
          <w:b w:val="0"/>
        </w:rPr>
        <w:t>般公共预算财政拨款基本支出决算情况说明</w:t>
      </w:r>
      <w:bookmarkEnd w:id="54"/>
      <w:bookmarkEnd w:id="55"/>
      <w:bookmarkEnd w:id="56"/>
      <w:r>
        <w:rPr>
          <w:rStyle w:val="26"/>
          <w:rFonts w:ascii="黑体" w:hAnsi="黑体" w:eastAsia="黑体"/>
          <w:b w:val="0"/>
        </w:rPr>
        <w:tab/>
      </w:r>
    </w:p>
    <w:p>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21年一般公共预算财政拨款基本支出</w:t>
      </w:r>
      <w:r>
        <w:rPr>
          <w:rFonts w:hint="eastAsia" w:ascii="仿宋" w:hAnsi="仿宋" w:eastAsia="仿宋"/>
          <w:sz w:val="32"/>
          <w:szCs w:val="32"/>
          <w:lang w:val="en-US" w:eastAsia="zh-CN"/>
        </w:rPr>
        <w:t>76.38</w:t>
      </w:r>
      <w:r>
        <w:rPr>
          <w:rFonts w:hint="eastAsia" w:ascii="仿宋" w:hAnsi="仿宋" w:eastAsia="仿宋"/>
          <w:sz w:val="32"/>
          <w:szCs w:val="32"/>
        </w:rPr>
        <w:t>万元，其中：</w:t>
      </w:r>
    </w:p>
    <w:p>
      <w:pPr>
        <w:spacing w:line="600" w:lineRule="exact"/>
        <w:ind w:firstLine="645"/>
        <w:rPr>
          <w:rFonts w:hint="eastAsia" w:ascii="仿宋" w:hAnsi="仿宋" w:eastAsia="仿宋"/>
          <w:sz w:val="32"/>
          <w:szCs w:val="32"/>
          <w:lang w:eastAsia="zh-CN"/>
        </w:rPr>
      </w:pPr>
      <w:r>
        <w:rPr>
          <w:rFonts w:hint="eastAsia" w:ascii="仿宋" w:hAnsi="仿宋" w:eastAsia="仿宋"/>
          <w:sz w:val="32"/>
          <w:szCs w:val="32"/>
        </w:rPr>
        <w:t>人员经费</w:t>
      </w:r>
      <w:r>
        <w:rPr>
          <w:rFonts w:hint="eastAsia" w:ascii="仿宋" w:hAnsi="仿宋" w:eastAsia="仿宋"/>
          <w:sz w:val="32"/>
          <w:szCs w:val="32"/>
          <w:lang w:val="en-US" w:eastAsia="zh-CN"/>
        </w:rPr>
        <w:t>69.58</w:t>
      </w:r>
      <w:r>
        <w:rPr>
          <w:rFonts w:hint="eastAsia" w:ascii="仿宋" w:hAnsi="仿宋" w:eastAsia="仿宋"/>
          <w:sz w:val="32"/>
          <w:szCs w:val="32"/>
        </w:rPr>
        <w:t>万元，主要包括：基本工资、津贴补贴、奖金、机关事业单位基本养老保险缴费、职业年金缴费、其他工资福利支出、抚恤金、生活补助、医疗费补助、住房公积金。</w:t>
      </w:r>
    </w:p>
    <w:p>
      <w:pPr>
        <w:spacing w:line="600" w:lineRule="exact"/>
        <w:ind w:firstLine="645"/>
        <w:rPr>
          <w:rFonts w:ascii="仿宋" w:hAnsi="仿宋" w:eastAsia="仿宋"/>
          <w:b/>
          <w:sz w:val="32"/>
          <w:szCs w:val="32"/>
        </w:rPr>
      </w:pPr>
      <w:r>
        <w:rPr>
          <w:rFonts w:hint="eastAsia" w:ascii="仿宋" w:hAnsi="仿宋" w:eastAsia="仿宋"/>
          <w:sz w:val="32"/>
          <w:szCs w:val="32"/>
        </w:rPr>
        <w:t>公用经费</w:t>
      </w:r>
      <w:r>
        <w:rPr>
          <w:rFonts w:hint="eastAsia" w:ascii="仿宋" w:hAnsi="仿宋" w:eastAsia="仿宋"/>
          <w:sz w:val="32"/>
          <w:szCs w:val="32"/>
          <w:lang w:val="en-US" w:eastAsia="zh-CN"/>
        </w:rPr>
        <w:t>6.5</w:t>
      </w:r>
      <w:r>
        <w:rPr>
          <w:rFonts w:hint="eastAsia" w:ascii="仿宋" w:hAnsi="仿宋" w:eastAsia="仿宋"/>
          <w:sz w:val="32"/>
          <w:szCs w:val="32"/>
        </w:rPr>
        <w:t>万元，主要包括：办公费、印刷费、水费、邮电费、差旅费、维修（护）费、劳务费、委托业务费、工会经费、福利费、其他交通费等。</w:t>
      </w:r>
    </w:p>
    <w:p>
      <w:pPr>
        <w:spacing w:line="600" w:lineRule="exact"/>
        <w:ind w:firstLine="640"/>
        <w:outlineLvl w:val="1"/>
        <w:rPr>
          <w:rStyle w:val="26"/>
          <w:rFonts w:ascii="黑体" w:hAnsi="黑体" w:eastAsia="黑体"/>
          <w:b w:val="0"/>
        </w:rPr>
      </w:pPr>
      <w:bookmarkStart w:id="57" w:name="_Toc15377215"/>
      <w:bookmarkStart w:id="58" w:name="_Toc31844"/>
      <w:bookmarkStart w:id="59" w:name="_Toc15396609"/>
      <w:r>
        <w:rPr>
          <w:rFonts w:hint="eastAsia" w:ascii="黑体" w:eastAsia="黑体"/>
          <w:sz w:val="32"/>
          <w:szCs w:val="32"/>
        </w:rPr>
        <w:t>七、</w:t>
      </w:r>
      <w:r>
        <w:rPr>
          <w:rStyle w:val="26"/>
          <w:rFonts w:hint="eastAsia" w:ascii="黑体" w:hAnsi="黑体" w:eastAsia="黑体"/>
        </w:rPr>
        <w:t>“</w:t>
      </w:r>
      <w:r>
        <w:rPr>
          <w:rStyle w:val="26"/>
          <w:rFonts w:hint="eastAsia" w:ascii="黑体" w:hAnsi="黑体" w:eastAsia="黑体"/>
          <w:b w:val="0"/>
        </w:rPr>
        <w:t>三公”经费财政拨款支出决算情况说明</w:t>
      </w:r>
      <w:bookmarkEnd w:id="57"/>
      <w:bookmarkEnd w:id="58"/>
      <w:bookmarkEnd w:id="59"/>
    </w:p>
    <w:p>
      <w:pPr>
        <w:spacing w:line="600" w:lineRule="exact"/>
        <w:ind w:firstLine="640"/>
        <w:outlineLvl w:val="2"/>
        <w:rPr>
          <w:rFonts w:ascii="仿宋" w:hAnsi="仿宋" w:eastAsia="仿宋"/>
          <w:b/>
          <w:sz w:val="32"/>
          <w:szCs w:val="32"/>
        </w:rPr>
      </w:pPr>
      <w:bookmarkStart w:id="60" w:name="_Toc15377216"/>
      <w:bookmarkStart w:id="61" w:name="_Toc2483"/>
      <w:r>
        <w:rPr>
          <w:rFonts w:hint="eastAsia" w:ascii="仿宋" w:hAnsi="仿宋" w:eastAsia="仿宋"/>
          <w:b/>
          <w:sz w:val="32"/>
          <w:szCs w:val="32"/>
        </w:rPr>
        <w:t>（一）“三公”经费财政拨款支出决算总体情况说明</w:t>
      </w:r>
      <w:bookmarkEnd w:id="60"/>
      <w:bookmarkEnd w:id="61"/>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21年“三公”经费财政拨款支出决算为</w:t>
      </w:r>
      <w:r>
        <w:rPr>
          <w:rFonts w:hint="eastAsia" w:ascii="仿宋" w:hAnsi="仿宋" w:eastAsia="仿宋"/>
          <w:sz w:val="32"/>
          <w:szCs w:val="32"/>
          <w:lang w:val="en-US" w:eastAsia="zh-CN"/>
        </w:rPr>
        <w:t>0</w:t>
      </w:r>
      <w:r>
        <w:rPr>
          <w:rFonts w:hint="eastAsia" w:ascii="仿宋" w:hAnsi="仿宋" w:eastAsia="仿宋"/>
          <w:sz w:val="32"/>
          <w:szCs w:val="32"/>
        </w:rPr>
        <w:t>万元，完成预算</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，决算数与预算数持平。</w:t>
      </w:r>
    </w:p>
    <w:p>
      <w:pPr>
        <w:spacing w:line="600" w:lineRule="exact"/>
        <w:ind w:firstLine="640"/>
        <w:outlineLvl w:val="2"/>
        <w:rPr>
          <w:rFonts w:ascii="仿宋" w:hAnsi="仿宋" w:eastAsia="仿宋"/>
          <w:b/>
          <w:sz w:val="32"/>
          <w:szCs w:val="32"/>
        </w:rPr>
      </w:pPr>
      <w:bookmarkStart w:id="62" w:name="_Toc15377217"/>
      <w:bookmarkStart w:id="63" w:name="_Toc21312"/>
      <w:r>
        <w:rPr>
          <w:rFonts w:hint="eastAsia" w:ascii="仿宋" w:hAnsi="仿宋" w:eastAsia="仿宋"/>
          <w:b/>
          <w:sz w:val="32"/>
          <w:szCs w:val="32"/>
        </w:rPr>
        <w:t>（二）“三公”经费财政拨款支出决算具体情况说明</w:t>
      </w:r>
      <w:bookmarkEnd w:id="62"/>
      <w:bookmarkEnd w:id="63"/>
    </w:p>
    <w:p>
      <w:pPr>
        <w:spacing w:line="600" w:lineRule="exact"/>
        <w:ind w:firstLine="640"/>
      </w:pPr>
      <w:r>
        <w:rPr>
          <w:rFonts w:ascii="仿宋" w:hAnsi="仿宋" w:eastAsia="仿宋"/>
          <w:sz w:val="32"/>
          <w:szCs w:val="32"/>
        </w:rPr>
        <w:t>20</w:t>
      </w:r>
      <w:r>
        <w:rPr>
          <w:rFonts w:hint="eastAsia" w:ascii="仿宋" w:hAnsi="仿宋" w:eastAsia="仿宋"/>
          <w:sz w:val="32"/>
          <w:szCs w:val="32"/>
        </w:rPr>
        <w:t>21年“三公”经费财政拨款支出决算中，因公出国（境）费支出决算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；公务接待费支出决算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。具体情况如下：</w:t>
      </w:r>
    </w:p>
    <w:p>
      <w:pPr>
        <w:spacing w:line="600" w:lineRule="exact"/>
        <w:ind w:firstLine="640"/>
        <w:rPr>
          <w:rFonts w:ascii="仿宋_GB2312" w:eastAsia="仿宋_GB2312"/>
          <w:b/>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15"/>
          <w:rFonts w:hint="eastAsia" w:ascii="仿宋" w:hAnsi="仿宋" w:eastAsia="仿宋"/>
          <w:b w:val="0"/>
          <w:bCs/>
          <w:sz w:val="32"/>
          <w:szCs w:val="32"/>
        </w:rPr>
        <w:t>完成预算</w:t>
      </w:r>
      <w:r>
        <w:rPr>
          <w:rStyle w:val="15"/>
          <w:rFonts w:hint="eastAsia" w:ascii="仿宋" w:hAnsi="仿宋" w:eastAsia="仿宋"/>
          <w:b w:val="0"/>
          <w:bCs/>
          <w:sz w:val="32"/>
          <w:szCs w:val="32"/>
          <w:lang w:val="en-US" w:eastAsia="zh-CN"/>
        </w:rPr>
        <w:t>0</w:t>
      </w:r>
      <w:r>
        <w:rPr>
          <w:rStyle w:val="15"/>
          <w:rFonts w:ascii="仿宋" w:hAnsi="仿宋" w:eastAsia="仿宋"/>
          <w:b w:val="0"/>
          <w:bCs/>
          <w:sz w:val="32"/>
          <w:szCs w:val="32"/>
        </w:rPr>
        <w:t>%</w:t>
      </w:r>
      <w:r>
        <w:rPr>
          <w:rStyle w:val="15"/>
          <w:rFonts w:hint="eastAsia" w:ascii="仿宋" w:hAnsi="仿宋" w:eastAsia="仿宋"/>
          <w:b w:val="0"/>
          <w:bCs/>
          <w:sz w:val="32"/>
          <w:szCs w:val="32"/>
        </w:rPr>
        <w:t>。</w:t>
      </w:r>
      <w:r>
        <w:rPr>
          <w:rFonts w:hint="eastAsia" w:ascii="仿宋_GB2312" w:eastAsia="仿宋_GB2312"/>
          <w:sz w:val="32"/>
          <w:szCs w:val="32"/>
        </w:rPr>
        <w:t>全年安排因公出国（境）团组</w:t>
      </w:r>
      <w:r>
        <w:rPr>
          <w:rFonts w:hint="eastAsia" w:ascii="仿宋_GB2312" w:eastAsia="仿宋_GB2312"/>
          <w:sz w:val="32"/>
          <w:szCs w:val="32"/>
          <w:lang w:val="en-US" w:eastAsia="zh-CN"/>
        </w:rPr>
        <w:t>0</w:t>
      </w:r>
      <w:r>
        <w:rPr>
          <w:rFonts w:hint="eastAsia" w:ascii="仿宋_GB2312" w:eastAsia="仿宋_GB2312"/>
          <w:sz w:val="32"/>
          <w:szCs w:val="32"/>
        </w:rPr>
        <w:t>次，出国（境）</w:t>
      </w:r>
      <w:r>
        <w:rPr>
          <w:rFonts w:hint="eastAsia" w:ascii="仿宋_GB2312" w:eastAsia="仿宋_GB2312"/>
          <w:sz w:val="32"/>
          <w:szCs w:val="32"/>
          <w:lang w:val="en-US" w:eastAsia="zh-CN"/>
        </w:rPr>
        <w:t>0</w:t>
      </w:r>
      <w:r>
        <w:rPr>
          <w:rFonts w:hint="eastAsia" w:ascii="仿宋_GB2312" w:eastAsia="仿宋_GB2312"/>
          <w:sz w:val="32"/>
          <w:szCs w:val="32"/>
        </w:rPr>
        <w:t>人。因公出国（境）支出决算比</w:t>
      </w:r>
      <w:r>
        <w:rPr>
          <w:rFonts w:ascii="仿宋_GB2312" w:eastAsia="仿宋_GB2312"/>
          <w:sz w:val="32"/>
          <w:szCs w:val="32"/>
        </w:rPr>
        <w:t>20</w:t>
      </w:r>
      <w:r>
        <w:rPr>
          <w:rFonts w:hint="eastAsia" w:ascii="仿宋_GB2312" w:eastAsia="仿宋_GB2312"/>
          <w:sz w:val="32"/>
          <w:szCs w:val="32"/>
        </w:rPr>
        <w:t>20年增加</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15"/>
          <w:rFonts w:hint="eastAsia" w:ascii="仿宋" w:hAnsi="仿宋" w:eastAsia="仿宋"/>
          <w:b w:val="0"/>
          <w:bCs/>
          <w:sz w:val="32"/>
          <w:szCs w:val="32"/>
        </w:rPr>
        <w:t>完成预算</w:t>
      </w:r>
      <w:r>
        <w:rPr>
          <w:rStyle w:val="15"/>
          <w:rFonts w:hint="eastAsia" w:ascii="仿宋" w:hAnsi="仿宋" w:eastAsia="仿宋"/>
          <w:b w:val="0"/>
          <w:bCs/>
          <w:sz w:val="32"/>
          <w:szCs w:val="32"/>
          <w:lang w:val="en-US" w:eastAsia="zh-CN"/>
        </w:rPr>
        <w:t>0</w:t>
      </w:r>
      <w:r>
        <w:rPr>
          <w:rStyle w:val="15"/>
          <w:rFonts w:ascii="仿宋" w:hAnsi="仿宋" w:eastAsia="仿宋"/>
          <w:b w:val="0"/>
          <w:bCs/>
          <w:sz w:val="32"/>
          <w:szCs w:val="32"/>
        </w:rPr>
        <w:t>%</w:t>
      </w:r>
      <w:r>
        <w:rPr>
          <w:rStyle w:val="15"/>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w:t>
      </w:r>
      <w:r>
        <w:rPr>
          <w:rFonts w:hint="eastAsia" w:ascii="仿宋_GB2312" w:eastAsia="仿宋_GB2312"/>
          <w:sz w:val="32"/>
          <w:szCs w:val="32"/>
        </w:rPr>
        <w:t>20年增加</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b/>
          <w:sz w:val="32"/>
          <w:szCs w:val="32"/>
          <w:lang w:val="en-US" w:eastAsia="zh-CN"/>
        </w:rPr>
        <w:t>0</w:t>
      </w:r>
      <w:r>
        <w:rPr>
          <w:rFonts w:hint="eastAsia" w:ascii="仿宋_GB2312" w:eastAsia="仿宋_GB2312"/>
          <w:sz w:val="32"/>
          <w:szCs w:val="32"/>
        </w:rPr>
        <w:t>万元。全年按规定更新购置公务用车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万元，越野车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万元，载客汽车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月底，单位共有公务用车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辆、越野车</w:t>
      </w:r>
      <w:r>
        <w:rPr>
          <w:rFonts w:hint="eastAsia" w:ascii="仿宋_GB2312" w:eastAsia="仿宋_GB2312"/>
          <w:sz w:val="32"/>
          <w:szCs w:val="32"/>
          <w:lang w:val="en-US" w:eastAsia="zh-CN"/>
        </w:rPr>
        <w:t>0</w:t>
      </w:r>
      <w:r>
        <w:rPr>
          <w:rFonts w:hint="eastAsia" w:ascii="仿宋_GB2312" w:eastAsia="仿宋_GB2312"/>
          <w:sz w:val="32"/>
          <w:szCs w:val="32"/>
        </w:rPr>
        <w:t>辆、载客汽车</w:t>
      </w:r>
      <w:r>
        <w:rPr>
          <w:rFonts w:hint="eastAsia" w:ascii="仿宋_GB2312" w:eastAsia="仿宋_GB2312"/>
          <w:sz w:val="32"/>
          <w:szCs w:val="32"/>
          <w:lang w:val="en-US" w:eastAsia="zh-CN"/>
        </w:rPr>
        <w:t>0</w:t>
      </w:r>
      <w:r>
        <w:rPr>
          <w:rFonts w:hint="eastAsia" w:ascii="仿宋_GB2312" w:eastAsia="仿宋_GB2312"/>
          <w:sz w:val="32"/>
          <w:szCs w:val="32"/>
        </w:rPr>
        <w:t>辆。</w:t>
      </w:r>
    </w:p>
    <w:p>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sz w:val="32"/>
          <w:szCs w:val="32"/>
          <w:lang w:val="en-US" w:eastAsia="zh-CN"/>
        </w:rPr>
        <w:t>0</w:t>
      </w:r>
      <w:r>
        <w:rPr>
          <w:rFonts w:hint="eastAsia" w:ascii="仿宋_GB2312" w:eastAsia="仿宋_GB2312"/>
          <w:sz w:val="32"/>
          <w:szCs w:val="32"/>
        </w:rPr>
        <w:t>万元。主要所需的公务用车燃料费、维修费、过路过桥费、保险费等支出。</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15"/>
          <w:rFonts w:hint="eastAsia" w:ascii="仿宋" w:hAnsi="仿宋" w:eastAsia="仿宋"/>
          <w:b w:val="0"/>
          <w:bCs/>
          <w:sz w:val="32"/>
          <w:szCs w:val="32"/>
        </w:rPr>
        <w:t>完成预算</w:t>
      </w:r>
      <w:r>
        <w:rPr>
          <w:rStyle w:val="15"/>
          <w:rFonts w:hint="eastAsia" w:ascii="仿宋" w:hAnsi="仿宋" w:eastAsia="仿宋"/>
          <w:b w:val="0"/>
          <w:bCs/>
          <w:sz w:val="32"/>
          <w:szCs w:val="32"/>
          <w:lang w:val="en-US" w:eastAsia="zh-CN"/>
        </w:rPr>
        <w:t>0</w:t>
      </w:r>
      <w:r>
        <w:rPr>
          <w:rStyle w:val="15"/>
          <w:rFonts w:ascii="仿宋" w:hAnsi="仿宋" w:eastAsia="仿宋"/>
          <w:b w:val="0"/>
          <w:bCs/>
          <w:sz w:val="32"/>
          <w:szCs w:val="32"/>
        </w:rPr>
        <w:t>%</w:t>
      </w:r>
      <w:r>
        <w:rPr>
          <w:rStyle w:val="15"/>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20年增加</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。其中：</w:t>
      </w:r>
    </w:p>
    <w:p>
      <w:pPr>
        <w:spacing w:line="600" w:lineRule="exact"/>
        <w:ind w:firstLine="640"/>
        <w:rPr>
          <w:rFonts w:hint="eastAsia" w:ascii="仿宋_GB2312" w:eastAsia="仿宋_GB2312"/>
          <w:sz w:val="32"/>
          <w:szCs w:val="32"/>
          <w:lang w:val="en-US" w:eastAsia="zh-CN"/>
        </w:rPr>
      </w:pPr>
      <w:r>
        <w:rPr>
          <w:rFonts w:hint="eastAsia" w:ascii="仿宋" w:hAnsi="仿宋" w:eastAsia="仿宋"/>
          <w:b/>
          <w:sz w:val="32"/>
          <w:szCs w:val="32"/>
        </w:rPr>
        <w:t>国内公务接待支出</w:t>
      </w:r>
      <w:r>
        <w:rPr>
          <w:rFonts w:hint="eastAsia" w:ascii="仿宋" w:hAnsi="仿宋" w:eastAsia="仿宋"/>
          <w:sz w:val="32"/>
          <w:szCs w:val="32"/>
          <w:lang w:val="en-US" w:eastAsia="zh-CN"/>
        </w:rPr>
        <w:t>0</w:t>
      </w:r>
      <w:r>
        <w:rPr>
          <w:rFonts w:hint="eastAsia" w:ascii="仿宋_GB2312" w:eastAsia="仿宋_GB2312"/>
          <w:sz w:val="32"/>
          <w:szCs w:val="32"/>
        </w:rPr>
        <w:t>万元，国内公务接待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人次（不包括陪同人员），共计支出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eastAsia="zh-CN"/>
        </w:rPr>
        <w:t>。</w:t>
      </w:r>
    </w:p>
    <w:p>
      <w:pPr>
        <w:spacing w:line="600" w:lineRule="exact"/>
        <w:ind w:firstLine="643" w:firstLineChars="200"/>
        <w:rPr>
          <w:rFonts w:hint="eastAsia" w:ascii="仿宋_GB2312" w:eastAsia="仿宋_GB2312"/>
          <w:sz w:val="32"/>
          <w:szCs w:val="32"/>
          <w:lang w:eastAsia="zh-CN"/>
        </w:rPr>
      </w:pPr>
      <w:r>
        <w:rPr>
          <w:rFonts w:hint="eastAsia" w:ascii="仿宋" w:hAnsi="仿宋" w:eastAsia="仿宋"/>
          <w:b/>
          <w:sz w:val="32"/>
          <w:szCs w:val="32"/>
        </w:rPr>
        <w:t>外事接待支出</w:t>
      </w:r>
      <w:r>
        <w:rPr>
          <w:rFonts w:hint="eastAsia" w:ascii="仿宋" w:hAnsi="仿宋" w:eastAsia="仿宋"/>
          <w:sz w:val="32"/>
          <w:szCs w:val="32"/>
          <w:lang w:val="en-US" w:eastAsia="zh-CN"/>
        </w:rPr>
        <w:t>0</w:t>
      </w:r>
      <w:r>
        <w:rPr>
          <w:rFonts w:hint="eastAsia" w:ascii="仿宋_GB2312" w:eastAsia="仿宋_GB2312"/>
          <w:sz w:val="32"/>
          <w:szCs w:val="32"/>
        </w:rPr>
        <w:t>万元，外事接待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人，共计支出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eastAsia="zh-CN"/>
        </w:rPr>
        <w:t>。</w:t>
      </w:r>
    </w:p>
    <w:p>
      <w:pPr>
        <w:spacing w:line="600" w:lineRule="exact"/>
        <w:ind w:firstLine="640"/>
        <w:outlineLvl w:val="9"/>
        <w:rPr>
          <w:rFonts w:ascii="黑体" w:eastAsia="黑体"/>
          <w:sz w:val="32"/>
          <w:szCs w:val="32"/>
        </w:rPr>
      </w:pPr>
      <w:bookmarkStart w:id="64" w:name="_Toc15377218"/>
      <w:bookmarkStart w:id="65" w:name="_Toc15396610"/>
    </w:p>
    <w:p>
      <w:pPr>
        <w:spacing w:line="600" w:lineRule="exact"/>
        <w:ind w:firstLine="640"/>
        <w:outlineLvl w:val="1"/>
        <w:rPr>
          <w:rStyle w:val="26"/>
          <w:rFonts w:ascii="黑体" w:hAnsi="黑体" w:eastAsia="黑体"/>
        </w:rPr>
      </w:pPr>
      <w:bookmarkStart w:id="66" w:name="_Toc5276"/>
      <w:r>
        <w:rPr>
          <w:rFonts w:hint="eastAsia" w:ascii="黑体" w:eastAsia="黑体"/>
          <w:sz w:val="32"/>
          <w:szCs w:val="32"/>
        </w:rPr>
        <w:t>八、</w:t>
      </w:r>
      <w:r>
        <w:rPr>
          <w:rStyle w:val="26"/>
          <w:rFonts w:hint="eastAsia" w:ascii="黑体" w:hAnsi="黑体" w:eastAsia="黑体"/>
          <w:b w:val="0"/>
        </w:rPr>
        <w:t>政府性基金预算支出决算情况说明</w:t>
      </w:r>
      <w:bookmarkEnd w:id="64"/>
      <w:bookmarkEnd w:id="65"/>
      <w:bookmarkEnd w:id="66"/>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600" w:lineRule="exact"/>
        <w:ind w:firstLine="640"/>
        <w:rPr>
          <w:rFonts w:ascii="仿宋_GB2312" w:eastAsia="仿宋_GB2312"/>
          <w:sz w:val="32"/>
          <w:szCs w:val="32"/>
        </w:rPr>
      </w:pPr>
    </w:p>
    <w:p>
      <w:pPr>
        <w:numPr>
          <w:ilvl w:val="0"/>
          <w:numId w:val="4"/>
        </w:numPr>
        <w:spacing w:line="600" w:lineRule="exact"/>
        <w:ind w:firstLine="640"/>
        <w:outlineLvl w:val="1"/>
        <w:rPr>
          <w:rStyle w:val="26"/>
          <w:rFonts w:ascii="黑体" w:hAnsi="黑体" w:eastAsia="黑体"/>
          <w:b w:val="0"/>
        </w:rPr>
      </w:pPr>
      <w:bookmarkStart w:id="67" w:name="_Toc15396611"/>
      <w:bookmarkStart w:id="68" w:name="_Toc24369"/>
      <w:bookmarkStart w:id="69" w:name="_Toc15377219"/>
      <w:r>
        <w:rPr>
          <w:rStyle w:val="26"/>
          <w:rFonts w:hint="eastAsia" w:ascii="黑体" w:hAnsi="黑体" w:eastAsia="黑体"/>
          <w:b w:val="0"/>
        </w:rPr>
        <w:t>国有资本经营预算支出决算情况说明</w:t>
      </w:r>
      <w:bookmarkEnd w:id="67"/>
      <w:bookmarkEnd w:id="68"/>
      <w:bookmarkEnd w:id="69"/>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21年国有资本经营预算财政拨款支出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580" w:lineRule="exact"/>
        <w:jc w:val="center"/>
        <w:rPr>
          <w:rFonts w:ascii="方正小标宋简体" w:hAnsi="方正小标宋简体" w:eastAsia="方正小标宋简体" w:cs="方正小标宋简体"/>
          <w:sz w:val="44"/>
          <w:szCs w:val="44"/>
        </w:rPr>
      </w:pPr>
    </w:p>
    <w:p>
      <w:pPr>
        <w:numPr>
          <w:ilvl w:val="0"/>
          <w:numId w:val="4"/>
        </w:numPr>
        <w:spacing w:line="600" w:lineRule="exact"/>
        <w:ind w:firstLine="640"/>
        <w:outlineLvl w:val="1"/>
        <w:rPr>
          <w:rStyle w:val="26"/>
          <w:rFonts w:ascii="黑体" w:hAnsi="黑体" w:eastAsia="黑体"/>
          <w:b w:val="0"/>
        </w:rPr>
      </w:pPr>
      <w:bookmarkStart w:id="70" w:name="_Toc15377221"/>
      <w:bookmarkStart w:id="71" w:name="_Toc15396612"/>
      <w:bookmarkStart w:id="72" w:name="_Toc22886"/>
      <w:r>
        <w:rPr>
          <w:rStyle w:val="26"/>
          <w:rFonts w:hint="eastAsia" w:ascii="黑体" w:hAnsi="黑体" w:eastAsia="黑体"/>
          <w:b w:val="0"/>
        </w:rPr>
        <w:t>其他重要事项的情况说明</w:t>
      </w:r>
      <w:bookmarkEnd w:id="70"/>
      <w:bookmarkEnd w:id="71"/>
      <w:bookmarkEnd w:id="72"/>
    </w:p>
    <w:p>
      <w:pPr>
        <w:spacing w:line="600" w:lineRule="exact"/>
        <w:ind w:firstLine="643" w:firstLineChars="200"/>
        <w:outlineLvl w:val="2"/>
        <w:rPr>
          <w:rFonts w:ascii="仿宋" w:hAnsi="仿宋" w:eastAsia="仿宋"/>
          <w:sz w:val="32"/>
          <w:szCs w:val="32"/>
        </w:rPr>
      </w:pPr>
      <w:bookmarkStart w:id="73" w:name="_Toc15377222"/>
      <w:bookmarkStart w:id="74" w:name="_Toc2838"/>
      <w:r>
        <w:rPr>
          <w:rFonts w:hint="eastAsia" w:ascii="仿宋" w:hAnsi="仿宋" w:eastAsia="仿宋"/>
          <w:b/>
          <w:sz w:val="32"/>
          <w:szCs w:val="32"/>
        </w:rPr>
        <w:t>（一）机关运行经费支出情况</w:t>
      </w:r>
      <w:bookmarkEnd w:id="73"/>
      <w:bookmarkEnd w:id="74"/>
    </w:p>
    <w:p>
      <w:pPr>
        <w:spacing w:line="600" w:lineRule="exact"/>
        <w:ind w:firstLine="640" w:firstLineChars="200"/>
        <w:rPr>
          <w:rFonts w:hint="default" w:ascii="仿宋_GB2312" w:eastAsia="仿宋_GB2312"/>
          <w:sz w:val="32"/>
          <w:szCs w:val="32"/>
          <w:lang w:val="en-US" w:eastAsia="zh-CN"/>
        </w:rPr>
      </w:pPr>
      <w:r>
        <w:rPr>
          <w:rFonts w:ascii="仿宋_GB2312" w:eastAsia="仿宋_GB2312"/>
          <w:sz w:val="32"/>
          <w:szCs w:val="32"/>
        </w:rPr>
        <w:t>20</w:t>
      </w:r>
      <w:r>
        <w:rPr>
          <w:rFonts w:hint="eastAsia" w:ascii="仿宋_GB2312" w:eastAsia="仿宋_GB2312"/>
          <w:sz w:val="32"/>
          <w:szCs w:val="32"/>
        </w:rPr>
        <w:t>21年，</w:t>
      </w:r>
      <w:r>
        <w:rPr>
          <w:rFonts w:hint="eastAsia" w:ascii="仿宋_GB2312" w:eastAsia="仿宋_GB2312"/>
          <w:sz w:val="32"/>
          <w:szCs w:val="32"/>
          <w:lang w:val="en-US" w:eastAsia="zh-CN"/>
        </w:rPr>
        <w:t>盐边海事处</w:t>
      </w:r>
      <w:r>
        <w:rPr>
          <w:rFonts w:hint="eastAsia" w:ascii="仿宋_GB2312" w:eastAsia="仿宋_GB2312"/>
          <w:sz w:val="32"/>
          <w:szCs w:val="32"/>
        </w:rPr>
        <w:t>机关运行经费支出</w:t>
      </w:r>
      <w:r>
        <w:rPr>
          <w:rFonts w:hint="eastAsia" w:ascii="仿宋_GB2312" w:eastAsia="仿宋_GB2312"/>
          <w:sz w:val="32"/>
          <w:szCs w:val="32"/>
          <w:lang w:val="en-US" w:eastAsia="zh-CN"/>
        </w:rPr>
        <w:t>6.50</w:t>
      </w:r>
      <w:r>
        <w:rPr>
          <w:rFonts w:hint="eastAsia" w:ascii="仿宋_GB2312" w:eastAsia="仿宋_GB2312"/>
          <w:sz w:val="32"/>
          <w:szCs w:val="32"/>
        </w:rPr>
        <w:t>万元，比</w:t>
      </w:r>
      <w:r>
        <w:rPr>
          <w:rFonts w:ascii="仿宋_GB2312" w:eastAsia="仿宋_GB2312"/>
          <w:sz w:val="32"/>
          <w:szCs w:val="32"/>
        </w:rPr>
        <w:t>20</w:t>
      </w:r>
      <w:r>
        <w:rPr>
          <w:rFonts w:hint="eastAsia" w:ascii="仿宋_GB2312" w:eastAsia="仿宋_GB2312"/>
          <w:sz w:val="32"/>
          <w:szCs w:val="32"/>
        </w:rPr>
        <w:t>20年增加</w:t>
      </w:r>
      <w:r>
        <w:rPr>
          <w:rFonts w:hint="eastAsia" w:ascii="仿宋_GB2312" w:eastAsia="仿宋_GB2312"/>
          <w:sz w:val="32"/>
          <w:szCs w:val="32"/>
          <w:lang w:val="en-US" w:eastAsia="zh-CN"/>
        </w:rPr>
        <w:t>1.58</w:t>
      </w:r>
      <w:r>
        <w:rPr>
          <w:rFonts w:hint="eastAsia" w:ascii="仿宋_GB2312" w:eastAsia="仿宋_GB2312"/>
          <w:sz w:val="32"/>
          <w:szCs w:val="32"/>
        </w:rPr>
        <w:t>万元，增长</w:t>
      </w:r>
      <w:r>
        <w:rPr>
          <w:rFonts w:hint="eastAsia" w:ascii="仿宋_GB2312" w:eastAsia="仿宋_GB2312"/>
          <w:sz w:val="32"/>
          <w:szCs w:val="32"/>
          <w:lang w:val="en-US" w:eastAsia="zh-CN"/>
        </w:rPr>
        <w:t>32.11</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val="en-US" w:eastAsia="zh-CN"/>
        </w:rPr>
        <w:t>正常变化。</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75" w:name="_Toc15377223"/>
      <w:bookmarkStart w:id="76" w:name="_Toc19084"/>
      <w:r>
        <w:rPr>
          <w:rFonts w:hint="eastAsia" w:ascii="仿宋" w:hAnsi="仿宋" w:eastAsia="仿宋"/>
          <w:b/>
          <w:sz w:val="32"/>
          <w:szCs w:val="32"/>
        </w:rPr>
        <w:t>（二）政府采购支出情况</w:t>
      </w:r>
      <w:bookmarkEnd w:id="75"/>
      <w:bookmarkEnd w:id="76"/>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w:t>
      </w:r>
      <w:r>
        <w:rPr>
          <w:rFonts w:hint="eastAsia" w:ascii="仿宋_GB2312" w:eastAsia="仿宋_GB2312"/>
          <w:sz w:val="32"/>
          <w:szCs w:val="32"/>
          <w:lang w:val="en-US" w:eastAsia="zh-CN"/>
        </w:rPr>
        <w:t>盐边县海事处</w:t>
      </w:r>
      <w:r>
        <w:rPr>
          <w:rFonts w:hint="eastAsia" w:ascii="仿宋_GB2312" w:eastAsia="仿宋_GB2312"/>
          <w:sz w:val="32"/>
          <w:szCs w:val="32"/>
        </w:rPr>
        <w:t>政府采购支出总额</w:t>
      </w:r>
      <w:r>
        <w:rPr>
          <w:rFonts w:hint="eastAsia" w:ascii="仿宋_GB2312" w:eastAsia="仿宋_GB2312"/>
          <w:sz w:val="32"/>
          <w:szCs w:val="32"/>
          <w:lang w:val="en-US" w:eastAsia="zh-CN"/>
        </w:rPr>
        <w:t>58.83</w:t>
      </w:r>
      <w:r>
        <w:rPr>
          <w:rFonts w:hint="eastAsia" w:ascii="仿宋_GB2312" w:eastAsia="仿宋_GB2312"/>
          <w:sz w:val="32"/>
          <w:szCs w:val="32"/>
        </w:rPr>
        <w:t>万元，其中：政府采购货物支出</w:t>
      </w:r>
      <w:r>
        <w:rPr>
          <w:rFonts w:hint="eastAsia" w:ascii="仿宋_GB2312" w:eastAsia="仿宋_GB2312"/>
          <w:sz w:val="32"/>
          <w:szCs w:val="32"/>
          <w:lang w:val="en-US" w:eastAsia="zh-CN"/>
        </w:rPr>
        <w:t>58.83</w:t>
      </w:r>
      <w:r>
        <w:rPr>
          <w:rFonts w:hint="eastAsia" w:ascii="仿宋_GB2312" w:eastAsia="仿宋_GB2312"/>
          <w:sz w:val="32"/>
          <w:szCs w:val="32"/>
        </w:rPr>
        <w:t>万元、政府采购工程支出</w:t>
      </w:r>
      <w:r>
        <w:rPr>
          <w:rFonts w:hint="eastAsia" w:ascii="仿宋_GB2312" w:eastAsia="仿宋_GB2312"/>
          <w:sz w:val="32"/>
          <w:szCs w:val="32"/>
          <w:lang w:val="en-US" w:eastAsia="zh-CN"/>
        </w:rPr>
        <w:t>0</w:t>
      </w:r>
      <w:r>
        <w:rPr>
          <w:rFonts w:hint="eastAsia" w:ascii="仿宋_GB2312" w:eastAsia="仿宋_GB2312"/>
          <w:sz w:val="32"/>
          <w:szCs w:val="32"/>
        </w:rPr>
        <w:t>万元、政府采购服务支出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color w:val="auto"/>
          <w:sz w:val="32"/>
          <w:szCs w:val="32"/>
        </w:rPr>
        <w:t>主要用于</w:t>
      </w:r>
      <w:r>
        <w:rPr>
          <w:rFonts w:hint="eastAsia" w:ascii="仿宋_GB2312" w:eastAsia="仿宋_GB2312"/>
          <w:color w:val="auto"/>
          <w:sz w:val="32"/>
          <w:szCs w:val="32"/>
          <w:lang w:val="en-US" w:eastAsia="zh-CN"/>
        </w:rPr>
        <w:t>日常运转</w:t>
      </w:r>
      <w:r>
        <w:rPr>
          <w:rFonts w:hint="eastAsia" w:ascii="仿宋_GB2312" w:eastAsia="仿宋_GB2312"/>
          <w:sz w:val="32"/>
          <w:szCs w:val="32"/>
        </w:rPr>
        <w:t>。授予中小企业合同金额</w:t>
      </w:r>
      <w:r>
        <w:rPr>
          <w:rFonts w:hint="eastAsia" w:ascii="仿宋_GB2312" w:eastAsia="仿宋_GB2312"/>
          <w:sz w:val="32"/>
          <w:szCs w:val="32"/>
          <w:lang w:val="en-US" w:eastAsia="zh-CN"/>
        </w:rPr>
        <w:t>58.83</w:t>
      </w:r>
      <w:r>
        <w:rPr>
          <w:rFonts w:hint="eastAsia" w:ascii="仿宋_GB2312" w:eastAsia="仿宋_GB2312"/>
          <w:sz w:val="32"/>
          <w:szCs w:val="32"/>
        </w:rPr>
        <w:t>万元，占政府采购支出总额的</w:t>
      </w:r>
      <w:r>
        <w:rPr>
          <w:rFonts w:hint="eastAsia" w:ascii="仿宋_GB2312" w:eastAsia="仿宋_GB2312"/>
          <w:sz w:val="32"/>
          <w:szCs w:val="32"/>
          <w:lang w:val="en-US" w:eastAsia="zh-CN"/>
        </w:rPr>
        <w:t>100</w:t>
      </w:r>
      <w:r>
        <w:rPr>
          <w:rFonts w:ascii="仿宋_GB2312" w:eastAsia="仿宋_GB2312"/>
          <w:sz w:val="32"/>
          <w:szCs w:val="32"/>
        </w:rPr>
        <w:t>%</w:t>
      </w:r>
      <w:r>
        <w:rPr>
          <w:rFonts w:hint="eastAsia" w:ascii="仿宋_GB2312" w:eastAsia="仿宋_GB2312"/>
          <w:sz w:val="32"/>
          <w:szCs w:val="32"/>
        </w:rPr>
        <w:t>，其中：授予小微企业合同金额</w:t>
      </w:r>
      <w:r>
        <w:rPr>
          <w:rFonts w:hint="eastAsia" w:ascii="仿宋_GB2312" w:eastAsia="仿宋_GB2312"/>
          <w:sz w:val="32"/>
          <w:szCs w:val="32"/>
          <w:lang w:val="en-US" w:eastAsia="zh-CN"/>
        </w:rPr>
        <w:t>58.83</w:t>
      </w:r>
      <w:r>
        <w:rPr>
          <w:rFonts w:hint="eastAsia" w:ascii="仿宋_GB2312" w:eastAsia="仿宋_GB2312"/>
          <w:sz w:val="32"/>
          <w:szCs w:val="32"/>
        </w:rPr>
        <w:t>万元，占政府采购支出总额的</w:t>
      </w:r>
      <w:r>
        <w:rPr>
          <w:rFonts w:hint="eastAsia" w:ascii="仿宋_GB2312" w:eastAsia="仿宋_GB2312"/>
          <w:sz w:val="32"/>
          <w:szCs w:val="32"/>
          <w:lang w:val="en-US" w:eastAsia="zh-CN"/>
        </w:rPr>
        <w:t>100</w:t>
      </w:r>
      <w:r>
        <w:rPr>
          <w:rFonts w:ascii="仿宋_GB2312" w:eastAsia="仿宋_GB2312"/>
          <w:sz w:val="32"/>
          <w:szCs w:val="32"/>
        </w:rPr>
        <w:t>%</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77" w:name="_Toc15377224"/>
      <w:bookmarkStart w:id="78" w:name="_Toc11851"/>
      <w:r>
        <w:rPr>
          <w:rFonts w:hint="eastAsia" w:ascii="仿宋" w:hAnsi="仿宋" w:eastAsia="仿宋"/>
          <w:b/>
          <w:sz w:val="32"/>
          <w:szCs w:val="32"/>
        </w:rPr>
        <w:t>（三）国有资产占有使用情况</w:t>
      </w:r>
      <w:bookmarkEnd w:id="77"/>
      <w:bookmarkEnd w:id="78"/>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hint="eastAsia" w:ascii="仿宋_GB2312" w:eastAsia="仿宋_GB2312"/>
          <w:sz w:val="32"/>
          <w:szCs w:val="32"/>
          <w:lang w:val="en-US" w:eastAsia="zh-CN"/>
        </w:rPr>
        <w:t>盐边县海事处</w:t>
      </w:r>
      <w:r>
        <w:rPr>
          <w:rFonts w:hint="eastAsia" w:ascii="仿宋_GB2312" w:eastAsia="仿宋_GB2312"/>
          <w:sz w:val="32"/>
          <w:szCs w:val="32"/>
        </w:rPr>
        <w:t>共有车辆</w:t>
      </w:r>
      <w:r>
        <w:rPr>
          <w:rFonts w:hint="eastAsia" w:ascii="仿宋_GB2312" w:eastAsia="仿宋_GB2312"/>
          <w:sz w:val="32"/>
          <w:szCs w:val="32"/>
          <w:lang w:val="en-US" w:eastAsia="zh-CN"/>
        </w:rPr>
        <w:t>0</w:t>
      </w:r>
      <w:r>
        <w:rPr>
          <w:rFonts w:hint="eastAsia" w:ascii="仿宋_GB2312" w:eastAsia="仿宋_GB2312"/>
          <w:sz w:val="32"/>
          <w:szCs w:val="32"/>
        </w:rPr>
        <w:t>辆，其中：主要领导干部用车</w:t>
      </w:r>
      <w:r>
        <w:rPr>
          <w:rFonts w:hint="eastAsia" w:ascii="仿宋_GB2312" w:eastAsia="仿宋_GB2312"/>
          <w:sz w:val="32"/>
          <w:szCs w:val="32"/>
          <w:lang w:val="en-US" w:eastAsia="zh-CN"/>
        </w:rPr>
        <w:t>0</w:t>
      </w:r>
      <w:r>
        <w:rPr>
          <w:rFonts w:hint="eastAsia" w:ascii="仿宋_GB2312" w:eastAsia="仿宋_GB2312"/>
          <w:sz w:val="32"/>
          <w:szCs w:val="32"/>
        </w:rPr>
        <w:t>辆、机要通信用车</w:t>
      </w:r>
      <w:r>
        <w:rPr>
          <w:rFonts w:hint="eastAsia" w:ascii="仿宋_GB2312" w:eastAsia="仿宋_GB2312"/>
          <w:sz w:val="32"/>
          <w:szCs w:val="32"/>
          <w:lang w:val="en-US" w:eastAsia="zh-CN"/>
        </w:rPr>
        <w:t>0</w:t>
      </w:r>
      <w:r>
        <w:rPr>
          <w:rFonts w:hint="eastAsia" w:ascii="仿宋_GB2312" w:eastAsia="仿宋_GB2312"/>
          <w:sz w:val="32"/>
          <w:szCs w:val="32"/>
        </w:rPr>
        <w:t>辆、应急保障用车</w:t>
      </w:r>
      <w:r>
        <w:rPr>
          <w:rFonts w:hint="eastAsia" w:ascii="仿宋_GB2312" w:eastAsia="仿宋_GB2312"/>
          <w:sz w:val="32"/>
          <w:szCs w:val="32"/>
          <w:lang w:val="en-US" w:eastAsia="zh-CN"/>
        </w:rPr>
        <w:t>0</w:t>
      </w:r>
      <w:r>
        <w:rPr>
          <w:rFonts w:hint="eastAsia" w:ascii="仿宋_GB2312" w:eastAsia="仿宋_GB2312"/>
          <w:sz w:val="32"/>
          <w:szCs w:val="32"/>
        </w:rPr>
        <w:t>辆、其他用车</w:t>
      </w:r>
      <w:r>
        <w:rPr>
          <w:rFonts w:hint="eastAsia" w:ascii="仿宋_GB2312" w:eastAsia="仿宋_GB2312"/>
          <w:sz w:val="32"/>
          <w:szCs w:val="32"/>
          <w:lang w:val="en-US" w:eastAsia="zh-CN"/>
        </w:rPr>
        <w:t>0</w:t>
      </w:r>
      <w:r>
        <w:rPr>
          <w:rFonts w:hint="eastAsia" w:ascii="仿宋_GB2312" w:eastAsia="仿宋_GB2312"/>
          <w:sz w:val="32"/>
          <w:szCs w:val="32"/>
        </w:rPr>
        <w:t>辆</w:t>
      </w:r>
      <w:r>
        <w:rPr>
          <w:rFonts w:hint="eastAsia" w:ascii="仿宋_GB2312" w:eastAsia="仿宋_GB2312"/>
          <w:sz w:val="32"/>
          <w:szCs w:val="32"/>
          <w:lang w:val="en-US" w:eastAsia="zh-CN"/>
        </w:rPr>
        <w:t>。</w:t>
      </w:r>
      <w:r>
        <w:rPr>
          <w:rFonts w:hint="eastAsia" w:ascii="仿宋_GB2312" w:eastAsia="仿宋_GB2312"/>
          <w:sz w:val="32"/>
          <w:szCs w:val="32"/>
        </w:rPr>
        <w:t>单价</w:t>
      </w:r>
      <w:r>
        <w:rPr>
          <w:rFonts w:ascii="仿宋_GB2312" w:eastAsia="仿宋_GB2312"/>
          <w:sz w:val="32"/>
          <w:szCs w:val="32"/>
        </w:rPr>
        <w:t>50</w:t>
      </w:r>
      <w:r>
        <w:rPr>
          <w:rFonts w:hint="eastAsia" w:ascii="仿宋_GB2312" w:eastAsia="仿宋_GB2312"/>
          <w:sz w:val="32"/>
          <w:szCs w:val="32"/>
        </w:rPr>
        <w:t>万元以上通用设备</w:t>
      </w:r>
      <w:r>
        <w:rPr>
          <w:rFonts w:hint="eastAsia" w:ascii="仿宋_GB2312" w:eastAsia="仿宋_GB2312"/>
          <w:sz w:val="32"/>
          <w:szCs w:val="32"/>
          <w:lang w:val="en-US" w:eastAsia="zh-CN"/>
        </w:rPr>
        <w:t>0</w:t>
      </w:r>
      <w:r>
        <w:rPr>
          <w:rFonts w:hint="eastAsia" w:ascii="仿宋_GB2312" w:eastAsia="仿宋_GB2312"/>
          <w:sz w:val="32"/>
          <w:szCs w:val="32"/>
        </w:rPr>
        <w:t>台（套），单价</w:t>
      </w:r>
      <w:r>
        <w:rPr>
          <w:rFonts w:ascii="仿宋_GB2312" w:eastAsia="仿宋_GB2312"/>
          <w:sz w:val="32"/>
          <w:szCs w:val="32"/>
        </w:rPr>
        <w:t>100</w:t>
      </w:r>
      <w:r>
        <w:rPr>
          <w:rFonts w:hint="eastAsia" w:ascii="仿宋_GB2312" w:eastAsia="仿宋_GB2312"/>
          <w:sz w:val="32"/>
          <w:szCs w:val="32"/>
        </w:rPr>
        <w:t>万元以上专用设备</w:t>
      </w:r>
      <w:r>
        <w:rPr>
          <w:rFonts w:hint="eastAsia" w:ascii="仿宋_GB2312" w:eastAsia="仿宋_GB2312"/>
          <w:sz w:val="32"/>
          <w:szCs w:val="32"/>
          <w:lang w:val="en-US" w:eastAsia="zh-CN"/>
        </w:rPr>
        <w:t>0</w:t>
      </w:r>
      <w:r>
        <w:rPr>
          <w:rFonts w:hint="eastAsia" w:ascii="仿宋_GB2312" w:eastAsia="仿宋_GB2312"/>
          <w:sz w:val="32"/>
          <w:szCs w:val="32"/>
        </w:rPr>
        <w:t>台（套）。</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79" w:name="_Toc32148"/>
      <w:r>
        <w:rPr>
          <w:rFonts w:hint="eastAsia" w:ascii="仿宋" w:hAnsi="仿宋" w:eastAsia="仿宋"/>
          <w:b/>
          <w:sz w:val="32"/>
          <w:szCs w:val="32"/>
        </w:rPr>
        <w:t>（四）预算绩效管理情况</w:t>
      </w:r>
      <w:bookmarkEnd w:id="79"/>
    </w:p>
    <w:p>
      <w:pPr>
        <w:spacing w:line="580" w:lineRule="exact"/>
        <w:ind w:firstLine="640" w:firstLineChars="200"/>
        <w:rPr>
          <w:rFonts w:hint="eastAsia" w:ascii="仿宋_GB2312" w:hAnsi="仿宋_GB2312" w:eastAsia="仿宋_GB2312" w:cs="仿宋_GB2312"/>
          <w:sz w:val="32"/>
          <w:szCs w:val="32"/>
        </w:rPr>
        <w:sectPr>
          <w:footerReference r:id="rId5" w:type="first"/>
          <w:footerReference r:id="rId4" w:type="default"/>
          <w:pgSz w:w="11906" w:h="16838"/>
          <w:pgMar w:top="1440" w:right="1800" w:bottom="1440" w:left="1800" w:header="851" w:footer="992" w:gutter="0"/>
          <w:pgNumType w:fmt="decimal" w:start="3"/>
          <w:cols w:space="425" w:num="1"/>
          <w:docGrid w:type="lines" w:linePitch="312" w:charSpace="0"/>
        </w:sectPr>
      </w:pPr>
      <w:r>
        <w:rPr>
          <w:rFonts w:hint="eastAsia" w:ascii="仿宋_GB2312" w:hAnsi="仿宋_GB2312" w:eastAsia="仿宋_GB2312" w:cs="仿宋_GB2312"/>
          <w:sz w:val="32"/>
          <w:szCs w:val="32"/>
        </w:rPr>
        <w:t>根据预算绩效管理要求，本单位在2021年度预算编制阶段，组织对</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项目（部门整体绩效）等</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个项目开展了预算事前绩效评估，对</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个项目编制了绩效目标，预算执行过程中，选取</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个项目开展绩效监控，年终执行完毕后，对</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个项目开展了绩效自评，2021年特定目标类部门预算项目绩效目标自评表见附件（第四部分）。</w:t>
      </w:r>
    </w:p>
    <w:p>
      <w:pPr>
        <w:pStyle w:val="2"/>
      </w:pPr>
    </w:p>
    <w:p>
      <w:pPr>
        <w:pStyle w:val="3"/>
        <w:jc w:val="center"/>
        <w:rPr>
          <w:rFonts w:hint="eastAsia" w:ascii="Times New Roman" w:hAnsi="Times New Roman" w:eastAsia="方正小标宋简体"/>
          <w:b w:val="0"/>
          <w:sz w:val="44"/>
        </w:rPr>
      </w:pPr>
      <w:bookmarkStart w:id="80" w:name="_Toc15705"/>
      <w:bookmarkStart w:id="81" w:name="_Toc15396613"/>
      <w:bookmarkStart w:id="82" w:name="_Toc15377225"/>
      <w:r>
        <w:rPr>
          <w:rFonts w:hint="eastAsia" w:eastAsia="方正小标宋简体"/>
          <w:b w:val="0"/>
          <w:sz w:val="44"/>
          <w:lang w:val="en-US" w:eastAsia="zh-CN"/>
        </w:rPr>
        <w:t>第三部分</w:t>
      </w:r>
      <w:r>
        <w:rPr>
          <w:rFonts w:hint="eastAsia" w:ascii="Times New Roman" w:hAnsi="Times New Roman" w:eastAsia="方正小标宋简体"/>
          <w:b w:val="0"/>
          <w:sz w:val="44"/>
        </w:rPr>
        <w:t>名词解释</w:t>
      </w:r>
      <w:bookmarkEnd w:id="80"/>
      <w:bookmarkEnd w:id="81"/>
      <w:bookmarkEnd w:id="82"/>
    </w:p>
    <w:p>
      <w:pPr>
        <w:spacing w:line="600" w:lineRule="exact"/>
        <w:jc w:val="left"/>
        <w:rPr>
          <w:rFonts w:ascii="宋体"/>
          <w:b/>
          <w:sz w:val="44"/>
          <w:szCs w:val="44"/>
        </w:rPr>
      </w:pPr>
    </w:p>
    <w:p>
      <w:pPr>
        <w:pStyle w:val="23"/>
        <w:spacing w:line="560" w:lineRule="exact"/>
        <w:ind w:firstLine="640" w:firstLineChars="200"/>
        <w:outlineLvl w:val="1"/>
        <w:rPr>
          <w:rFonts w:hint="eastAsia" w:ascii="仿宋_GB2312" w:hAnsi="??" w:eastAsia="仿宋_GB2312" w:cs="仿宋_GB2312"/>
          <w:color w:val="333333"/>
          <w:kern w:val="2"/>
          <w:sz w:val="32"/>
          <w:szCs w:val="32"/>
          <w:lang w:val="en-US" w:eastAsia="zh-CN" w:bidi="ar-SA"/>
        </w:rPr>
      </w:pPr>
      <w:bookmarkStart w:id="83" w:name="_Toc23964"/>
      <w:r>
        <w:rPr>
          <w:rFonts w:hint="eastAsia" w:ascii="仿宋_GB2312" w:hAnsi="??" w:eastAsia="仿宋_GB2312" w:cs="仿宋_GB2312"/>
          <w:color w:val="333333"/>
          <w:kern w:val="2"/>
          <w:sz w:val="32"/>
          <w:szCs w:val="32"/>
          <w:lang w:val="en-US" w:eastAsia="zh-CN" w:bidi="ar-SA"/>
        </w:rPr>
        <w:t>1.财政拨款收入：指单位从同级财政部门取得的财政预算资金。</w:t>
      </w:r>
      <w:bookmarkEnd w:id="83"/>
    </w:p>
    <w:p>
      <w:pPr>
        <w:ind w:firstLine="640" w:firstLineChars="200"/>
        <w:rPr>
          <w:rFonts w:hint="eastAsia" w:ascii="仿宋_GB2312" w:hAnsi="??" w:eastAsia="仿宋_GB2312" w:cs="仿宋_GB2312"/>
          <w:color w:val="333333"/>
          <w:kern w:val="2"/>
          <w:sz w:val="32"/>
          <w:szCs w:val="32"/>
          <w:lang w:val="en-US" w:eastAsia="zh-CN" w:bidi="ar-SA"/>
        </w:rPr>
      </w:pPr>
      <w:r>
        <w:rPr>
          <w:rFonts w:hint="eastAsia" w:ascii="仿宋_GB2312" w:hAnsi="??" w:eastAsia="仿宋_GB2312" w:cs="仿宋_GB2312"/>
          <w:color w:val="333333"/>
          <w:kern w:val="2"/>
          <w:sz w:val="32"/>
          <w:szCs w:val="32"/>
          <w:lang w:val="en-US" w:eastAsia="zh-CN" w:bidi="ar-SA"/>
        </w:rPr>
        <w:t>2.社会保障和就业（类）行政事业单位离退休（款）未归口管理的行政单位离退休（项）：指反映未实行归口管理的行政单位（包括实行公务员管理的事业单位）开支的离退休支出。</w:t>
      </w:r>
    </w:p>
    <w:p>
      <w:pPr>
        <w:ind w:firstLine="640" w:firstLineChars="200"/>
        <w:rPr>
          <w:rFonts w:hint="eastAsia" w:ascii="仿宋_GB2312" w:hAnsi="??" w:eastAsia="仿宋_GB2312" w:cs="仿宋_GB2312"/>
          <w:color w:val="333333"/>
          <w:kern w:val="2"/>
          <w:sz w:val="32"/>
          <w:szCs w:val="32"/>
          <w:lang w:val="en-US" w:eastAsia="zh-CN" w:bidi="ar-SA"/>
        </w:rPr>
      </w:pPr>
      <w:r>
        <w:rPr>
          <w:rFonts w:hint="eastAsia" w:ascii="仿宋_GB2312" w:hAnsi="??" w:eastAsia="仿宋_GB2312" w:cs="仿宋_GB2312"/>
          <w:color w:val="333333"/>
          <w:kern w:val="2"/>
          <w:sz w:val="32"/>
          <w:szCs w:val="32"/>
          <w:lang w:val="en-US" w:eastAsia="zh-CN" w:bidi="ar-SA"/>
        </w:rPr>
        <w:t>3.社会保障和就业（类）行政事业单位离退休（款）机关事业单位基本养老保险缴费支出（项）：指反映机关事业单位实施养老保险制度由单位缴纳的基本养老保险缴费支出。</w:t>
      </w:r>
    </w:p>
    <w:p>
      <w:pPr>
        <w:ind w:firstLine="640" w:firstLineChars="200"/>
        <w:rPr>
          <w:rFonts w:hint="eastAsia" w:ascii="仿宋_GB2312" w:hAnsi="??" w:eastAsia="仿宋_GB2312" w:cs="仿宋_GB2312"/>
          <w:color w:val="333333"/>
          <w:kern w:val="2"/>
          <w:sz w:val="32"/>
          <w:szCs w:val="32"/>
          <w:lang w:val="en-US" w:eastAsia="zh-CN" w:bidi="ar-SA"/>
        </w:rPr>
      </w:pPr>
      <w:r>
        <w:rPr>
          <w:rFonts w:hint="eastAsia" w:ascii="仿宋_GB2312" w:hAnsi="??" w:eastAsia="仿宋_GB2312" w:cs="仿宋_GB2312"/>
          <w:color w:val="333333"/>
          <w:kern w:val="2"/>
          <w:sz w:val="32"/>
          <w:szCs w:val="32"/>
          <w:lang w:val="en-US" w:eastAsia="zh-CN" w:bidi="ar-SA"/>
        </w:rPr>
        <w:t>4.交通运输（类）公路水路运输（款）行政运行（项）：指反映行政单位（包括实行公务员管理的事业单位）的基本支出。</w:t>
      </w:r>
    </w:p>
    <w:p>
      <w:pPr>
        <w:ind w:firstLine="640" w:firstLineChars="200"/>
        <w:rPr>
          <w:rFonts w:hint="eastAsia" w:ascii="仿宋_GB2312" w:hAnsi="??" w:eastAsia="仿宋_GB2312" w:cs="仿宋_GB2312"/>
          <w:color w:val="333333"/>
          <w:kern w:val="2"/>
          <w:sz w:val="32"/>
          <w:szCs w:val="32"/>
          <w:lang w:val="en-US" w:eastAsia="zh-CN" w:bidi="ar-SA"/>
        </w:rPr>
      </w:pPr>
      <w:r>
        <w:rPr>
          <w:rFonts w:hint="eastAsia" w:ascii="仿宋_GB2312" w:hAnsi="??" w:eastAsia="仿宋_GB2312" w:cs="仿宋_GB2312"/>
          <w:color w:val="333333"/>
          <w:kern w:val="2"/>
          <w:sz w:val="32"/>
          <w:szCs w:val="32"/>
          <w:lang w:val="en-US" w:eastAsia="zh-CN" w:bidi="ar-SA"/>
        </w:rPr>
        <w:t>5.住房保障（类）住房改革支出（款）住房公积金（项）：指反映行政事业单位按人力资源和社会保障部、财政部规定的基本工资和津贴补贴以及规定比例为职工缴纳的住房公积金。</w:t>
      </w:r>
    </w:p>
    <w:p>
      <w:pPr>
        <w:ind w:firstLine="640" w:firstLineChars="200"/>
        <w:rPr>
          <w:rFonts w:hint="eastAsia" w:ascii="仿宋_GB2312" w:hAnsi="??" w:eastAsia="仿宋_GB2312" w:cs="仿宋_GB2312"/>
          <w:color w:val="333333"/>
          <w:kern w:val="2"/>
          <w:sz w:val="32"/>
          <w:szCs w:val="32"/>
          <w:lang w:val="en-US" w:eastAsia="zh-CN" w:bidi="ar-SA"/>
        </w:rPr>
      </w:pPr>
      <w:r>
        <w:rPr>
          <w:rFonts w:hint="eastAsia" w:ascii="仿宋_GB2312" w:hAnsi="??" w:eastAsia="仿宋_GB2312" w:cs="仿宋_GB2312"/>
          <w:color w:val="333333"/>
          <w:kern w:val="2"/>
          <w:sz w:val="32"/>
          <w:szCs w:val="32"/>
          <w:lang w:val="en-US" w:eastAsia="zh-CN" w:bidi="ar-SA"/>
        </w:rPr>
        <w:t xml:space="preserve">6.基本支出：指为保障机构正常运转、完成日常工作任务而发生的人员支出和公用支出。 </w:t>
      </w:r>
    </w:p>
    <w:p>
      <w:pPr>
        <w:pStyle w:val="23"/>
        <w:spacing w:line="560" w:lineRule="exact"/>
        <w:ind w:firstLine="640" w:firstLineChars="200"/>
        <w:rPr>
          <w:rFonts w:hint="eastAsia" w:ascii="仿宋_GB2312" w:hAnsi="??" w:eastAsia="仿宋_GB2312" w:cs="仿宋_GB2312"/>
          <w:color w:val="333333"/>
          <w:kern w:val="2"/>
          <w:sz w:val="32"/>
          <w:szCs w:val="32"/>
          <w:lang w:val="en-US" w:eastAsia="zh-CN" w:bidi="ar-SA"/>
        </w:rPr>
      </w:pPr>
      <w:r>
        <w:rPr>
          <w:rFonts w:hint="eastAsia" w:ascii="仿宋_GB2312" w:hAnsi="??" w:eastAsia="仿宋_GB2312" w:cs="仿宋_GB2312"/>
          <w:color w:val="333333"/>
          <w:kern w:val="2"/>
          <w:sz w:val="32"/>
          <w:szCs w:val="32"/>
          <w:lang w:val="en-US" w:eastAsia="zh-CN" w:bidi="ar-SA"/>
        </w:rPr>
        <w:t>7.“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ind w:firstLine="640" w:firstLineChars="200"/>
        <w:rPr>
          <w:rFonts w:hint="eastAsia" w:ascii="仿宋_GB2312" w:hAnsi="??" w:eastAsia="仿宋_GB2312" w:cs="仿宋_GB2312"/>
          <w:color w:val="333333"/>
          <w:kern w:val="2"/>
          <w:sz w:val="32"/>
          <w:szCs w:val="32"/>
          <w:lang w:val="en-US" w:eastAsia="zh-CN" w:bidi="ar-SA"/>
        </w:rPr>
        <w:sectPr>
          <w:pgSz w:w="11906" w:h="16838"/>
          <w:pgMar w:top="1440" w:right="1800" w:bottom="1440" w:left="1800" w:header="851" w:footer="992" w:gutter="0"/>
          <w:pgNumType w:fmt="decimal"/>
          <w:cols w:space="425" w:num="1"/>
          <w:docGrid w:type="lines" w:linePitch="312" w:charSpace="0"/>
        </w:sectPr>
      </w:pPr>
      <w:r>
        <w:rPr>
          <w:rFonts w:hint="eastAsia" w:ascii="仿宋_GB2312" w:hAnsi="??" w:eastAsia="仿宋_GB2312" w:cs="仿宋_GB2312"/>
          <w:color w:val="333333"/>
          <w:kern w:val="2"/>
          <w:sz w:val="32"/>
          <w:szCs w:val="32"/>
          <w:lang w:val="en-US" w:eastAsia="zh-CN" w:bidi="ar-SA"/>
        </w:rPr>
        <w:t>8.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25"/>
          <w:rFonts w:ascii="黑体" w:hAnsi="黑体" w:eastAsia="黑体"/>
          <w:b w:val="0"/>
        </w:rPr>
      </w:pPr>
      <w:bookmarkStart w:id="84" w:name="_Toc15396614"/>
      <w:bookmarkStart w:id="85" w:name="_Toc25806"/>
      <w:bookmarkStart w:id="86" w:name="_Toc15377226"/>
      <w:bookmarkStart w:id="117" w:name="_GoBack"/>
      <w:bookmarkEnd w:id="117"/>
      <w:r>
        <w:rPr>
          <w:rFonts w:hint="eastAsia" w:ascii="黑体" w:hAnsi="黑体" w:eastAsia="黑体"/>
          <w:sz w:val="44"/>
          <w:szCs w:val="44"/>
        </w:rPr>
        <w:t>第</w:t>
      </w:r>
      <w:r>
        <w:rPr>
          <w:rStyle w:val="25"/>
          <w:rFonts w:hint="eastAsia" w:ascii="黑体" w:hAnsi="黑体" w:eastAsia="黑体"/>
          <w:b w:val="0"/>
        </w:rPr>
        <w:t>四部分 附件</w:t>
      </w:r>
      <w:bookmarkEnd w:id="84"/>
      <w:bookmarkEnd w:id="85"/>
    </w:p>
    <w:p>
      <w:pPr>
        <w:spacing w:line="572" w:lineRule="exact"/>
        <w:jc w:val="left"/>
        <w:outlineLvl w:val="1"/>
        <w:rPr>
          <w:rFonts w:ascii="仿宋_GB2312" w:hAnsi="仿宋_GB2312" w:eastAsia="仿宋_GB2312" w:cs="仿宋_GB2312"/>
          <w:sz w:val="32"/>
          <w:szCs w:val="32"/>
        </w:rPr>
      </w:pPr>
      <w:bookmarkStart w:id="87" w:name="_Toc17210"/>
      <w:r>
        <w:rPr>
          <w:rFonts w:hint="eastAsia" w:ascii="黑体" w:hAnsi="黑体" w:eastAsia="黑体" w:cs="黑体"/>
          <w:sz w:val="32"/>
          <w:szCs w:val="32"/>
        </w:rPr>
        <w:t>附件</w:t>
      </w:r>
      <w:bookmarkEnd w:id="87"/>
    </w:p>
    <w:tbl>
      <w:tblPr>
        <w:tblStyle w:val="13"/>
        <w:tblW w:w="897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6"/>
        <w:gridCol w:w="750"/>
        <w:gridCol w:w="1320"/>
        <w:gridCol w:w="2040"/>
        <w:gridCol w:w="1884"/>
        <w:gridCol w:w="21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8976" w:type="dxa"/>
            <w:gridSpan w:val="6"/>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u w:val="none"/>
                <w:lang w:val="en-US" w:eastAsia="zh-CN" w:bidi="ar"/>
              </w:rPr>
            </w:pPr>
            <w:bookmarkStart w:id="88" w:name="_Toc15396618"/>
            <w:r>
              <w:rPr>
                <w:rFonts w:hint="eastAsia" w:ascii="宋体" w:hAnsi="宋体" w:eastAsia="宋体" w:cs="宋体"/>
                <w:b/>
                <w:bCs/>
                <w:i w:val="0"/>
                <w:iCs w:val="0"/>
                <w:color w:val="000000"/>
                <w:kern w:val="0"/>
                <w:sz w:val="32"/>
                <w:szCs w:val="32"/>
                <w:u w:val="none"/>
                <w:lang w:val="en-US" w:eastAsia="zh-CN" w:bidi="ar"/>
              </w:rPr>
              <w:t>2021年100万元以上（含）特定目标类部门预算项目</w:t>
            </w:r>
          </w:p>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绩效目标自评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86"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2"/>
                <w:szCs w:val="22"/>
                <w:u w:val="none"/>
              </w:rPr>
            </w:pPr>
          </w:p>
        </w:tc>
        <w:tc>
          <w:tcPr>
            <w:tcW w:w="750"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2"/>
                <w:szCs w:val="22"/>
                <w:u w:val="none"/>
              </w:rPr>
            </w:pPr>
          </w:p>
        </w:tc>
        <w:tc>
          <w:tcPr>
            <w:tcW w:w="1320"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2"/>
                <w:szCs w:val="22"/>
                <w:u w:val="none"/>
              </w:rPr>
            </w:pPr>
          </w:p>
        </w:tc>
        <w:tc>
          <w:tcPr>
            <w:tcW w:w="2040"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2"/>
                <w:szCs w:val="22"/>
                <w:u w:val="none"/>
              </w:rPr>
            </w:pPr>
          </w:p>
        </w:tc>
        <w:tc>
          <w:tcPr>
            <w:tcW w:w="1884"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2"/>
                <w:szCs w:val="22"/>
                <w:u w:val="none"/>
              </w:rPr>
            </w:pPr>
          </w:p>
        </w:tc>
        <w:tc>
          <w:tcPr>
            <w:tcW w:w="2196" w:type="dxa"/>
            <w:tcBorders>
              <w:top w:val="nil"/>
              <w:left w:val="nil"/>
              <w:bottom w:val="nil"/>
              <w:right w:val="nil"/>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536"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主管部门及代码</w:t>
            </w:r>
          </w:p>
        </w:tc>
        <w:tc>
          <w:tcPr>
            <w:tcW w:w="3360" w:type="dxa"/>
            <w:gridSpan w:val="2"/>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608001</w:t>
            </w:r>
          </w:p>
        </w:tc>
        <w:tc>
          <w:tcPr>
            <w:tcW w:w="1884"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2196"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盐边县航务海事中心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536" w:type="dxa"/>
            <w:gridSpan w:val="2"/>
            <w:tcBorders>
              <w:top w:val="nil"/>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项目预算</w:t>
            </w:r>
          </w:p>
        </w:tc>
        <w:tc>
          <w:tcPr>
            <w:tcW w:w="132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预算数：</w:t>
            </w:r>
          </w:p>
        </w:tc>
        <w:tc>
          <w:tcPr>
            <w:tcW w:w="204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76.37</w:t>
            </w:r>
          </w:p>
        </w:tc>
        <w:tc>
          <w:tcPr>
            <w:tcW w:w="188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执行数：</w:t>
            </w:r>
          </w:p>
        </w:tc>
        <w:tc>
          <w:tcPr>
            <w:tcW w:w="2196" w:type="dxa"/>
            <w:tcBorders>
              <w:top w:val="single" w:color="000000" w:sz="8" w:space="0"/>
              <w:left w:val="nil"/>
              <w:bottom w:val="single" w:color="000000" w:sz="8" w:space="0"/>
              <w:right w:val="single" w:color="000000" w:sz="8" w:space="0"/>
            </w:tcBorders>
            <w:shd w:val="clear" w:color="auto" w:fill="auto"/>
            <w:vAlign w:val="center"/>
          </w:tcPr>
          <w:p>
            <w:pPr>
              <w:jc w:val="right"/>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536" w:type="dxa"/>
            <w:gridSpan w:val="2"/>
            <w:tcBorders>
              <w:top w:val="nil"/>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执行情况</w:t>
            </w:r>
          </w:p>
        </w:tc>
        <w:tc>
          <w:tcPr>
            <w:tcW w:w="1320" w:type="dxa"/>
            <w:tcBorders>
              <w:top w:val="nil"/>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w:t>
            </w:r>
          </w:p>
        </w:tc>
        <w:tc>
          <w:tcPr>
            <w:tcW w:w="2040"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76.37</w:t>
            </w:r>
          </w:p>
        </w:tc>
        <w:tc>
          <w:tcPr>
            <w:tcW w:w="1884" w:type="dxa"/>
            <w:tcBorders>
              <w:top w:val="nil"/>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w:t>
            </w:r>
          </w:p>
        </w:tc>
        <w:tc>
          <w:tcPr>
            <w:tcW w:w="2196"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5" w:hRule="atLeast"/>
        </w:trPr>
        <w:tc>
          <w:tcPr>
            <w:tcW w:w="1536" w:type="dxa"/>
            <w:gridSpan w:val="2"/>
            <w:tcBorders>
              <w:top w:val="nil"/>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（万元）</w:t>
            </w:r>
          </w:p>
        </w:tc>
        <w:tc>
          <w:tcPr>
            <w:tcW w:w="132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财政拨款</w:t>
            </w:r>
          </w:p>
        </w:tc>
        <w:tc>
          <w:tcPr>
            <w:tcW w:w="20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88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财政拨款</w:t>
            </w:r>
          </w:p>
        </w:tc>
        <w:tc>
          <w:tcPr>
            <w:tcW w:w="2196"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536" w:type="dxa"/>
            <w:gridSpan w:val="2"/>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32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其他资金</w:t>
            </w:r>
          </w:p>
        </w:tc>
        <w:tc>
          <w:tcPr>
            <w:tcW w:w="204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188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其他资金</w:t>
            </w:r>
          </w:p>
        </w:tc>
        <w:tc>
          <w:tcPr>
            <w:tcW w:w="2196"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786" w:type="dxa"/>
            <w:tcBorders>
              <w:top w:val="nil"/>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年度总体目标</w:t>
            </w:r>
          </w:p>
        </w:tc>
        <w:tc>
          <w:tcPr>
            <w:tcW w:w="4110" w:type="dxa"/>
            <w:gridSpan w:val="3"/>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4080"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目标实际完成情况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35" w:hRule="atLeast"/>
        </w:trPr>
        <w:tc>
          <w:tcPr>
            <w:tcW w:w="78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完成情况</w:t>
            </w:r>
          </w:p>
        </w:tc>
        <w:tc>
          <w:tcPr>
            <w:tcW w:w="4110" w:type="dxa"/>
            <w:gridSpan w:val="3"/>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保障我单位全年各项工作正常开展，保障全县交通运输工作高质量完成，推进全局工作进一步规范化，高效便捷为群众办事，保障交通运输工作各项需求。</w:t>
            </w:r>
          </w:p>
        </w:tc>
        <w:tc>
          <w:tcPr>
            <w:tcW w:w="4080" w:type="dxa"/>
            <w:gridSpan w:val="2"/>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我单位当年财政拨款资金76.37万元，当年支出76.37万元。全年较好完成绩效目标管理，保障了全县正常工作运转，确保全县经济社会高质量发展，推进全单位工作进一步规范化，高校便捷帮助群众办事，保障全县交通运产发展需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86" w:type="dxa"/>
            <w:vMerge w:val="restart"/>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年度绩效指标完成情况</w:t>
            </w:r>
          </w:p>
        </w:tc>
        <w:tc>
          <w:tcPr>
            <w:tcW w:w="750" w:type="dxa"/>
            <w:tcBorders>
              <w:top w:val="nil"/>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一级</w:t>
            </w:r>
          </w:p>
        </w:tc>
        <w:tc>
          <w:tcPr>
            <w:tcW w:w="1320" w:type="dxa"/>
            <w:tcBorders>
              <w:top w:val="nil"/>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二级</w:t>
            </w:r>
          </w:p>
        </w:tc>
        <w:tc>
          <w:tcPr>
            <w:tcW w:w="2040" w:type="dxa"/>
            <w:tcBorders>
              <w:top w:val="single" w:color="000000" w:sz="8" w:space="0"/>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三级</w:t>
            </w:r>
          </w:p>
        </w:tc>
        <w:tc>
          <w:tcPr>
            <w:tcW w:w="1884"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预期指标值</w:t>
            </w:r>
          </w:p>
        </w:tc>
        <w:tc>
          <w:tcPr>
            <w:tcW w:w="2196" w:type="dxa"/>
            <w:vMerge w:val="restar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实际完成指标值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78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75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指标</w:t>
            </w:r>
          </w:p>
        </w:tc>
        <w:tc>
          <w:tcPr>
            <w:tcW w:w="132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指标</w:t>
            </w:r>
          </w:p>
        </w:tc>
        <w:tc>
          <w:tcPr>
            <w:tcW w:w="204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指标</w:t>
            </w:r>
          </w:p>
        </w:tc>
        <w:tc>
          <w:tcPr>
            <w:tcW w:w="1884"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2196" w:type="dxa"/>
            <w:vMerge w:val="continue"/>
            <w:tcBorders>
              <w:top w:val="single" w:color="000000" w:sz="8" w:space="0"/>
              <w:left w:val="nil"/>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8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750"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完成指标</w:t>
            </w:r>
          </w:p>
        </w:tc>
        <w:tc>
          <w:tcPr>
            <w:tcW w:w="1320"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数量指标</w:t>
            </w:r>
          </w:p>
        </w:tc>
        <w:tc>
          <w:tcPr>
            <w:tcW w:w="204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人员经费</w:t>
            </w:r>
          </w:p>
        </w:tc>
        <w:tc>
          <w:tcPr>
            <w:tcW w:w="188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69.58</w:t>
            </w:r>
          </w:p>
        </w:tc>
        <w:tc>
          <w:tcPr>
            <w:tcW w:w="2196"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8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75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132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204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公用经费</w:t>
            </w:r>
          </w:p>
        </w:tc>
        <w:tc>
          <w:tcPr>
            <w:tcW w:w="188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6.49</w:t>
            </w:r>
          </w:p>
        </w:tc>
        <w:tc>
          <w:tcPr>
            <w:tcW w:w="2196"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8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75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132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204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项目经费</w:t>
            </w:r>
          </w:p>
        </w:tc>
        <w:tc>
          <w:tcPr>
            <w:tcW w:w="188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w:t>
            </w:r>
          </w:p>
        </w:tc>
        <w:tc>
          <w:tcPr>
            <w:tcW w:w="2196"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8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75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132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质量指标</w:t>
            </w:r>
          </w:p>
        </w:tc>
        <w:tc>
          <w:tcPr>
            <w:tcW w:w="204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资金使用规范</w:t>
            </w:r>
          </w:p>
        </w:tc>
        <w:tc>
          <w:tcPr>
            <w:tcW w:w="188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良好</w:t>
            </w:r>
          </w:p>
        </w:tc>
        <w:tc>
          <w:tcPr>
            <w:tcW w:w="2196"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良好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8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75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132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时效指标</w:t>
            </w:r>
          </w:p>
        </w:tc>
        <w:tc>
          <w:tcPr>
            <w:tcW w:w="204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完成时间</w:t>
            </w:r>
          </w:p>
        </w:tc>
        <w:tc>
          <w:tcPr>
            <w:tcW w:w="188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2021年全年</w:t>
            </w:r>
          </w:p>
        </w:tc>
        <w:tc>
          <w:tcPr>
            <w:tcW w:w="2196"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2021年全年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8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75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1320"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成本指标</w:t>
            </w:r>
          </w:p>
        </w:tc>
        <w:tc>
          <w:tcPr>
            <w:tcW w:w="204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一般公共预算项目</w:t>
            </w:r>
          </w:p>
        </w:tc>
        <w:tc>
          <w:tcPr>
            <w:tcW w:w="188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76.37</w:t>
            </w:r>
          </w:p>
        </w:tc>
        <w:tc>
          <w:tcPr>
            <w:tcW w:w="2196"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8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75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132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204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年初结转余额</w:t>
            </w:r>
          </w:p>
        </w:tc>
        <w:tc>
          <w:tcPr>
            <w:tcW w:w="188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0.3</w:t>
            </w:r>
          </w:p>
        </w:tc>
        <w:tc>
          <w:tcPr>
            <w:tcW w:w="2196"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8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750"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效益指标</w:t>
            </w:r>
          </w:p>
        </w:tc>
        <w:tc>
          <w:tcPr>
            <w:tcW w:w="132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经济效益指标</w:t>
            </w:r>
          </w:p>
        </w:tc>
        <w:tc>
          <w:tcPr>
            <w:tcW w:w="204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有效推进工作顺利开展</w:t>
            </w:r>
          </w:p>
        </w:tc>
        <w:tc>
          <w:tcPr>
            <w:tcW w:w="188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提高</w:t>
            </w:r>
          </w:p>
        </w:tc>
        <w:tc>
          <w:tcPr>
            <w:tcW w:w="2196"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提高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8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75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1320"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社会效益指标</w:t>
            </w:r>
          </w:p>
        </w:tc>
        <w:tc>
          <w:tcPr>
            <w:tcW w:w="204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基本公共服务水平</w:t>
            </w:r>
          </w:p>
        </w:tc>
        <w:tc>
          <w:tcPr>
            <w:tcW w:w="188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提升</w:t>
            </w:r>
          </w:p>
        </w:tc>
        <w:tc>
          <w:tcPr>
            <w:tcW w:w="2196"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提升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8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75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132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204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公路安全水平</w:t>
            </w:r>
          </w:p>
        </w:tc>
        <w:tc>
          <w:tcPr>
            <w:tcW w:w="188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提升</w:t>
            </w:r>
          </w:p>
        </w:tc>
        <w:tc>
          <w:tcPr>
            <w:tcW w:w="2196"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提升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78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75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132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204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促地地方经济发展力</w:t>
            </w:r>
          </w:p>
        </w:tc>
        <w:tc>
          <w:tcPr>
            <w:tcW w:w="188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提高</w:t>
            </w:r>
          </w:p>
        </w:tc>
        <w:tc>
          <w:tcPr>
            <w:tcW w:w="2196"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提高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78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75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132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生态效益指标</w:t>
            </w:r>
          </w:p>
        </w:tc>
        <w:tc>
          <w:tcPr>
            <w:tcW w:w="204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交通路域环境改善</w:t>
            </w:r>
          </w:p>
        </w:tc>
        <w:tc>
          <w:tcPr>
            <w:tcW w:w="188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提高</w:t>
            </w:r>
          </w:p>
        </w:tc>
        <w:tc>
          <w:tcPr>
            <w:tcW w:w="2196"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提高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8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75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132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可持续影响指标</w:t>
            </w:r>
          </w:p>
        </w:tc>
        <w:tc>
          <w:tcPr>
            <w:tcW w:w="204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行业稳定与发展</w:t>
            </w:r>
          </w:p>
        </w:tc>
        <w:tc>
          <w:tcPr>
            <w:tcW w:w="188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促进</w:t>
            </w:r>
          </w:p>
        </w:tc>
        <w:tc>
          <w:tcPr>
            <w:tcW w:w="2196"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促进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7" w:hRule="atLeast"/>
        </w:trPr>
        <w:tc>
          <w:tcPr>
            <w:tcW w:w="78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750"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满意度指标</w:t>
            </w:r>
          </w:p>
        </w:tc>
        <w:tc>
          <w:tcPr>
            <w:tcW w:w="1320" w:type="dxa"/>
            <w:tcBorders>
              <w:top w:val="nil"/>
              <w:left w:val="nil"/>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满意度</w:t>
            </w:r>
          </w:p>
        </w:tc>
        <w:tc>
          <w:tcPr>
            <w:tcW w:w="2040"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群众满意度</w:t>
            </w:r>
          </w:p>
        </w:tc>
        <w:tc>
          <w:tcPr>
            <w:tcW w:w="1884"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微软雅黑"/>
                <w:i w:val="0"/>
                <w:iCs w:val="0"/>
                <w:color w:val="000000"/>
                <w:sz w:val="18"/>
                <w:szCs w:val="18"/>
                <w:u w:val="none"/>
              </w:rPr>
            </w:pPr>
            <w:r>
              <w:rPr>
                <w:rStyle w:val="31"/>
                <w:lang w:val="en-US" w:eastAsia="zh-CN" w:bidi="ar"/>
              </w:rPr>
              <w:t>&gt;</w:t>
            </w:r>
            <w:r>
              <w:rPr>
                <w:rStyle w:val="32"/>
                <w:rFonts w:hAnsi="微软雅黑"/>
                <w:lang w:val="en-US" w:eastAsia="zh-CN" w:bidi="ar"/>
              </w:rPr>
              <w:t>90%</w:t>
            </w:r>
          </w:p>
        </w:tc>
        <w:tc>
          <w:tcPr>
            <w:tcW w:w="2196"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&gt;90%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9" w:hRule="atLeast"/>
        </w:trPr>
        <w:tc>
          <w:tcPr>
            <w:tcW w:w="786" w:type="dxa"/>
            <w:vMerge w:val="continue"/>
            <w:tcBorders>
              <w:top w:val="nil"/>
              <w:left w:val="single" w:color="000000" w:sz="8" w:space="0"/>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75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132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u w:val="none"/>
              </w:rPr>
            </w:pPr>
            <w:r>
              <w:rPr>
                <w:rFonts w:hint="eastAsia" w:ascii="仿宋_GB2312" w:hAnsi="宋体" w:eastAsia="仿宋_GB2312" w:cs="仿宋_GB2312"/>
                <w:i w:val="0"/>
                <w:iCs w:val="0"/>
                <w:color w:val="000000"/>
                <w:kern w:val="0"/>
                <w:sz w:val="18"/>
                <w:szCs w:val="18"/>
                <w:u w:val="none"/>
                <w:lang w:val="en-US" w:eastAsia="zh-CN" w:bidi="ar"/>
              </w:rPr>
              <w:t>指标</w:t>
            </w:r>
          </w:p>
        </w:tc>
        <w:tc>
          <w:tcPr>
            <w:tcW w:w="20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宋体" w:eastAsia="仿宋_GB2312" w:cs="仿宋_GB2312"/>
                <w:i w:val="0"/>
                <w:iCs w:val="0"/>
                <w:color w:val="000000"/>
                <w:sz w:val="18"/>
                <w:szCs w:val="18"/>
                <w:u w:val="none"/>
              </w:rPr>
            </w:pPr>
          </w:p>
        </w:tc>
        <w:tc>
          <w:tcPr>
            <w:tcW w:w="1884"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微软雅黑" w:hAnsi="微软雅黑" w:eastAsia="微软雅黑" w:cs="微软雅黑"/>
                <w:i w:val="0"/>
                <w:iCs w:val="0"/>
                <w:color w:val="000000"/>
                <w:sz w:val="18"/>
                <w:szCs w:val="18"/>
                <w:u w:val="none"/>
              </w:rPr>
            </w:pPr>
          </w:p>
        </w:tc>
        <w:tc>
          <w:tcPr>
            <w:tcW w:w="2196"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微软雅黑" w:hAnsi="微软雅黑" w:eastAsia="微软雅黑" w:cs="微软雅黑"/>
                <w:i w:val="0"/>
                <w:iCs w:val="0"/>
                <w:color w:val="000000"/>
                <w:sz w:val="18"/>
                <w:szCs w:val="18"/>
                <w:u w:val="none"/>
              </w:rPr>
            </w:pPr>
          </w:p>
        </w:tc>
      </w:tr>
    </w:tbl>
    <w:p>
      <w:pPr>
        <w:spacing w:line="600" w:lineRule="exact"/>
        <w:jc w:val="center"/>
        <w:outlineLvl w:val="9"/>
        <w:rPr>
          <w:rFonts w:ascii="黑体" w:hAnsi="黑体" w:eastAsia="黑体"/>
          <w:sz w:val="44"/>
          <w:szCs w:val="44"/>
        </w:rPr>
      </w:pPr>
    </w:p>
    <w:p>
      <w:pPr>
        <w:spacing w:line="600" w:lineRule="exact"/>
        <w:jc w:val="center"/>
        <w:outlineLvl w:val="9"/>
        <w:rPr>
          <w:rFonts w:ascii="黑体" w:hAnsi="黑体" w:eastAsia="黑体"/>
          <w:sz w:val="44"/>
          <w:szCs w:val="44"/>
        </w:rPr>
        <w:sectPr>
          <w:pgSz w:w="11906" w:h="16838"/>
          <w:pgMar w:top="1440" w:right="1800" w:bottom="1440" w:left="1800" w:header="851" w:footer="992" w:gutter="0"/>
          <w:pgNumType w:fmt="decimal"/>
          <w:cols w:space="425" w:num="1"/>
          <w:docGrid w:type="lines" w:linePitch="312" w:charSpace="0"/>
        </w:sectPr>
      </w:pPr>
    </w:p>
    <w:p>
      <w:pPr>
        <w:spacing w:line="600" w:lineRule="exact"/>
        <w:jc w:val="center"/>
        <w:outlineLvl w:val="9"/>
        <w:rPr>
          <w:rFonts w:ascii="黑体" w:hAnsi="黑体" w:eastAsia="黑体"/>
          <w:sz w:val="44"/>
          <w:szCs w:val="44"/>
        </w:rPr>
      </w:pPr>
    </w:p>
    <w:p>
      <w:pPr>
        <w:spacing w:line="600" w:lineRule="exact"/>
        <w:jc w:val="center"/>
        <w:outlineLvl w:val="0"/>
        <w:rPr>
          <w:rFonts w:ascii="仿宋" w:hAnsi="仿宋" w:eastAsia="仿宋"/>
        </w:rPr>
      </w:pPr>
      <w:bookmarkStart w:id="89" w:name="_Toc2081"/>
      <w:r>
        <w:rPr>
          <w:rFonts w:hint="eastAsia" w:ascii="黑体" w:hAnsi="黑体" w:eastAsia="黑体"/>
          <w:sz w:val="44"/>
          <w:szCs w:val="44"/>
        </w:rPr>
        <w:t>第</w:t>
      </w:r>
      <w:r>
        <w:rPr>
          <w:rStyle w:val="25"/>
          <w:rFonts w:hint="eastAsia" w:ascii="黑体" w:hAnsi="黑体" w:eastAsia="黑体"/>
          <w:b w:val="0"/>
        </w:rPr>
        <w:t>五部分 附表</w:t>
      </w:r>
      <w:bookmarkEnd w:id="86"/>
      <w:bookmarkEnd w:id="88"/>
      <w:bookmarkEnd w:id="89"/>
      <w:bookmarkStart w:id="90" w:name="_Toc15396619"/>
    </w:p>
    <w:p>
      <w:pPr>
        <w:pStyle w:val="4"/>
        <w:rPr>
          <w:rFonts w:ascii="仿宋" w:hAnsi="仿宋" w:eastAsia="仿宋"/>
        </w:rPr>
      </w:pPr>
      <w:bookmarkStart w:id="91" w:name="_Toc9305"/>
      <w:r>
        <w:rPr>
          <w:rFonts w:hint="eastAsia" w:ascii="仿宋" w:hAnsi="仿宋" w:eastAsia="仿宋"/>
          <w:b w:val="0"/>
        </w:rPr>
        <w:t>一、收</w:t>
      </w:r>
      <w:r>
        <w:rPr>
          <w:rStyle w:val="26"/>
          <w:rFonts w:hint="eastAsia" w:ascii="仿宋" w:hAnsi="仿宋" w:eastAsia="仿宋"/>
          <w:b w:val="0"/>
          <w:bCs w:val="0"/>
        </w:rPr>
        <w:t>入支出决算总表</w:t>
      </w:r>
      <w:bookmarkEnd w:id="90"/>
      <w:bookmarkEnd w:id="91"/>
    </w:p>
    <w:p>
      <w:pPr>
        <w:pStyle w:val="4"/>
        <w:rPr>
          <w:rFonts w:ascii="仿宋" w:hAnsi="仿宋" w:eastAsia="仿宋"/>
        </w:rPr>
      </w:pPr>
      <w:bookmarkStart w:id="92" w:name="_Toc11422"/>
      <w:bookmarkStart w:id="93" w:name="_Toc15396620"/>
      <w:r>
        <w:rPr>
          <w:rFonts w:hint="eastAsia" w:ascii="仿宋" w:hAnsi="仿宋" w:eastAsia="仿宋"/>
          <w:b w:val="0"/>
        </w:rPr>
        <w:t>二、收</w:t>
      </w:r>
      <w:r>
        <w:rPr>
          <w:rStyle w:val="26"/>
          <w:rFonts w:hint="eastAsia" w:ascii="仿宋" w:hAnsi="仿宋" w:eastAsia="仿宋"/>
          <w:b w:val="0"/>
          <w:bCs w:val="0"/>
        </w:rPr>
        <w:t>入决算表</w:t>
      </w:r>
      <w:bookmarkEnd w:id="92"/>
      <w:bookmarkEnd w:id="93"/>
    </w:p>
    <w:p>
      <w:pPr>
        <w:pStyle w:val="4"/>
        <w:rPr>
          <w:rFonts w:ascii="仿宋" w:hAnsi="仿宋" w:eastAsia="仿宋"/>
        </w:rPr>
      </w:pPr>
      <w:bookmarkStart w:id="94" w:name="_Toc25592"/>
      <w:bookmarkStart w:id="95" w:name="_Toc15396621"/>
      <w:r>
        <w:rPr>
          <w:rStyle w:val="26"/>
          <w:rFonts w:hint="eastAsia" w:ascii="仿宋" w:hAnsi="仿宋" w:eastAsia="仿宋"/>
          <w:b w:val="0"/>
          <w:bCs w:val="0"/>
        </w:rPr>
        <w:t>三、</w:t>
      </w:r>
      <w:r>
        <w:rPr>
          <w:rFonts w:hint="eastAsia" w:ascii="仿宋" w:hAnsi="仿宋" w:eastAsia="仿宋"/>
          <w:b w:val="0"/>
        </w:rPr>
        <w:t>支</w:t>
      </w:r>
      <w:r>
        <w:rPr>
          <w:rStyle w:val="26"/>
          <w:rFonts w:hint="eastAsia" w:ascii="仿宋" w:hAnsi="仿宋" w:eastAsia="仿宋"/>
          <w:b w:val="0"/>
          <w:bCs w:val="0"/>
        </w:rPr>
        <w:t>出决算表</w:t>
      </w:r>
      <w:bookmarkEnd w:id="94"/>
      <w:bookmarkEnd w:id="95"/>
    </w:p>
    <w:p>
      <w:pPr>
        <w:pStyle w:val="4"/>
        <w:rPr>
          <w:rFonts w:ascii="仿宋" w:hAnsi="仿宋" w:eastAsia="仿宋"/>
          <w:b w:val="0"/>
        </w:rPr>
      </w:pPr>
      <w:bookmarkStart w:id="96" w:name="_Toc15396622"/>
      <w:bookmarkStart w:id="97" w:name="_Toc22686"/>
      <w:r>
        <w:rPr>
          <w:rStyle w:val="26"/>
          <w:rFonts w:hint="eastAsia" w:ascii="仿宋" w:hAnsi="仿宋" w:eastAsia="仿宋"/>
          <w:b w:val="0"/>
          <w:bCs w:val="0"/>
        </w:rPr>
        <w:t>四、</w:t>
      </w:r>
      <w:r>
        <w:rPr>
          <w:rFonts w:hint="eastAsia" w:ascii="仿宋" w:hAnsi="仿宋" w:eastAsia="仿宋"/>
          <w:b w:val="0"/>
        </w:rPr>
        <w:t>财</w:t>
      </w:r>
      <w:r>
        <w:rPr>
          <w:rStyle w:val="26"/>
          <w:rFonts w:hint="eastAsia" w:ascii="仿宋" w:hAnsi="仿宋" w:eastAsia="仿宋"/>
          <w:b w:val="0"/>
          <w:bCs w:val="0"/>
        </w:rPr>
        <w:t>政拨款收入支出决算总表</w:t>
      </w:r>
      <w:bookmarkEnd w:id="96"/>
      <w:bookmarkEnd w:id="97"/>
    </w:p>
    <w:p>
      <w:pPr>
        <w:pStyle w:val="4"/>
        <w:rPr>
          <w:rStyle w:val="26"/>
          <w:rFonts w:ascii="仿宋" w:hAnsi="仿宋" w:eastAsia="仿宋"/>
          <w:b w:val="0"/>
          <w:bCs w:val="0"/>
        </w:rPr>
      </w:pPr>
      <w:bookmarkStart w:id="98" w:name="_Toc18684"/>
      <w:bookmarkStart w:id="99" w:name="_Toc15396623"/>
      <w:r>
        <w:rPr>
          <w:rStyle w:val="26"/>
          <w:rFonts w:hint="eastAsia" w:ascii="仿宋" w:hAnsi="仿宋" w:eastAsia="仿宋"/>
          <w:b w:val="0"/>
          <w:bCs w:val="0"/>
        </w:rPr>
        <w:t>五、</w:t>
      </w:r>
      <w:r>
        <w:rPr>
          <w:rFonts w:hint="eastAsia" w:ascii="仿宋" w:hAnsi="仿宋" w:eastAsia="仿宋"/>
          <w:b w:val="0"/>
        </w:rPr>
        <w:t>财</w:t>
      </w:r>
      <w:r>
        <w:rPr>
          <w:rStyle w:val="26"/>
          <w:rFonts w:hint="eastAsia" w:ascii="仿宋" w:hAnsi="仿宋" w:eastAsia="仿宋"/>
          <w:b w:val="0"/>
          <w:bCs w:val="0"/>
        </w:rPr>
        <w:t>政拨款支出决算明细表</w:t>
      </w:r>
      <w:bookmarkEnd w:id="98"/>
      <w:bookmarkEnd w:id="99"/>
      <w:bookmarkStart w:id="100" w:name="_Toc15396624"/>
    </w:p>
    <w:p>
      <w:pPr>
        <w:pStyle w:val="4"/>
        <w:rPr>
          <w:rFonts w:ascii="仿宋" w:hAnsi="仿宋" w:eastAsia="仿宋"/>
        </w:rPr>
      </w:pPr>
      <w:bookmarkStart w:id="101" w:name="_Toc29087"/>
      <w:r>
        <w:rPr>
          <w:rStyle w:val="26"/>
          <w:rFonts w:hint="eastAsia" w:ascii="仿宋" w:hAnsi="仿宋" w:eastAsia="仿宋"/>
          <w:b w:val="0"/>
          <w:bCs w:val="0"/>
        </w:rPr>
        <w:t>六、</w:t>
      </w:r>
      <w:r>
        <w:rPr>
          <w:rFonts w:hint="eastAsia" w:ascii="仿宋" w:hAnsi="仿宋" w:eastAsia="仿宋"/>
          <w:b w:val="0"/>
        </w:rPr>
        <w:t>一</w:t>
      </w:r>
      <w:r>
        <w:rPr>
          <w:rStyle w:val="26"/>
          <w:rFonts w:hint="eastAsia" w:ascii="仿宋" w:hAnsi="仿宋" w:eastAsia="仿宋"/>
          <w:b w:val="0"/>
          <w:bCs w:val="0"/>
        </w:rPr>
        <w:t>般公共预算财政拨款支出决算表</w:t>
      </w:r>
      <w:bookmarkEnd w:id="100"/>
      <w:bookmarkEnd w:id="101"/>
    </w:p>
    <w:p>
      <w:pPr>
        <w:pStyle w:val="4"/>
        <w:rPr>
          <w:rFonts w:ascii="仿宋" w:hAnsi="仿宋" w:eastAsia="仿宋"/>
        </w:rPr>
      </w:pPr>
      <w:bookmarkStart w:id="102" w:name="_Toc7281"/>
      <w:bookmarkStart w:id="103" w:name="_Toc15396625"/>
      <w:r>
        <w:rPr>
          <w:rStyle w:val="26"/>
          <w:rFonts w:hint="eastAsia" w:ascii="仿宋" w:hAnsi="仿宋" w:eastAsia="仿宋"/>
          <w:b w:val="0"/>
          <w:bCs w:val="0"/>
        </w:rPr>
        <w:t>七、</w:t>
      </w:r>
      <w:r>
        <w:rPr>
          <w:rFonts w:hint="eastAsia" w:ascii="仿宋" w:hAnsi="仿宋" w:eastAsia="仿宋"/>
          <w:b w:val="0"/>
        </w:rPr>
        <w:t>一</w:t>
      </w:r>
      <w:r>
        <w:rPr>
          <w:rStyle w:val="26"/>
          <w:rFonts w:hint="eastAsia" w:ascii="仿宋" w:hAnsi="仿宋" w:eastAsia="仿宋"/>
          <w:b w:val="0"/>
          <w:bCs w:val="0"/>
        </w:rPr>
        <w:t>般公共预算财政拨款支出决算明细表</w:t>
      </w:r>
      <w:bookmarkEnd w:id="102"/>
      <w:bookmarkEnd w:id="103"/>
    </w:p>
    <w:p>
      <w:pPr>
        <w:pStyle w:val="4"/>
        <w:rPr>
          <w:rFonts w:ascii="仿宋" w:hAnsi="仿宋" w:eastAsia="仿宋"/>
        </w:rPr>
      </w:pPr>
      <w:bookmarkStart w:id="104" w:name="_Toc15396626"/>
      <w:bookmarkStart w:id="105" w:name="_Toc14325"/>
      <w:r>
        <w:rPr>
          <w:rStyle w:val="26"/>
          <w:rFonts w:hint="eastAsia" w:ascii="仿宋" w:hAnsi="仿宋" w:eastAsia="仿宋"/>
          <w:b w:val="0"/>
          <w:bCs w:val="0"/>
        </w:rPr>
        <w:t>八、</w:t>
      </w:r>
      <w:r>
        <w:rPr>
          <w:rFonts w:hint="eastAsia" w:ascii="仿宋" w:hAnsi="仿宋" w:eastAsia="仿宋"/>
          <w:b w:val="0"/>
        </w:rPr>
        <w:t>一</w:t>
      </w:r>
      <w:r>
        <w:rPr>
          <w:rStyle w:val="26"/>
          <w:rFonts w:hint="eastAsia" w:ascii="仿宋" w:hAnsi="仿宋" w:eastAsia="仿宋"/>
          <w:b w:val="0"/>
          <w:bCs w:val="0"/>
        </w:rPr>
        <w:t>般公共预算财政拨款基本支出决算表</w:t>
      </w:r>
      <w:bookmarkEnd w:id="104"/>
      <w:bookmarkEnd w:id="105"/>
    </w:p>
    <w:p>
      <w:pPr>
        <w:pStyle w:val="4"/>
        <w:rPr>
          <w:rFonts w:ascii="仿宋" w:hAnsi="仿宋" w:eastAsia="仿宋"/>
        </w:rPr>
      </w:pPr>
      <w:bookmarkStart w:id="106" w:name="_Toc15396627"/>
      <w:bookmarkStart w:id="107" w:name="_Toc13038"/>
      <w:r>
        <w:rPr>
          <w:rStyle w:val="26"/>
          <w:rFonts w:hint="eastAsia" w:ascii="仿宋" w:hAnsi="仿宋" w:eastAsia="仿宋"/>
          <w:b w:val="0"/>
          <w:bCs w:val="0"/>
        </w:rPr>
        <w:t>九、</w:t>
      </w:r>
      <w:r>
        <w:rPr>
          <w:rFonts w:hint="eastAsia" w:ascii="仿宋" w:hAnsi="仿宋" w:eastAsia="仿宋"/>
          <w:b w:val="0"/>
        </w:rPr>
        <w:t>一</w:t>
      </w:r>
      <w:r>
        <w:rPr>
          <w:rStyle w:val="26"/>
          <w:rFonts w:hint="eastAsia" w:ascii="仿宋" w:hAnsi="仿宋" w:eastAsia="仿宋"/>
          <w:b w:val="0"/>
          <w:bCs w:val="0"/>
        </w:rPr>
        <w:t>般公共预算财政拨款项目支出决算表</w:t>
      </w:r>
      <w:bookmarkEnd w:id="106"/>
      <w:bookmarkEnd w:id="107"/>
    </w:p>
    <w:p>
      <w:pPr>
        <w:pStyle w:val="4"/>
        <w:rPr>
          <w:rFonts w:ascii="仿宋" w:hAnsi="仿宋" w:eastAsia="仿宋"/>
        </w:rPr>
      </w:pPr>
      <w:bookmarkStart w:id="108" w:name="_Toc13609"/>
      <w:bookmarkStart w:id="109" w:name="_Toc15396628"/>
      <w:r>
        <w:rPr>
          <w:rStyle w:val="26"/>
          <w:rFonts w:hint="eastAsia" w:ascii="仿宋" w:hAnsi="仿宋" w:eastAsia="仿宋"/>
          <w:b w:val="0"/>
          <w:bCs w:val="0"/>
        </w:rPr>
        <w:t>十、</w:t>
      </w:r>
      <w:r>
        <w:rPr>
          <w:rFonts w:hint="eastAsia" w:ascii="仿宋" w:hAnsi="仿宋" w:eastAsia="仿宋"/>
          <w:b w:val="0"/>
        </w:rPr>
        <w:t>一</w:t>
      </w:r>
      <w:r>
        <w:rPr>
          <w:rStyle w:val="26"/>
          <w:rFonts w:hint="eastAsia" w:ascii="仿宋" w:hAnsi="仿宋" w:eastAsia="仿宋"/>
          <w:b w:val="0"/>
          <w:bCs w:val="0"/>
        </w:rPr>
        <w:t>般公共预算财政拨款“三公”经费支出决算表</w:t>
      </w:r>
      <w:bookmarkEnd w:id="108"/>
      <w:bookmarkEnd w:id="109"/>
    </w:p>
    <w:p>
      <w:pPr>
        <w:pStyle w:val="4"/>
        <w:rPr>
          <w:rFonts w:ascii="仿宋" w:hAnsi="仿宋" w:eastAsia="仿宋"/>
        </w:rPr>
      </w:pPr>
      <w:bookmarkStart w:id="110" w:name="_Toc501"/>
      <w:bookmarkStart w:id="111" w:name="_Toc15396629"/>
      <w:r>
        <w:rPr>
          <w:rStyle w:val="26"/>
          <w:rFonts w:hint="eastAsia" w:ascii="仿宋" w:hAnsi="仿宋" w:eastAsia="仿宋"/>
          <w:b w:val="0"/>
          <w:bCs w:val="0"/>
        </w:rPr>
        <w:t>十一、</w:t>
      </w:r>
      <w:r>
        <w:rPr>
          <w:rFonts w:hint="eastAsia" w:ascii="仿宋" w:hAnsi="仿宋" w:eastAsia="仿宋"/>
          <w:b w:val="0"/>
        </w:rPr>
        <w:t>政</w:t>
      </w:r>
      <w:r>
        <w:rPr>
          <w:rStyle w:val="26"/>
          <w:rFonts w:hint="eastAsia" w:ascii="仿宋" w:hAnsi="仿宋" w:eastAsia="仿宋"/>
          <w:b w:val="0"/>
          <w:bCs w:val="0"/>
        </w:rPr>
        <w:t>府性基金预算财政拨款收入支出决算表</w:t>
      </w:r>
      <w:bookmarkEnd w:id="110"/>
      <w:bookmarkEnd w:id="111"/>
    </w:p>
    <w:p>
      <w:pPr>
        <w:pStyle w:val="4"/>
        <w:rPr>
          <w:rFonts w:ascii="仿宋" w:hAnsi="仿宋" w:eastAsia="仿宋"/>
        </w:rPr>
      </w:pPr>
      <w:bookmarkStart w:id="112" w:name="_Toc23114"/>
      <w:bookmarkStart w:id="113" w:name="_Toc15396630"/>
      <w:r>
        <w:rPr>
          <w:rStyle w:val="26"/>
          <w:rFonts w:hint="eastAsia" w:ascii="仿宋" w:hAnsi="仿宋" w:eastAsia="仿宋"/>
          <w:b w:val="0"/>
          <w:bCs w:val="0"/>
        </w:rPr>
        <w:t>十二、</w:t>
      </w:r>
      <w:r>
        <w:rPr>
          <w:rFonts w:hint="eastAsia" w:ascii="仿宋" w:hAnsi="仿宋" w:eastAsia="仿宋"/>
          <w:b w:val="0"/>
        </w:rPr>
        <w:t>政</w:t>
      </w:r>
      <w:r>
        <w:rPr>
          <w:rStyle w:val="26"/>
          <w:rFonts w:hint="eastAsia" w:ascii="仿宋" w:hAnsi="仿宋" w:eastAsia="仿宋"/>
          <w:b w:val="0"/>
          <w:bCs w:val="0"/>
        </w:rPr>
        <w:t>府性基金预算财政拨款“三公”经费支出决算表</w:t>
      </w:r>
      <w:bookmarkEnd w:id="112"/>
      <w:bookmarkEnd w:id="113"/>
    </w:p>
    <w:p>
      <w:pPr>
        <w:pStyle w:val="4"/>
        <w:rPr>
          <w:rStyle w:val="26"/>
          <w:rFonts w:ascii="仿宋" w:hAnsi="仿宋" w:eastAsia="仿宋"/>
          <w:b w:val="0"/>
          <w:bCs w:val="0"/>
        </w:rPr>
      </w:pPr>
      <w:bookmarkStart w:id="114" w:name="_Toc10635"/>
      <w:bookmarkStart w:id="115" w:name="_Toc15396631"/>
      <w:r>
        <w:rPr>
          <w:rStyle w:val="26"/>
          <w:rFonts w:hint="eastAsia" w:ascii="仿宋" w:hAnsi="仿宋" w:eastAsia="仿宋"/>
          <w:b w:val="0"/>
          <w:bCs w:val="0"/>
        </w:rPr>
        <w:t>十三、</w:t>
      </w:r>
      <w:r>
        <w:rPr>
          <w:rFonts w:hint="eastAsia" w:ascii="仿宋" w:hAnsi="仿宋" w:eastAsia="仿宋"/>
          <w:b w:val="0"/>
        </w:rPr>
        <w:t>国</w:t>
      </w:r>
      <w:r>
        <w:rPr>
          <w:rStyle w:val="26"/>
          <w:rFonts w:hint="eastAsia" w:ascii="仿宋" w:hAnsi="仿宋" w:eastAsia="仿宋"/>
          <w:b w:val="0"/>
          <w:bCs w:val="0"/>
        </w:rPr>
        <w:t>有资本经营预算财政拨款收入支出决算表</w:t>
      </w:r>
      <w:bookmarkEnd w:id="114"/>
      <w:bookmarkEnd w:id="115"/>
    </w:p>
    <w:p>
      <w:pPr>
        <w:rPr>
          <w:rFonts w:eastAsia="仿宋"/>
        </w:rPr>
      </w:pPr>
      <w:bookmarkStart w:id="116" w:name="_Toc13750"/>
      <w:r>
        <w:rPr>
          <w:rStyle w:val="26"/>
          <w:rFonts w:hint="eastAsia" w:ascii="仿宋" w:hAnsi="仿宋" w:eastAsia="仿宋"/>
          <w:b w:val="0"/>
          <w:bCs w:val="0"/>
        </w:rPr>
        <w:t>十四、国有资本经营预算财政拨款支出决算表</w:t>
      </w:r>
      <w:bookmarkEnd w:id="116"/>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sz w:val="18"/>
      </w:rPr>
      <w:pict>
        <v:shape id="_x0000_s3075" o:spid="_x0000_s3075"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sdt>
                <w:sdtPr>
                  <w:id w:val="-1994781956"/>
                </w:sdtPr>
                <w:sdtContent>
                  <w:p>
                    <w:pPr>
                      <w:pStyle w:val="8"/>
                      <w:jc w:val="center"/>
                    </w:pPr>
                    <w:r>
                      <w:fldChar w:fldCharType="begin"/>
                    </w:r>
                    <w:r>
                      <w:instrText xml:space="preserve">PAGE   \* MERGEFORMAT</w:instrText>
                    </w:r>
                    <w:r>
                      <w:fldChar w:fldCharType="separate"/>
                    </w:r>
                    <w:r>
                      <w:rPr>
                        <w:lang w:val="zh-CN"/>
                      </w:rPr>
                      <w:t>17</w:t>
                    </w:r>
                    <w:r>
                      <w:fldChar w:fldCharType="end"/>
                    </w:r>
                  </w:p>
                </w:sdtContent>
              </w:sdt>
              <w:p>
                <w:pPr>
                  <w:pStyle w:val="2"/>
                </w:pPr>
              </w:p>
            </w:txbxContent>
          </v:textbox>
        </v:shape>
      </w:pict>
    </w: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F6FCD5F"/>
    <w:multiLevelType w:val="singleLevel"/>
    <w:tmpl w:val="EF6FCD5F"/>
    <w:lvl w:ilvl="0" w:tentative="0">
      <w:start w:val="1"/>
      <w:numFmt w:val="decimal"/>
      <w:lvlText w:val="%1."/>
      <w:lvlJc w:val="left"/>
      <w:pPr>
        <w:tabs>
          <w:tab w:val="left" w:pos="312"/>
        </w:tabs>
      </w:p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3E8DEBDC"/>
    <w:multiLevelType w:val="singleLevel"/>
    <w:tmpl w:val="3E8DEBDC"/>
    <w:lvl w:ilvl="0" w:tentative="0">
      <w:start w:val="1"/>
      <w:numFmt w:val="chineseCounting"/>
      <w:suff w:val="nothing"/>
      <w:lvlText w:val="%1、"/>
      <w:lvlJc w:val="left"/>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ThmZjdjODhlZDU2MmJhOGM3Y2NhYmZmNzU0YWQ1OTA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0F08"/>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41E1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50BB"/>
    <w:rsid w:val="00F36D8F"/>
    <w:rsid w:val="00F417B1"/>
    <w:rsid w:val="00F45853"/>
    <w:rsid w:val="00F602DF"/>
    <w:rsid w:val="00F754A1"/>
    <w:rsid w:val="00F81FD9"/>
    <w:rsid w:val="00F841AA"/>
    <w:rsid w:val="00F84A94"/>
    <w:rsid w:val="00F87E96"/>
    <w:rsid w:val="00FA23E8"/>
    <w:rsid w:val="00FC22E2"/>
    <w:rsid w:val="00FD3CC1"/>
    <w:rsid w:val="00FF1E02"/>
    <w:rsid w:val="00FF30B4"/>
    <w:rsid w:val="04EF43C3"/>
    <w:rsid w:val="076F660F"/>
    <w:rsid w:val="0A2032A3"/>
    <w:rsid w:val="0B8A37D8"/>
    <w:rsid w:val="0BFB05B5"/>
    <w:rsid w:val="10C055FF"/>
    <w:rsid w:val="118107EC"/>
    <w:rsid w:val="11DD6519"/>
    <w:rsid w:val="14364968"/>
    <w:rsid w:val="16BB723D"/>
    <w:rsid w:val="171049D5"/>
    <w:rsid w:val="18015F3F"/>
    <w:rsid w:val="1BE8440E"/>
    <w:rsid w:val="1BF62456"/>
    <w:rsid w:val="1D155CEE"/>
    <w:rsid w:val="20F57F95"/>
    <w:rsid w:val="223734EE"/>
    <w:rsid w:val="240371BF"/>
    <w:rsid w:val="25803081"/>
    <w:rsid w:val="25C741E6"/>
    <w:rsid w:val="27842671"/>
    <w:rsid w:val="29FD04D3"/>
    <w:rsid w:val="2ABE7A3E"/>
    <w:rsid w:val="2CBD66B3"/>
    <w:rsid w:val="2EFA178C"/>
    <w:rsid w:val="2F6B0A5B"/>
    <w:rsid w:val="30B46D73"/>
    <w:rsid w:val="319F7F4E"/>
    <w:rsid w:val="33BE3DB5"/>
    <w:rsid w:val="3928243A"/>
    <w:rsid w:val="39AE70AB"/>
    <w:rsid w:val="3BC02232"/>
    <w:rsid w:val="3C0C0783"/>
    <w:rsid w:val="3C4130B1"/>
    <w:rsid w:val="3F446F65"/>
    <w:rsid w:val="3F9F3A96"/>
    <w:rsid w:val="423D7815"/>
    <w:rsid w:val="434065A5"/>
    <w:rsid w:val="493C27E9"/>
    <w:rsid w:val="496F39ED"/>
    <w:rsid w:val="49FF41D3"/>
    <w:rsid w:val="4BE068DB"/>
    <w:rsid w:val="4BF6002B"/>
    <w:rsid w:val="4ECE2238"/>
    <w:rsid w:val="51385DDC"/>
    <w:rsid w:val="51DB4B86"/>
    <w:rsid w:val="52E97470"/>
    <w:rsid w:val="55333C3E"/>
    <w:rsid w:val="5EF234FB"/>
    <w:rsid w:val="5FB11D87"/>
    <w:rsid w:val="644115E4"/>
    <w:rsid w:val="64CA39A1"/>
    <w:rsid w:val="658B6DAD"/>
    <w:rsid w:val="67346C1B"/>
    <w:rsid w:val="6927029E"/>
    <w:rsid w:val="69C95BC0"/>
    <w:rsid w:val="6C4A05C8"/>
    <w:rsid w:val="72734D90"/>
    <w:rsid w:val="7327658A"/>
    <w:rsid w:val="75987878"/>
    <w:rsid w:val="79E7B28D"/>
    <w:rsid w:val="7F9F20EE"/>
    <w:rsid w:val="9E3A10E2"/>
    <w:rsid w:val="F2E1F9D4"/>
    <w:rsid w:val="F788081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9"/>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2"/>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28"/>
    <w:semiHidden/>
    <w:unhideWhenUsed/>
    <w:qFormat/>
    <w:uiPriority w:val="99"/>
    <w:rPr>
      <w:sz w:val="18"/>
      <w:szCs w:val="18"/>
    </w:rPr>
  </w:style>
  <w:style w:type="paragraph" w:styleId="8">
    <w:name w:val="footer"/>
    <w:basedOn w:val="1"/>
    <w:link w:val="20"/>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18"/>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paragraph" w:styleId="12">
    <w:name w:val="Normal (Web)"/>
    <w:basedOn w:val="1"/>
    <w:semiHidden/>
    <w:qFormat/>
    <w:uiPriority w:val="99"/>
    <w:pPr>
      <w:widowControl/>
      <w:jc w:val="left"/>
    </w:pPr>
    <w:rPr>
      <w:rFonts w:ascii="宋体" w:hAnsi="宋体" w:cs="宋体"/>
      <w:kern w:val="0"/>
      <w:sz w:val="24"/>
      <w:szCs w:val="24"/>
    </w:rPr>
  </w:style>
  <w:style w:type="character" w:styleId="15">
    <w:name w:val="Strong"/>
    <w:basedOn w:val="14"/>
    <w:qFormat/>
    <w:uiPriority w:val="99"/>
    <w:rPr>
      <w:b/>
    </w:rPr>
  </w:style>
  <w:style w:type="character" w:styleId="16">
    <w:name w:val="Hyperlink"/>
    <w:basedOn w:val="14"/>
    <w:unhideWhenUsed/>
    <w:qFormat/>
    <w:uiPriority w:val="99"/>
    <w:rPr>
      <w:color w:val="0000FF" w:themeColor="hyperlink"/>
      <w:u w:val="single"/>
    </w:rPr>
  </w:style>
  <w:style w:type="character" w:customStyle="1" w:styleId="17">
    <w:name w:val="Header Char"/>
    <w:basedOn w:val="14"/>
    <w:semiHidden/>
    <w:qFormat/>
    <w:uiPriority w:val="99"/>
    <w:rPr>
      <w:rFonts w:ascii="Times New Roman" w:hAnsi="Times New Roman"/>
      <w:sz w:val="18"/>
      <w:szCs w:val="18"/>
    </w:rPr>
  </w:style>
  <w:style w:type="character" w:customStyle="1" w:styleId="18">
    <w:name w:val="页眉 Char"/>
    <w:link w:val="9"/>
    <w:semiHidden/>
    <w:qFormat/>
    <w:locked/>
    <w:uiPriority w:val="99"/>
    <w:rPr>
      <w:sz w:val="18"/>
    </w:rPr>
  </w:style>
  <w:style w:type="character" w:customStyle="1" w:styleId="19">
    <w:name w:val="Footer Char"/>
    <w:basedOn w:val="14"/>
    <w:semiHidden/>
    <w:qFormat/>
    <w:uiPriority w:val="99"/>
    <w:rPr>
      <w:rFonts w:ascii="Times New Roman" w:hAnsi="Times New Roman"/>
      <w:sz w:val="18"/>
      <w:szCs w:val="18"/>
    </w:rPr>
  </w:style>
  <w:style w:type="character" w:customStyle="1" w:styleId="20">
    <w:name w:val="页脚 Char"/>
    <w:link w:val="8"/>
    <w:qFormat/>
    <w:locked/>
    <w:uiPriority w:val="99"/>
    <w:rPr>
      <w:sz w:val="18"/>
    </w:rPr>
  </w:style>
  <w:style w:type="character" w:customStyle="1" w:styleId="21">
    <w:name w:val="Body Text Char"/>
    <w:basedOn w:val="14"/>
    <w:semiHidden/>
    <w:qFormat/>
    <w:uiPriority w:val="99"/>
    <w:rPr>
      <w:rFonts w:ascii="Times New Roman" w:hAnsi="Times New Roman"/>
      <w:szCs w:val="24"/>
    </w:rPr>
  </w:style>
  <w:style w:type="character" w:customStyle="1" w:styleId="22">
    <w:name w:val="正文文本 Char"/>
    <w:link w:val="2"/>
    <w:qFormat/>
    <w:locked/>
    <w:uiPriority w:val="99"/>
    <w:rPr>
      <w:rFonts w:ascii="仿宋_GB2312" w:hAnsi="Times New Roman" w:eastAsia="仿宋_GB2312"/>
      <w:sz w:val="24"/>
    </w:rPr>
  </w:style>
  <w:style w:type="paragraph" w:customStyle="1" w:styleId="23">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4">
    <w:name w:val="List Paragraph"/>
    <w:basedOn w:val="1"/>
    <w:qFormat/>
    <w:uiPriority w:val="34"/>
    <w:pPr>
      <w:ind w:firstLine="420" w:firstLineChars="200"/>
    </w:pPr>
  </w:style>
  <w:style w:type="character" w:customStyle="1" w:styleId="25">
    <w:name w:val="标题 1 Char"/>
    <w:basedOn w:val="14"/>
    <w:link w:val="3"/>
    <w:qFormat/>
    <w:uiPriority w:val="9"/>
    <w:rPr>
      <w:rFonts w:ascii="Times New Roman" w:hAnsi="Times New Roman"/>
      <w:b/>
      <w:bCs/>
      <w:kern w:val="44"/>
      <w:sz w:val="44"/>
      <w:szCs w:val="44"/>
    </w:rPr>
  </w:style>
  <w:style w:type="character" w:customStyle="1" w:styleId="26">
    <w:name w:val="标题 2 Char"/>
    <w:basedOn w:val="14"/>
    <w:link w:val="4"/>
    <w:qFormat/>
    <w:uiPriority w:val="9"/>
    <w:rPr>
      <w:rFonts w:asciiTheme="majorHAnsi" w:hAnsiTheme="majorHAnsi" w:eastAsiaTheme="majorEastAsia" w:cstheme="majorBidi"/>
      <w:b/>
      <w:bCs/>
      <w:kern w:val="2"/>
      <w:sz w:val="32"/>
      <w:szCs w:val="32"/>
    </w:rPr>
  </w:style>
  <w:style w:type="paragraph" w:customStyle="1" w:styleId="27">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8">
    <w:name w:val="批注框文本 Char"/>
    <w:basedOn w:val="14"/>
    <w:link w:val="7"/>
    <w:semiHidden/>
    <w:qFormat/>
    <w:uiPriority w:val="99"/>
    <w:rPr>
      <w:rFonts w:ascii="Times New Roman" w:hAnsi="Times New Roman"/>
      <w:kern w:val="2"/>
      <w:sz w:val="18"/>
      <w:szCs w:val="18"/>
    </w:rPr>
  </w:style>
  <w:style w:type="character" w:customStyle="1" w:styleId="29">
    <w:name w:val="标题 3 Char"/>
    <w:basedOn w:val="14"/>
    <w:link w:val="5"/>
    <w:qFormat/>
    <w:uiPriority w:val="9"/>
    <w:rPr>
      <w:rFonts w:ascii="Times New Roman" w:hAnsi="Times New Roman"/>
      <w:b/>
      <w:bCs/>
      <w:kern w:val="2"/>
      <w:sz w:val="32"/>
      <w:szCs w:val="32"/>
    </w:rPr>
  </w:style>
  <w:style w:type="paragraph" w:customStyle="1" w:styleId="30">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1">
    <w:name w:val="font61"/>
    <w:basedOn w:val="14"/>
    <w:qFormat/>
    <w:uiPriority w:val="0"/>
    <w:rPr>
      <w:rFonts w:hint="eastAsia" w:ascii="微软雅黑" w:hAnsi="微软雅黑" w:eastAsia="微软雅黑" w:cs="微软雅黑"/>
      <w:color w:val="000000"/>
      <w:sz w:val="18"/>
      <w:szCs w:val="18"/>
      <w:u w:val="none"/>
    </w:rPr>
  </w:style>
  <w:style w:type="character" w:customStyle="1" w:styleId="32">
    <w:name w:val="font01"/>
    <w:basedOn w:val="14"/>
    <w:qFormat/>
    <w:uiPriority w:val="0"/>
    <w:rPr>
      <w:rFonts w:hint="eastAsia" w:ascii="仿宋_GB2312" w:eastAsia="仿宋_GB2312" w:cs="仿宋_GB2312"/>
      <w:color w:val="000000"/>
      <w:sz w:val="18"/>
      <w:szCs w:val="18"/>
      <w:u w:val="none"/>
    </w:rPr>
  </w:style>
  <w:style w:type="paragraph" w:customStyle="1" w:styleId="33">
    <w:name w:val="WPSOffice手动目录 1"/>
    <w:qFormat/>
    <w:uiPriority w:val="0"/>
    <w:pPr>
      <w:ind w:leftChars="0"/>
    </w:pPr>
    <w:rPr>
      <w:rFonts w:ascii="Times New Roman" w:hAnsi="Times New Roman" w:eastAsia="宋体" w:cs="Times New Roman"/>
      <w:sz w:val="20"/>
      <w:szCs w:val="20"/>
    </w:rPr>
  </w:style>
  <w:style w:type="paragraph" w:customStyle="1" w:styleId="34">
    <w:name w:val="WPSOffice手动目录 2"/>
    <w:qFormat/>
    <w:uiPriority w:val="0"/>
    <w:pPr>
      <w:ind w:leftChars="200"/>
    </w:pPr>
    <w:rPr>
      <w:rFonts w:ascii="Times New Roman" w:hAnsi="Times New Roman" w:eastAsia="宋体" w:cs="Times New Roman"/>
      <w:sz w:val="20"/>
      <w:szCs w:val="20"/>
    </w:rPr>
  </w:style>
  <w:style w:type="paragraph" w:customStyle="1" w:styleId="35">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chart" Target="charts/chart3.xml"/><Relationship Id="rId8" Type="http://schemas.openxmlformats.org/officeDocument/2006/relationships/chart" Target="charts/chart2.xml"/><Relationship Id="rId7" Type="http://schemas.openxmlformats.org/officeDocument/2006/relationships/chart" Target="charts/chart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chart" Target="charts/chart6.xml"/><Relationship Id="rId11" Type="http://schemas.openxmlformats.org/officeDocument/2006/relationships/chart" Target="charts/chart5.xml"/><Relationship Id="rId10" Type="http://schemas.openxmlformats.org/officeDocument/2006/relationships/chart" Target="charts/chart4.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6.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768119431736094"/>
          <c:y val="0.0848297213622291"/>
          <c:w val="0.764026005297375"/>
          <c:h val="0.846233230134159"/>
        </c:manualLayout>
      </c:layout>
      <c:barChart>
        <c:barDir val="col"/>
        <c:grouping val="clustered"/>
        <c:varyColors val="0"/>
        <c:ser>
          <c:idx val="0"/>
          <c:order val="0"/>
          <c:tx>
            <c:strRef>
              <c:f>Sheet1!$B$1</c:f>
              <c:strCache>
                <c:ptCount val="1"/>
                <c:pt idx="0">
                  <c:v>2020年</c:v>
                </c:pt>
              </c:strCache>
            </c:strRef>
          </c:tx>
          <c:invertIfNegative val="0"/>
          <c:dLbls>
            <c:delete val="1"/>
          </c:dLbls>
          <c:cat>
            <c:strRef>
              <c:f>Sheet1!$A$2:$A$3</c:f>
              <c:strCache>
                <c:ptCount val="2"/>
                <c:pt idx="0">
                  <c:v>收入</c:v>
                </c:pt>
                <c:pt idx="1">
                  <c:v>支出</c:v>
                </c:pt>
              </c:strCache>
            </c:strRef>
          </c:cat>
          <c:val>
            <c:numRef>
              <c:f>Sheet1!$B$2:$B$3</c:f>
              <c:numCache>
                <c:formatCode>General</c:formatCode>
                <c:ptCount val="2"/>
                <c:pt idx="0">
                  <c:v>50.03</c:v>
                </c:pt>
                <c:pt idx="1">
                  <c:v>50.03</c:v>
                </c:pt>
              </c:numCache>
            </c:numRef>
          </c:val>
        </c:ser>
        <c:ser>
          <c:idx val="1"/>
          <c:order val="1"/>
          <c:tx>
            <c:strRef>
              <c:f>Sheet1!$C$1</c:f>
              <c:strCache>
                <c:ptCount val="1"/>
                <c:pt idx="0">
                  <c:v>2021年</c:v>
                </c:pt>
              </c:strCache>
            </c:strRef>
          </c:tx>
          <c:invertIfNegative val="0"/>
          <c:dLbls>
            <c:delete val="1"/>
          </c:dLbls>
          <c:cat>
            <c:strRef>
              <c:f>Sheet1!$A$2:$A$3</c:f>
              <c:strCache>
                <c:ptCount val="2"/>
                <c:pt idx="0">
                  <c:v>收入</c:v>
                </c:pt>
                <c:pt idx="1">
                  <c:v>支出</c:v>
                </c:pt>
              </c:strCache>
            </c:strRef>
          </c:cat>
          <c:val>
            <c:numRef>
              <c:f>Sheet1!$C$2:$C$3</c:f>
              <c:numCache>
                <c:formatCode>General</c:formatCode>
                <c:ptCount val="2"/>
                <c:pt idx="0">
                  <c:v>76.08</c:v>
                </c:pt>
                <c:pt idx="1">
                  <c:v>76.08</c:v>
                </c:pt>
              </c:numCache>
            </c:numRef>
          </c:val>
        </c:ser>
        <c:dLbls>
          <c:showLegendKey val="0"/>
          <c:showVal val="0"/>
          <c:showCatName val="0"/>
          <c:showSerName val="0"/>
          <c:showPercent val="0"/>
          <c:showBubbleSize val="0"/>
        </c:dLbls>
        <c:gapWidth val="150"/>
        <c:axId val="177253376"/>
        <c:axId val="177304320"/>
      </c:barChart>
      <c:catAx>
        <c:axId val="177253376"/>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77304320"/>
        <c:crosses val="autoZero"/>
        <c:auto val="1"/>
        <c:lblAlgn val="ctr"/>
        <c:lblOffset val="100"/>
        <c:noMultiLvlLbl val="0"/>
      </c:catAx>
      <c:valAx>
        <c:axId val="17730432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77253376"/>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收入</c:v>
                </c:pt>
              </c:strCache>
            </c:strRef>
          </c:tx>
          <c:explosion val="0"/>
          <c:dPt>
            <c:idx val="0"/>
            <c:bubble3D val="0"/>
          </c:dPt>
          <c:dPt>
            <c:idx val="1"/>
            <c:bubble3D val="0"/>
          </c:dPt>
          <c:dPt>
            <c:idx val="2"/>
            <c:bubble3D val="0"/>
          </c:dPt>
          <c:dPt>
            <c:idx val="3"/>
            <c:bubble3D val="0"/>
          </c:dPt>
          <c:dPt>
            <c:idx val="4"/>
            <c:bubble3D val="0"/>
          </c:dPt>
          <c:dPt>
            <c:idx val="5"/>
            <c:bubble3D val="0"/>
          </c:dPt>
          <c:dPt>
            <c:idx val="6"/>
            <c:bubble3D val="0"/>
          </c:dPt>
          <c:dLbls>
            <c:delete val="1"/>
          </c:dLbls>
          <c:cat>
            <c:strRef>
              <c:f>Sheet1!$A$2:$A$8</c:f>
              <c:strCache>
                <c:ptCount val="7"/>
                <c:pt idx="0">
                  <c:v>一般公共预算财政拨款收入</c:v>
                </c:pt>
                <c:pt idx="1">
                  <c:v>政府性基金预算财政拨款收入</c:v>
                </c:pt>
                <c:pt idx="2">
                  <c:v>上级补助收入</c:v>
                </c:pt>
                <c:pt idx="3">
                  <c:v>事业收入</c:v>
                </c:pt>
                <c:pt idx="4">
                  <c:v>经营收入</c:v>
                </c:pt>
                <c:pt idx="5">
                  <c:v>附属单位上缴收入</c:v>
                </c:pt>
                <c:pt idx="6">
                  <c:v>其他收入</c:v>
                </c:pt>
              </c:strCache>
            </c:strRef>
          </c:cat>
          <c:val>
            <c:numRef>
              <c:f>Sheet1!$B$2:$B$8</c:f>
              <c:numCache>
                <c:formatCode>General</c:formatCode>
                <c:ptCount val="7"/>
                <c:pt idx="0">
                  <c:v>76.08</c:v>
                </c:pt>
              </c:numCache>
            </c:numRef>
          </c:val>
        </c:ser>
        <c:dLbls>
          <c:showLegendKey val="0"/>
          <c:showVal val="0"/>
          <c:showCatName val="0"/>
          <c:showSerName val="0"/>
          <c:showPercent val="0"/>
          <c:showBubbleSize val="0"/>
          <c:showLeaderLines val="1"/>
        </c:dLbls>
        <c:firstSliceAng val="0"/>
      </c:pieChart>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2020年支出</c:v>
                </c:pt>
              </c:strCache>
            </c:strRef>
          </c:tx>
          <c:explosion val="0"/>
          <c:dPt>
            <c:idx val="0"/>
            <c:bubble3D val="0"/>
          </c:dPt>
          <c:dPt>
            <c:idx val="1"/>
            <c:bubble3D val="0"/>
          </c:dPt>
          <c:dPt>
            <c:idx val="2"/>
            <c:bubble3D val="0"/>
          </c:dPt>
          <c:dPt>
            <c:idx val="3"/>
            <c:bubble3D val="0"/>
          </c:dPt>
          <c:dPt>
            <c:idx val="4"/>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Sheet1!$A$2:$A$6</c:f>
              <c:strCache>
                <c:ptCount val="5"/>
                <c:pt idx="0">
                  <c:v>基本支出</c:v>
                </c:pt>
                <c:pt idx="1">
                  <c:v>项目支出</c:v>
                </c:pt>
                <c:pt idx="2">
                  <c:v>上缴上级支出</c:v>
                </c:pt>
                <c:pt idx="3">
                  <c:v>经营支出</c:v>
                </c:pt>
                <c:pt idx="4">
                  <c:v>对附属单位补助支出</c:v>
                </c:pt>
              </c:strCache>
            </c:strRef>
          </c:cat>
          <c:val>
            <c:numRef>
              <c:f>Sheet1!$B$2:$B$6</c:f>
              <c:numCache>
                <c:formatCode>General</c:formatCode>
                <c:ptCount val="5"/>
                <c:pt idx="0">
                  <c:v>76.38</c:v>
                </c:pt>
              </c:numCache>
            </c:numRef>
          </c:val>
        </c:ser>
        <c:dLbls>
          <c:showLegendKey val="0"/>
          <c:showVal val="0"/>
          <c:showCatName val="0"/>
          <c:showSerName val="0"/>
          <c:showPercent val="1"/>
          <c:showBubbleSize val="0"/>
          <c:showLeaderLines val="1"/>
        </c:dLbls>
        <c:firstSliceAng val="0"/>
      </c:pieChart>
    </c:plotArea>
    <c:legend>
      <c:legendPos val="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2020年</c:v>
                </c:pt>
              </c:strCache>
            </c:strRef>
          </c:tx>
          <c:invertIfNegative val="0"/>
          <c:dLbls>
            <c:delete val="1"/>
          </c:dLbls>
          <c:cat>
            <c:strRef>
              <c:f>Sheet1!$A$2:$A$3</c:f>
              <c:strCache>
                <c:ptCount val="2"/>
                <c:pt idx="0">
                  <c:v>收入</c:v>
                </c:pt>
                <c:pt idx="1">
                  <c:v>支出</c:v>
                </c:pt>
              </c:strCache>
            </c:strRef>
          </c:cat>
          <c:val>
            <c:numRef>
              <c:f>Sheet1!$B$2:$B$3</c:f>
              <c:numCache>
                <c:formatCode>General</c:formatCode>
                <c:ptCount val="2"/>
                <c:pt idx="0">
                  <c:v>50.03</c:v>
                </c:pt>
                <c:pt idx="1">
                  <c:v>50.03</c:v>
                </c:pt>
              </c:numCache>
            </c:numRef>
          </c:val>
        </c:ser>
        <c:ser>
          <c:idx val="1"/>
          <c:order val="1"/>
          <c:tx>
            <c:strRef>
              <c:f>Sheet1!$C$1</c:f>
              <c:strCache>
                <c:ptCount val="1"/>
                <c:pt idx="0">
                  <c:v>2021年</c:v>
                </c:pt>
              </c:strCache>
            </c:strRef>
          </c:tx>
          <c:invertIfNegative val="0"/>
          <c:dLbls>
            <c:delete val="1"/>
          </c:dLbls>
          <c:cat>
            <c:strRef>
              <c:f>Sheet1!$A$2:$A$3</c:f>
              <c:strCache>
                <c:ptCount val="2"/>
                <c:pt idx="0">
                  <c:v>收入</c:v>
                </c:pt>
                <c:pt idx="1">
                  <c:v>支出</c:v>
                </c:pt>
              </c:strCache>
            </c:strRef>
          </c:cat>
          <c:val>
            <c:numRef>
              <c:f>Sheet1!$C$2:$C$3</c:f>
              <c:numCache>
                <c:formatCode>General</c:formatCode>
                <c:ptCount val="2"/>
                <c:pt idx="0">
                  <c:v>76.08</c:v>
                </c:pt>
                <c:pt idx="1">
                  <c:v>76.38</c:v>
                </c:pt>
              </c:numCache>
            </c:numRef>
          </c:val>
        </c:ser>
        <c:dLbls>
          <c:showLegendKey val="0"/>
          <c:showVal val="0"/>
          <c:showCatName val="0"/>
          <c:showSerName val="0"/>
          <c:showPercent val="0"/>
          <c:showBubbleSize val="0"/>
        </c:dLbls>
        <c:gapWidth val="150"/>
        <c:axId val="157152384"/>
        <c:axId val="157153920"/>
      </c:barChart>
      <c:catAx>
        <c:axId val="157152384"/>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57153920"/>
        <c:crosses val="autoZero"/>
        <c:auto val="1"/>
        <c:lblAlgn val="ctr"/>
        <c:lblOffset val="100"/>
        <c:noMultiLvlLbl val="0"/>
      </c:catAx>
      <c:valAx>
        <c:axId val="15715392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57152384"/>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一般公共预算财政拨款支出</c:v>
                </c:pt>
              </c:strCache>
            </c:strRef>
          </c:tx>
          <c:invertIfNegative val="0"/>
          <c:dLbls>
            <c:delete val="1"/>
          </c:dLbls>
          <c:cat>
            <c:strRef>
              <c:f>Sheet1!$A$2:$A$3</c:f>
              <c:strCache>
                <c:ptCount val="2"/>
                <c:pt idx="0">
                  <c:v>2020年</c:v>
                </c:pt>
                <c:pt idx="1">
                  <c:v>2021年</c:v>
                </c:pt>
              </c:strCache>
            </c:strRef>
          </c:cat>
          <c:val>
            <c:numRef>
              <c:f>Sheet1!$B$2:$B$3</c:f>
              <c:numCache>
                <c:formatCode>General</c:formatCode>
                <c:ptCount val="2"/>
                <c:pt idx="0">
                  <c:v>50.03</c:v>
                </c:pt>
                <c:pt idx="1">
                  <c:v>76.38</c:v>
                </c:pt>
              </c:numCache>
            </c:numRef>
          </c:val>
        </c:ser>
        <c:dLbls>
          <c:showLegendKey val="0"/>
          <c:showVal val="0"/>
          <c:showCatName val="0"/>
          <c:showSerName val="0"/>
          <c:showPercent val="0"/>
          <c:showBubbleSize val="0"/>
        </c:dLbls>
        <c:gapWidth val="150"/>
        <c:axId val="179087616"/>
        <c:axId val="179093504"/>
      </c:barChart>
      <c:catAx>
        <c:axId val="179087616"/>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79093504"/>
        <c:crosses val="autoZero"/>
        <c:auto val="1"/>
        <c:lblAlgn val="ctr"/>
        <c:lblOffset val="100"/>
        <c:noMultiLvlLbl val="0"/>
      </c:catAx>
      <c:valAx>
        <c:axId val="179093504"/>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79087616"/>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一般公共预算财政拨款支出</c:v>
                </c:pt>
              </c:strCache>
            </c:strRef>
          </c:tx>
          <c:explosion val="0"/>
          <c:dPt>
            <c:idx val="0"/>
            <c:bubble3D val="0"/>
          </c:dPt>
          <c:dPt>
            <c:idx val="1"/>
            <c:bubble3D val="0"/>
          </c:dPt>
          <c:dPt>
            <c:idx val="2"/>
            <c:bubble3D val="0"/>
          </c:dPt>
          <c:dPt>
            <c:idx val="3"/>
            <c:bubble3D val="0"/>
          </c:dPt>
          <c:dLbls>
            <c:delete val="1"/>
          </c:dLbls>
          <c:cat>
            <c:strRef>
              <c:f>Sheet1!$A$2:$A$5</c:f>
              <c:strCache>
                <c:ptCount val="4"/>
                <c:pt idx="0">
                  <c:v>社会保障和就业（类）支出</c:v>
                </c:pt>
                <c:pt idx="1">
                  <c:v>卫生健康支出</c:v>
                </c:pt>
                <c:pt idx="2">
                  <c:v>交通运输支出</c:v>
                </c:pt>
                <c:pt idx="3">
                  <c:v>住房保障支出</c:v>
                </c:pt>
              </c:strCache>
            </c:strRef>
          </c:cat>
          <c:val>
            <c:numRef>
              <c:f>Sheet1!$B$2:$B$5</c:f>
              <c:numCache>
                <c:formatCode>General</c:formatCode>
                <c:ptCount val="4"/>
                <c:pt idx="0">
                  <c:v>15.74</c:v>
                </c:pt>
                <c:pt idx="1">
                  <c:v>3.69</c:v>
                </c:pt>
                <c:pt idx="2">
                  <c:v>51.98</c:v>
                </c:pt>
                <c:pt idx="3">
                  <c:v>4.96</c:v>
                </c:pt>
              </c:numCache>
            </c:numRef>
          </c:val>
        </c:ser>
        <c:dLbls>
          <c:showLegendKey val="0"/>
          <c:showVal val="0"/>
          <c:showCatName val="0"/>
          <c:showSerName val="0"/>
          <c:showPercent val="0"/>
          <c:showBubbleSize val="0"/>
          <c:showLeaderLines val="1"/>
        </c:dLbls>
        <c:firstSliceAng val="0"/>
      </c:pieChart>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3075"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17</Pages>
  <Words>5015</Words>
  <Characters>5568</Characters>
  <Lines>44</Lines>
  <Paragraphs>12</Paragraphs>
  <TotalTime>4</TotalTime>
  <ScaleCrop>false</ScaleCrop>
  <LinksUpToDate>false</LinksUpToDate>
  <CharactersWithSpaces>5634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2022-10-07T01:09:00Z</dcterms:created>
  <dc:creator>曹颖</dc:creator>
  <cp:lastModifiedBy>办公室</cp:lastModifiedBy>
  <cp:lastPrinted>2022-08-06T02:23:00Z</cp:lastPrinted>
  <dcterms:modified xsi:type="dcterms:W3CDTF">2023-04-11T07:30:31Z</dcterms:modified>
  <dc:title>四川省***</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ED7C77A5BA914946A5CB608692219FE2</vt:lpwstr>
  </property>
</Properties>
</file>