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475"/>
      <w:bookmarkStart w:id="2" w:name="_Toc15377193"/>
      <w:bookmarkStart w:id="3" w:name="_Toc28214"/>
      <w:bookmarkStart w:id="4" w:name="_Toc15378441"/>
      <w:bookmarkStart w:id="5" w:name="_Toc15377425"/>
      <w:bookmarkStart w:id="6" w:name="_Toc31304"/>
      <w:bookmarkStart w:id="7" w:name="_Toc15396597"/>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15396598"/>
      <w:bookmarkStart w:id="9" w:name="_Toc15378442"/>
      <w:bookmarkStart w:id="10" w:name="_Toc15396476"/>
      <w:bookmarkStart w:id="11" w:name="_Toc23730"/>
      <w:bookmarkStart w:id="12" w:name="_Toc18524"/>
      <w:bookmarkStart w:id="13" w:name="_Toc15377194"/>
      <w:bookmarkStart w:id="14" w:name="_Toc15377426"/>
      <w:r>
        <w:rPr>
          <w:rFonts w:hint="eastAsia" w:ascii="方正小标宋简体" w:hAnsi="方正小标宋简体" w:eastAsia="方正小标宋简体" w:cs="方正小标宋简体"/>
          <w:sz w:val="72"/>
          <w:szCs w:val="72"/>
        </w:rPr>
        <w:t>盐边县</w:t>
      </w:r>
      <w:bookmarkEnd w:id="0"/>
      <w:bookmarkStart w:id="15" w:name="_Toc15306268"/>
      <w:r>
        <w:rPr>
          <w:rFonts w:hint="eastAsia" w:ascii="方正小标宋简体" w:hAnsi="方正小标宋简体" w:eastAsia="方正小标宋简体" w:cs="方正小标宋简体"/>
          <w:sz w:val="72"/>
          <w:szCs w:val="72"/>
        </w:rPr>
        <w:t>财政国库支付中心单位决算</w:t>
      </w:r>
      <w:bookmarkEnd w:id="8"/>
      <w:bookmarkEnd w:id="9"/>
      <w:bookmarkEnd w:id="10"/>
      <w:bookmarkEnd w:id="11"/>
      <w:bookmarkEnd w:id="12"/>
      <w:bookmarkEnd w:id="13"/>
      <w:bookmarkEnd w:id="14"/>
      <w:bookmarkEnd w:id="15"/>
    </w:p>
    <w:p>
      <w:pPr>
        <w:widowControl/>
        <w:jc w:val="center"/>
        <w:rPr>
          <w:rFonts w:ascii="仿宋_GB2312" w:hAnsi="仿宋_GB2312" w:eastAsia="仿宋_GB2312" w:cs="仿宋_GB2312"/>
          <w:sz w:val="28"/>
          <w:szCs w:val="28"/>
        </w:rPr>
      </w:pPr>
      <w:r>
        <w:rPr>
          <w:rFonts w:ascii="方正小标宋简体" w:hAnsi="宋体" w:eastAsia="方正小标宋简体"/>
          <w:sz w:val="36"/>
          <w:szCs w:val="36"/>
        </w:rPr>
        <w:br w:type="page"/>
      </w:r>
      <w:r>
        <w:rPr>
          <w:rFonts w:hint="eastAsia" w:ascii="仿宋_GB2312" w:hAnsi="仿宋_GB2312" w:eastAsia="仿宋_GB2312" w:cs="仿宋_GB2312"/>
          <w:sz w:val="28"/>
          <w:szCs w:val="28"/>
        </w:rPr>
        <w:t>目录</w:t>
      </w:r>
    </w:p>
    <w:p>
      <w:pPr>
        <w:widowControl/>
        <w:jc w:val="center"/>
        <w:rPr>
          <w:rFonts w:ascii="仿宋_GB2312" w:hAnsi="仿宋_GB2312" w:eastAsia="仿宋_GB2312" w:cs="仿宋_GB2312"/>
          <w:sz w:val="28"/>
          <w:szCs w:val="28"/>
        </w:rPr>
      </w:pPr>
    </w:p>
    <w:p>
      <w:pPr>
        <w:rPr>
          <w:rFonts w:ascii="仿宋_GB2312" w:hAnsi="仿宋_GB2312" w:eastAsia="仿宋_GB2312" w:cs="仿宋_GB2312"/>
          <w:sz w:val="28"/>
          <w:szCs w:val="28"/>
        </w:rPr>
      </w:pPr>
    </w:p>
    <w:p>
      <w:pPr>
        <w:pStyle w:val="11"/>
        <w:rPr>
          <w:rFonts w:hint="default" w:ascii="仿宋_GB2312" w:hAnsi="仿宋_GB2312" w:eastAsia="仿宋_GB2312" w:cs="仿宋_GB2312"/>
          <w:lang w:val="en-US" w:eastAsia="zh-CN"/>
        </w:rPr>
      </w:pPr>
      <w:r>
        <w:rPr>
          <w:rFonts w:hint="eastAsia" w:ascii="仿宋_GB2312" w:hAnsi="仿宋_GB2312" w:eastAsia="仿宋_GB2312" w:cs="仿宋_GB2312"/>
        </w:rPr>
        <w:t>公开时间：2022年10月</w:t>
      </w:r>
      <w:r>
        <w:rPr>
          <w:rFonts w:hint="eastAsia" w:ascii="仿宋_GB2312" w:hAnsi="仿宋_GB2312" w:eastAsia="仿宋_GB2312" w:cs="仿宋_GB2312"/>
          <w:lang w:val="en-US" w:eastAsia="zh-CN"/>
        </w:rPr>
        <w:t>25日</w:t>
      </w:r>
    </w:p>
    <w:sdt>
      <w:sdtPr>
        <w:rPr>
          <w:rFonts w:hint="eastAsia" w:ascii="仿宋_GB2312" w:hAnsi="仿宋_GB2312" w:eastAsia="仿宋_GB2312" w:cs="仿宋_GB2312"/>
          <w:sz w:val="28"/>
          <w:szCs w:val="28"/>
        </w:rPr>
        <w:id w:val="147461409"/>
        <w:docPartObj>
          <w:docPartGallery w:val="Table of Contents"/>
          <w:docPartUnique/>
        </w:docPartObj>
      </w:sdtPr>
      <w:sdtEndPr>
        <w:rPr>
          <w:rFonts w:hint="eastAsia" w:ascii="仿宋_GB2312" w:hAnsi="仿宋_GB2312" w:eastAsia="仿宋_GB2312" w:cs="仿宋_GB2312"/>
          <w:sz w:val="28"/>
          <w:szCs w:val="28"/>
        </w:rPr>
      </w:sdtEndPr>
      <w:sdtContent>
        <w:p>
          <w:pPr>
            <w:jc w:val="center"/>
            <w:rPr>
              <w:rFonts w:ascii="仿宋_GB2312" w:hAnsi="仿宋_GB2312" w:eastAsia="仿宋_GB2312" w:cs="仿宋_GB2312"/>
              <w:sz w:val="28"/>
              <w:szCs w:val="28"/>
            </w:rPr>
          </w:pPr>
          <w:bookmarkStart w:id="16" w:name="_Toc15377196"/>
          <w:bookmarkStart w:id="17" w:name="_Toc15396599"/>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TOC \o "1-3" \h \u </w:instrText>
          </w:r>
          <w:r>
            <w:rPr>
              <w:rFonts w:hint="eastAsia" w:ascii="仿宋_GB2312" w:hAnsi="仿宋_GB2312" w:eastAsia="仿宋_GB2312" w:cs="仿宋_GB2312"/>
              <w:sz w:val="28"/>
              <w:szCs w:val="28"/>
            </w:rPr>
            <w:fldChar w:fldCharType="separate"/>
          </w:r>
        </w:p>
        <w:p>
          <w:pPr>
            <w:pStyle w:val="11"/>
            <w:tabs>
              <w:tab w:val="right" w:leader="dot" w:pos="8306"/>
              <w:tab w:val="clear" w:pos="8296"/>
            </w:tabs>
            <w:rPr>
              <w:rFonts w:ascii="仿宋_GB2312" w:hAnsi="仿宋_GB2312" w:eastAsia="仿宋_GB2312" w:cs="仿宋_GB2312"/>
            </w:rPr>
          </w:pPr>
          <w:r>
            <w:fldChar w:fldCharType="begin"/>
          </w:r>
          <w:r>
            <w:instrText xml:space="preserve"> HYPERLINK \l "_Toc25985" </w:instrText>
          </w:r>
          <w:r>
            <w:fldChar w:fldCharType="separate"/>
          </w:r>
          <w:r>
            <w:rPr>
              <w:rFonts w:hint="eastAsia" w:ascii="仿宋_GB2312" w:hAnsi="仿宋_GB2312" w:eastAsia="仿宋_GB2312" w:cs="仿宋_GB2312"/>
            </w:rPr>
            <w:t>第一部分 单位概况</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_Toc25985 </w:instrText>
          </w:r>
          <w:r>
            <w:rPr>
              <w:rFonts w:hint="eastAsia" w:ascii="仿宋_GB2312" w:hAnsi="仿宋_GB2312" w:eastAsia="仿宋_GB2312" w:cs="仿宋_GB2312"/>
            </w:rPr>
            <w:fldChar w:fldCharType="separate"/>
          </w:r>
          <w:r>
            <w:rPr>
              <w:rFonts w:ascii="仿宋_GB2312" w:hAnsi="仿宋_GB2312" w:eastAsia="仿宋_GB2312" w:cs="仿宋_GB2312"/>
            </w:rPr>
            <w:t>5</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"_Toc26719" </w:instrText>
          </w:r>
          <w:r>
            <w:fldChar w:fldCharType="separate"/>
          </w:r>
          <w:r>
            <w:rPr>
              <w:rFonts w:hint="eastAsia" w:ascii="仿宋_GB2312" w:hAnsi="仿宋_GB2312" w:eastAsia="仿宋_GB2312" w:cs="仿宋_GB2312"/>
              <w:sz w:val="28"/>
              <w:szCs w:val="28"/>
            </w:rPr>
            <w:t>一、职能简介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_Toc26719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"_Toc16277" </w:instrText>
          </w:r>
          <w:r>
            <w:fldChar w:fldCharType="separate"/>
          </w:r>
          <w:r>
            <w:rPr>
              <w:rFonts w:hint="eastAsia" w:ascii="仿宋_GB2312" w:hAnsi="仿宋_GB2312" w:eastAsia="仿宋_GB2312" w:cs="仿宋_GB2312"/>
              <w:sz w:val="28"/>
              <w:szCs w:val="28"/>
            </w:rPr>
            <w:t>二、2021年重点工作完成情况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_Toc16277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ind w:left="0" w:leftChars="0"/>
            <w:rPr>
              <w:rFonts w:ascii="仿宋_GB2312" w:hAnsi="仿宋_GB2312" w:eastAsia="仿宋_GB2312" w:cs="仿宋_GB2312"/>
              <w:sz w:val="28"/>
              <w:szCs w:val="28"/>
            </w:rPr>
          </w:pPr>
          <w:r>
            <w:rPr>
              <w:rFonts w:hint="eastAsia" w:ascii="仿宋_GB2312" w:hAnsi="仿宋_GB2312" w:eastAsia="仿宋_GB2312" w:cs="仿宋_GB2312"/>
              <w:sz w:val="28"/>
              <w:szCs w:val="28"/>
            </w:rPr>
            <w:t>第二部分 2021年度单位决算情况说明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t>7</w:t>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"_Toc13166" </w:instrText>
          </w:r>
          <w:r>
            <w:fldChar w:fldCharType="separate"/>
          </w:r>
          <w:r>
            <w:rPr>
              <w:rFonts w:hint="eastAsia" w:ascii="仿宋_GB2312" w:hAnsi="仿宋_GB2312" w:eastAsia="仿宋_GB2312" w:cs="仿宋_GB2312"/>
              <w:sz w:val="28"/>
              <w:szCs w:val="28"/>
            </w:rPr>
            <w:t>一、 收入支出决算总体情况说明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_Toc13166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"_Toc24737" </w:instrText>
          </w:r>
          <w:r>
            <w:fldChar w:fldCharType="separate"/>
          </w:r>
          <w:r>
            <w:rPr>
              <w:rFonts w:hint="eastAsia" w:ascii="仿宋_GB2312" w:hAnsi="仿宋_GB2312" w:eastAsia="仿宋_GB2312" w:cs="仿宋_GB2312"/>
              <w:sz w:val="28"/>
              <w:szCs w:val="28"/>
            </w:rPr>
            <w:t>二、 收入决算情况说明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_Toc24737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7</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"_Toc12136" </w:instrText>
          </w:r>
          <w:r>
            <w:fldChar w:fldCharType="separate"/>
          </w:r>
          <w:r>
            <w:rPr>
              <w:rFonts w:hint="eastAsia" w:ascii="仿宋_GB2312" w:hAnsi="仿宋_GB2312" w:eastAsia="仿宋_GB2312" w:cs="仿宋_GB2312"/>
              <w:sz w:val="28"/>
              <w:szCs w:val="28"/>
            </w:rPr>
            <w:t>三、 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_Toc12136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"_Toc9547" </w:instrText>
          </w:r>
          <w:r>
            <w:fldChar w:fldCharType="separate"/>
          </w:r>
          <w:r>
            <w:rPr>
              <w:rFonts w:hint="eastAsia" w:ascii="仿宋_GB2312" w:hAnsi="仿宋_GB2312" w:eastAsia="仿宋_GB2312" w:cs="仿宋_GB2312"/>
              <w:sz w:val="28"/>
              <w:szCs w:val="28"/>
            </w:rPr>
            <w:t>四、财政拨款收入支出决算总体情况说明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_Toc9547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"_Toc30526" </w:instrText>
          </w:r>
          <w:r>
            <w:fldChar w:fldCharType="separate"/>
          </w:r>
          <w:r>
            <w:rPr>
              <w:rFonts w:hint="eastAsia" w:ascii="仿宋_GB2312" w:hAnsi="仿宋_GB2312" w:eastAsia="仿宋_GB2312" w:cs="仿宋_GB2312"/>
              <w:sz w:val="28"/>
              <w:szCs w:val="28"/>
            </w:rPr>
            <w:t>五、一般公共预算财政拨款支出决算情况说明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_Toc30526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"_Toc26303" </w:instrText>
          </w:r>
          <w:r>
            <w:fldChar w:fldCharType="separate"/>
          </w:r>
          <w:r>
            <w:rPr>
              <w:rFonts w:hint="eastAsia" w:ascii="仿宋_GB2312" w:hAnsi="仿宋_GB2312" w:eastAsia="仿宋_GB2312" w:cs="仿宋_GB2312"/>
              <w:sz w:val="28"/>
              <w:szCs w:val="28"/>
            </w:rPr>
            <w:t>（一）一般公共预算财政拨款支出决算总体情况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_Toc26303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"_Toc1819" </w:instrText>
          </w:r>
          <w:r>
            <w:fldChar w:fldCharType="separate"/>
          </w:r>
          <w:r>
            <w:rPr>
              <w:rFonts w:hint="eastAsia" w:ascii="仿宋_GB2312" w:hAnsi="仿宋_GB2312" w:eastAsia="仿宋_GB2312" w:cs="仿宋_GB2312"/>
              <w:sz w:val="28"/>
              <w:szCs w:val="28"/>
            </w:rPr>
            <w:t>（二）一般公共预算财政拨款支出决算结构情况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_Toc1819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"_Toc15515" </w:instrText>
          </w:r>
          <w:r>
            <w:fldChar w:fldCharType="separate"/>
          </w:r>
          <w:r>
            <w:rPr>
              <w:rFonts w:hint="eastAsia" w:ascii="仿宋_GB2312" w:hAnsi="仿宋_GB2312" w:eastAsia="仿宋_GB2312" w:cs="仿宋_GB2312"/>
              <w:sz w:val="28"/>
              <w:szCs w:val="28"/>
            </w:rPr>
            <w:t>（三）一般公共预算财政拨款支出决算具体情况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_Toc15515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"_Toc23738" </w:instrText>
          </w:r>
          <w:r>
            <w:fldChar w:fldCharType="separate"/>
          </w:r>
          <w:r>
            <w:rPr>
              <w:rFonts w:hint="eastAsia" w:ascii="仿宋_GB2312" w:hAnsi="仿宋_GB2312" w:eastAsia="仿宋_GB2312" w:cs="仿宋_GB2312"/>
              <w:sz w:val="28"/>
              <w:szCs w:val="28"/>
            </w:rPr>
            <w:t>六、一般公共预算财政拨款基本支出决算情况说明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_Toc23738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"_Toc20307" </w:instrText>
          </w:r>
          <w:r>
            <w:fldChar w:fldCharType="separate"/>
          </w:r>
          <w:r>
            <w:rPr>
              <w:rFonts w:hint="eastAsia" w:ascii="仿宋_GB2312" w:hAnsi="仿宋_GB2312" w:eastAsia="仿宋_GB2312" w:cs="仿宋_GB2312"/>
              <w:sz w:val="28"/>
              <w:szCs w:val="28"/>
            </w:rPr>
            <w:t>七、“三公”经费财政拨款支出决算情况说明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_Toc20307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"_Toc9407" </w:instrText>
          </w:r>
          <w:r>
            <w:fldChar w:fldCharType="separate"/>
          </w:r>
          <w:r>
            <w:rPr>
              <w:rFonts w:hint="eastAsia" w:ascii="仿宋_GB2312" w:hAnsi="仿宋_GB2312" w:eastAsia="仿宋_GB2312" w:cs="仿宋_GB2312"/>
              <w:sz w:val="28"/>
              <w:szCs w:val="28"/>
            </w:rPr>
            <w:t>（一）“三公”经费财政拨款支出决算总体情况说明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_Toc9407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"_Toc13893" </w:instrText>
          </w:r>
          <w:r>
            <w:fldChar w:fldCharType="separate"/>
          </w:r>
          <w:r>
            <w:rPr>
              <w:rFonts w:hint="eastAsia" w:ascii="仿宋_GB2312" w:hAnsi="仿宋_GB2312" w:eastAsia="仿宋_GB2312" w:cs="仿宋_GB2312"/>
              <w:sz w:val="28"/>
              <w:szCs w:val="28"/>
            </w:rPr>
            <w:t>（二）“三公”经费财政拨款支出决算具体情况说明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_Toc13893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"_Toc16391" </w:instrText>
          </w:r>
          <w:r>
            <w:fldChar w:fldCharType="separate"/>
          </w:r>
          <w:r>
            <w:rPr>
              <w:rFonts w:hint="eastAsia" w:ascii="仿宋_GB2312" w:hAnsi="仿宋_GB2312" w:eastAsia="仿宋_GB2312" w:cs="仿宋_GB2312"/>
              <w:sz w:val="28"/>
              <w:szCs w:val="28"/>
            </w:rPr>
            <w:t>八、政府性基金预算支出决算情况说明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_Toc16391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"_Toc19636" </w:instrText>
          </w:r>
          <w:r>
            <w:fldChar w:fldCharType="separate"/>
          </w:r>
          <w:r>
            <w:rPr>
              <w:rFonts w:hint="eastAsia" w:ascii="仿宋_GB2312" w:hAnsi="仿宋_GB2312" w:eastAsia="仿宋_GB2312" w:cs="仿宋_GB2312"/>
              <w:sz w:val="28"/>
              <w:szCs w:val="28"/>
            </w:rPr>
            <w:t>九、 国有资本经营预算支出决算情况说明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_Toc19636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"_Toc14853" </w:instrText>
          </w:r>
          <w:r>
            <w:fldChar w:fldCharType="separate"/>
          </w:r>
          <w:r>
            <w:rPr>
              <w:rFonts w:hint="eastAsia" w:ascii="仿宋_GB2312" w:hAnsi="仿宋_GB2312" w:eastAsia="仿宋_GB2312" w:cs="仿宋_GB2312"/>
              <w:sz w:val="28"/>
              <w:szCs w:val="28"/>
            </w:rPr>
            <w:t>十、 其他重要事项的情况说明</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_Toc14853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"_Toc17527" </w:instrText>
          </w:r>
          <w:r>
            <w:fldChar w:fldCharType="separate"/>
          </w:r>
          <w:r>
            <w:rPr>
              <w:rFonts w:hint="eastAsia" w:ascii="仿宋_GB2312" w:hAnsi="仿宋_GB2312" w:eastAsia="仿宋_GB2312" w:cs="仿宋_GB2312"/>
              <w:sz w:val="28"/>
              <w:szCs w:val="28"/>
            </w:rPr>
            <w:t>（一）机关运行经费支出情况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_Toc17527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"_Toc18589" </w:instrText>
          </w:r>
          <w:r>
            <w:fldChar w:fldCharType="separate"/>
          </w:r>
          <w:r>
            <w:rPr>
              <w:rFonts w:hint="eastAsia" w:ascii="仿宋_GB2312" w:hAnsi="仿宋_GB2312" w:eastAsia="仿宋_GB2312" w:cs="仿宋_GB2312"/>
              <w:sz w:val="28"/>
              <w:szCs w:val="28"/>
            </w:rPr>
            <w:t>（二）政府采购支出情况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_Toc18589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"_Toc16810" </w:instrText>
          </w:r>
          <w:r>
            <w:fldChar w:fldCharType="separate"/>
          </w:r>
          <w:r>
            <w:rPr>
              <w:rFonts w:hint="eastAsia" w:ascii="仿宋_GB2312" w:hAnsi="仿宋_GB2312" w:eastAsia="仿宋_GB2312" w:cs="仿宋_GB2312"/>
              <w:sz w:val="28"/>
              <w:szCs w:val="28"/>
            </w:rPr>
            <w:t>（三）国有资产占有使用情况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_Toc16810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"_Toc13880" </w:instrText>
          </w:r>
          <w:r>
            <w:fldChar w:fldCharType="separate"/>
          </w:r>
          <w:r>
            <w:rPr>
              <w:rFonts w:hint="eastAsia" w:ascii="仿宋_GB2312" w:hAnsi="仿宋_GB2312" w:eastAsia="仿宋_GB2312" w:cs="仿宋_GB2312"/>
              <w:sz w:val="28"/>
              <w:szCs w:val="28"/>
            </w:rPr>
            <w:t>（四）预算绩效管理情况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_Toc13880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rPr>
              <w:sz w:val="28"/>
              <w:szCs w:val="28"/>
            </w:rPr>
          </w:pPr>
          <w:r>
            <w:rPr>
              <w:rFonts w:hint="eastAsia" w:ascii="仿宋_GB2312" w:hAnsi="仿宋_GB2312" w:eastAsia="仿宋_GB2312" w:cs="仿宋_GB2312"/>
              <w:sz w:val="28"/>
              <w:szCs w:val="28"/>
            </w:rPr>
            <w:t>第三部分 名词解释……………………………………………………16</w:t>
          </w:r>
        </w:p>
        <w:p>
          <w:pPr>
            <w:pStyle w:val="11"/>
            <w:tabs>
              <w:tab w:val="right" w:leader="dot" w:pos="8306"/>
              <w:tab w:val="clear" w:pos="8296"/>
            </w:tabs>
            <w:rPr>
              <w:rFonts w:ascii="仿宋_GB2312" w:hAnsi="仿宋_GB2312" w:eastAsia="仿宋_GB2312" w:cs="仿宋_GB2312"/>
            </w:rPr>
          </w:pPr>
          <w:r>
            <w:fldChar w:fldCharType="begin"/>
          </w:r>
          <w:r>
            <w:instrText xml:space="preserve"> HYPERLINK \l "_Toc10461" </w:instrText>
          </w:r>
          <w:r>
            <w:fldChar w:fldCharType="separate"/>
          </w:r>
          <w:r>
            <w:rPr>
              <w:rFonts w:hint="eastAsia" w:ascii="仿宋_GB2312" w:hAnsi="仿宋_GB2312" w:eastAsia="仿宋_GB2312" w:cs="仿宋_GB2312"/>
            </w:rPr>
            <w:t>第四部分 附件</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_Toc10461 </w:instrText>
          </w:r>
          <w:r>
            <w:rPr>
              <w:rFonts w:hint="eastAsia" w:ascii="仿宋_GB2312" w:hAnsi="仿宋_GB2312" w:eastAsia="仿宋_GB2312" w:cs="仿宋_GB2312"/>
            </w:rPr>
            <w:fldChar w:fldCharType="separate"/>
          </w:r>
          <w:r>
            <w:rPr>
              <w:rFonts w:ascii="仿宋_GB2312" w:hAnsi="仿宋_GB2312" w:eastAsia="仿宋_GB2312" w:cs="仿宋_GB2312"/>
            </w:rPr>
            <w:t>19</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1"/>
            <w:tabs>
              <w:tab w:val="right" w:leader="dot" w:pos="8306"/>
              <w:tab w:val="clear" w:pos="8296"/>
            </w:tabs>
            <w:rPr>
              <w:rFonts w:ascii="仿宋_GB2312" w:hAnsi="仿宋_GB2312" w:eastAsia="仿宋_GB2312" w:cs="仿宋_GB2312"/>
            </w:rPr>
          </w:pPr>
          <w:r>
            <w:fldChar w:fldCharType="begin"/>
          </w:r>
          <w:r>
            <w:instrText xml:space="preserve"> HYPERLINK \l "_Toc16372" </w:instrText>
          </w:r>
          <w:r>
            <w:fldChar w:fldCharType="separate"/>
          </w:r>
          <w:r>
            <w:rPr>
              <w:rFonts w:hint="eastAsia" w:ascii="仿宋_GB2312" w:hAnsi="仿宋_GB2312" w:eastAsia="仿宋_GB2312" w:cs="仿宋_GB2312"/>
            </w:rPr>
            <w:t>第五部分 附表</w:t>
          </w:r>
          <w:r>
            <w:rPr>
              <w:rFonts w:hint="eastAsia" w:ascii="仿宋_GB2312" w:hAnsi="仿宋_GB2312" w:eastAsia="仿宋_GB2312" w:cs="仿宋_GB2312"/>
            </w:rPr>
            <w:tab/>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PAGEREF _Toc16372 </w:instrText>
          </w:r>
          <w:r>
            <w:rPr>
              <w:rFonts w:hint="eastAsia" w:ascii="仿宋_GB2312" w:hAnsi="仿宋_GB2312" w:eastAsia="仿宋_GB2312" w:cs="仿宋_GB2312"/>
            </w:rPr>
            <w:fldChar w:fldCharType="separate"/>
          </w:r>
          <w:r>
            <w:rPr>
              <w:rFonts w:ascii="仿宋_GB2312" w:hAnsi="仿宋_GB2312" w:eastAsia="仿宋_GB2312" w:cs="仿宋_GB2312"/>
            </w:rPr>
            <w:t>20</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"_Toc14893" </w:instrText>
          </w:r>
          <w:r>
            <w:fldChar w:fldCharType="separate"/>
          </w:r>
          <w:r>
            <w:rPr>
              <w:rFonts w:hint="eastAsia" w:ascii="仿宋_GB2312" w:hAnsi="仿宋_GB2312" w:eastAsia="仿宋_GB2312" w:cs="仿宋_GB2312"/>
              <w:sz w:val="28"/>
              <w:szCs w:val="28"/>
            </w:rPr>
            <w:t>一、收入支出决算总表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_Toc14893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"_Toc16071" </w:instrText>
          </w:r>
          <w:r>
            <w:fldChar w:fldCharType="separate"/>
          </w:r>
          <w:r>
            <w:rPr>
              <w:rFonts w:hint="eastAsia" w:ascii="仿宋_GB2312" w:hAnsi="仿宋_GB2312" w:eastAsia="仿宋_GB2312" w:cs="仿宋_GB2312"/>
              <w:sz w:val="28"/>
              <w:szCs w:val="28"/>
            </w:rPr>
            <w:t>二、收入决算表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_Toc16071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"_Toc20437" </w:instrText>
          </w:r>
          <w:r>
            <w:fldChar w:fldCharType="separate"/>
          </w:r>
          <w:r>
            <w:rPr>
              <w:rFonts w:hint="eastAsia" w:ascii="仿宋_GB2312" w:hAnsi="仿宋_GB2312" w:eastAsia="仿宋_GB2312" w:cs="仿宋_GB2312"/>
              <w:sz w:val="28"/>
              <w:szCs w:val="28"/>
            </w:rPr>
            <w:t>三、支出决算表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_Toc20437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"_Toc5637" </w:instrText>
          </w:r>
          <w:r>
            <w:fldChar w:fldCharType="separate"/>
          </w:r>
          <w:r>
            <w:rPr>
              <w:rFonts w:hint="eastAsia" w:ascii="仿宋_GB2312" w:hAnsi="仿宋_GB2312" w:eastAsia="仿宋_GB2312" w:cs="仿宋_GB2312"/>
              <w:sz w:val="28"/>
              <w:szCs w:val="28"/>
            </w:rPr>
            <w:t>四、财政拨款收入支出决算总表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_Toc5637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"_Toc5529" </w:instrText>
          </w:r>
          <w:r>
            <w:fldChar w:fldCharType="separate"/>
          </w:r>
          <w:r>
            <w:rPr>
              <w:rFonts w:hint="eastAsia" w:ascii="仿宋_GB2312" w:hAnsi="仿宋_GB2312" w:eastAsia="仿宋_GB2312" w:cs="仿宋_GB2312"/>
              <w:sz w:val="28"/>
              <w:szCs w:val="28"/>
            </w:rPr>
            <w:t>五、财政拨款支出决算明细表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_Toc5529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"_Toc9701" </w:instrText>
          </w:r>
          <w:r>
            <w:fldChar w:fldCharType="separate"/>
          </w:r>
          <w:r>
            <w:rPr>
              <w:rFonts w:hint="eastAsia" w:ascii="仿宋_GB2312" w:hAnsi="仿宋_GB2312" w:eastAsia="仿宋_GB2312" w:cs="仿宋_GB2312"/>
              <w:sz w:val="28"/>
              <w:szCs w:val="28"/>
            </w:rPr>
            <w:t>六、一般公共预算财政拨款支出决算表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_Toc9701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"_Toc30616" </w:instrText>
          </w:r>
          <w:r>
            <w:fldChar w:fldCharType="separate"/>
          </w:r>
          <w:r>
            <w:rPr>
              <w:rFonts w:hint="eastAsia" w:ascii="仿宋_GB2312" w:hAnsi="仿宋_GB2312" w:eastAsia="仿宋_GB2312" w:cs="仿宋_GB2312"/>
              <w:sz w:val="28"/>
              <w:szCs w:val="28"/>
            </w:rPr>
            <w:t>七、一般公共预算财政拨款支出决算明细表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_Toc30616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"_Toc11178" </w:instrText>
          </w:r>
          <w:r>
            <w:fldChar w:fldCharType="separate"/>
          </w:r>
          <w:r>
            <w:rPr>
              <w:rFonts w:hint="eastAsia" w:ascii="仿宋_GB2312" w:hAnsi="仿宋_GB2312" w:eastAsia="仿宋_GB2312" w:cs="仿宋_GB2312"/>
              <w:sz w:val="28"/>
              <w:szCs w:val="28"/>
            </w:rPr>
            <w:t>八、一般公共预算财政拨款基本支出决算表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_Toc11178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"_Toc16677" </w:instrText>
          </w:r>
          <w:r>
            <w:fldChar w:fldCharType="separate"/>
          </w:r>
          <w:r>
            <w:rPr>
              <w:rFonts w:hint="eastAsia" w:ascii="仿宋_GB2312" w:hAnsi="仿宋_GB2312" w:eastAsia="仿宋_GB2312" w:cs="仿宋_GB2312"/>
              <w:sz w:val="28"/>
              <w:szCs w:val="28"/>
            </w:rPr>
            <w:t>九、一般公共预算财政拨款项目支出决算表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_Toc16677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"_Toc9226" </w:instrText>
          </w:r>
          <w:r>
            <w:fldChar w:fldCharType="separate"/>
          </w:r>
          <w:r>
            <w:rPr>
              <w:rFonts w:hint="eastAsia" w:ascii="仿宋_GB2312" w:hAnsi="仿宋_GB2312" w:eastAsia="仿宋_GB2312" w:cs="仿宋_GB2312"/>
              <w:sz w:val="28"/>
              <w:szCs w:val="28"/>
            </w:rPr>
            <w:t>十、一般公共预算财政拨款“三公”经费支出决算表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_Toc9226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"_Toc10251" </w:instrText>
          </w:r>
          <w:r>
            <w:fldChar w:fldCharType="separate"/>
          </w:r>
          <w:r>
            <w:rPr>
              <w:rFonts w:hint="eastAsia" w:ascii="仿宋_GB2312" w:hAnsi="仿宋_GB2312" w:eastAsia="仿宋_GB2312" w:cs="仿宋_GB2312"/>
              <w:sz w:val="28"/>
              <w:szCs w:val="28"/>
            </w:rPr>
            <w:t>十一、政府性基金预算财政拨款收入支出决算表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_Toc10251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"_Toc4590" </w:instrText>
          </w:r>
          <w:r>
            <w:fldChar w:fldCharType="separate"/>
          </w:r>
          <w:r>
            <w:rPr>
              <w:rFonts w:hint="eastAsia" w:ascii="仿宋_GB2312" w:hAnsi="仿宋_GB2312" w:eastAsia="仿宋_GB2312" w:cs="仿宋_GB2312"/>
              <w:sz w:val="28"/>
              <w:szCs w:val="28"/>
            </w:rPr>
            <w:t>十二、政府性基金预算财政拨款“三公”经费支出决算表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_Toc4590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"_Toc16069" </w:instrText>
          </w:r>
          <w:r>
            <w:fldChar w:fldCharType="separate"/>
          </w:r>
          <w:r>
            <w:rPr>
              <w:rFonts w:hint="eastAsia" w:ascii="仿宋_GB2312" w:hAnsi="仿宋_GB2312" w:eastAsia="仿宋_GB2312" w:cs="仿宋_GB2312"/>
              <w:sz w:val="28"/>
              <w:szCs w:val="28"/>
            </w:rPr>
            <w:t>十三、国有资本经营预算财政拨款收入支出决算表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_Toc16069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2"/>
            <w:tabs>
              <w:tab w:val="right" w:leader="dot" w:pos="8306"/>
              <w:tab w:val="clear" w:pos="8296"/>
            </w:tabs>
            <w:rPr>
              <w:rFonts w:ascii="仿宋_GB2312" w:hAnsi="仿宋_GB2312" w:eastAsia="仿宋_GB2312" w:cs="仿宋_GB2312"/>
              <w:sz w:val="28"/>
              <w:szCs w:val="28"/>
            </w:rPr>
          </w:pPr>
          <w:r>
            <w:fldChar w:fldCharType="begin"/>
          </w:r>
          <w:r>
            <w:instrText xml:space="preserve"> HYPERLINK \l "_Toc21551" </w:instrText>
          </w:r>
          <w:r>
            <w:fldChar w:fldCharType="separate"/>
          </w:r>
          <w:r>
            <w:rPr>
              <w:rFonts w:hint="eastAsia" w:ascii="仿宋_GB2312" w:hAnsi="仿宋_GB2312" w:eastAsia="仿宋_GB2312" w:cs="仿宋_GB2312"/>
              <w:sz w:val="28"/>
              <w:szCs w:val="28"/>
            </w:rPr>
            <w:t>十四、国有资本经营预算财政拨款支出决算表</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_Toc21551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2"/>
            <w:rPr>
              <w:rFonts w:ascii="仿宋_GB2312" w:hAnsi="仿宋_GB2312" w:eastAsia="仿宋_GB2312" w:cs="仿宋_GB2312"/>
              <w:sz w:val="28"/>
              <w:szCs w:val="28"/>
            </w:rPr>
            <w:sectPr>
              <w:footerReference r:id="rId5" w:type="first"/>
              <w:headerReference r:id="rId3" w:type="default"/>
              <w:footerReference r:id="rId4" w:type="default"/>
              <w:pgSz w:w="11906" w:h="16838"/>
              <w:pgMar w:top="1440" w:right="1800" w:bottom="1440" w:left="1800" w:header="851" w:footer="992" w:gutter="0"/>
              <w:cols w:space="425" w:num="1"/>
              <w:titlePg/>
              <w:docGrid w:type="lines" w:linePitch="312" w:charSpace="0"/>
            </w:sectPr>
          </w:pPr>
          <w:r>
            <w:rPr>
              <w:rFonts w:hint="eastAsia" w:ascii="仿宋_GB2312" w:hAnsi="仿宋_GB2312" w:eastAsia="仿宋_GB2312" w:cs="仿宋_GB2312"/>
              <w:sz w:val="28"/>
              <w:szCs w:val="28"/>
            </w:rPr>
            <w:fldChar w:fldCharType="end"/>
          </w:r>
        </w:p>
      </w:sdtContent>
    </w:sdt>
    <w:p>
      <w:pPr>
        <w:spacing w:line="560" w:lineRule="exact"/>
        <w:jc w:val="center"/>
        <w:rPr>
          <w:rFonts w:eastAsia="黑体"/>
          <w:sz w:val="44"/>
          <w:szCs w:val="44"/>
        </w:rPr>
      </w:pPr>
      <w:bookmarkStart w:id="18" w:name="_Toc25985"/>
      <w:r>
        <w:rPr>
          <w:rFonts w:eastAsia="黑体"/>
          <w:sz w:val="44"/>
          <w:szCs w:val="44"/>
        </w:rPr>
        <w:t>第一部分 单位概况</w:t>
      </w:r>
      <w:bookmarkEnd w:id="16"/>
      <w:bookmarkEnd w:id="17"/>
      <w:bookmarkEnd w:id="18"/>
    </w:p>
    <w:p>
      <w:pPr>
        <w:spacing w:line="560" w:lineRule="exact"/>
        <w:ind w:firstLine="640" w:firstLineChars="200"/>
        <w:rPr>
          <w:rFonts w:eastAsia="仿宋_GB2312"/>
          <w:sz w:val="32"/>
          <w:szCs w:val="32"/>
        </w:rPr>
      </w:pPr>
      <w:bookmarkStart w:id="19" w:name="_Toc26719"/>
      <w:bookmarkStart w:id="20" w:name="_Toc15377197"/>
      <w:bookmarkStart w:id="21" w:name="_Toc15396600"/>
    </w:p>
    <w:p>
      <w:pPr>
        <w:numPr>
          <w:ilvl w:val="0"/>
          <w:numId w:val="1"/>
        </w:numPr>
        <w:spacing w:line="560" w:lineRule="exact"/>
        <w:ind w:firstLine="640" w:firstLineChars="200"/>
        <w:rPr>
          <w:rFonts w:eastAsia="黑体"/>
          <w:sz w:val="32"/>
          <w:szCs w:val="32"/>
        </w:rPr>
      </w:pPr>
      <w:r>
        <w:rPr>
          <w:rFonts w:eastAsia="黑体"/>
          <w:sz w:val="32"/>
          <w:szCs w:val="32"/>
        </w:rPr>
        <w:t>职能简介</w:t>
      </w:r>
      <w:bookmarkEnd w:id="19"/>
    </w:p>
    <w:p>
      <w:pPr>
        <w:spacing w:line="560" w:lineRule="exact"/>
        <w:ind w:firstLine="640" w:firstLineChars="200"/>
      </w:pPr>
      <w:r>
        <w:rPr>
          <w:rFonts w:hint="eastAsia" w:eastAsia="黑体"/>
          <w:sz w:val="32"/>
          <w:szCs w:val="32"/>
          <w:lang w:eastAsia="zh-CN"/>
        </w:rPr>
        <w:t>（</w:t>
      </w:r>
      <w:r>
        <w:rPr>
          <w:rFonts w:hint="eastAsia" w:eastAsia="楷体_GB2312"/>
          <w:sz w:val="32"/>
          <w:szCs w:val="32"/>
          <w:lang w:val="en-US" w:eastAsia="zh-CN"/>
        </w:rPr>
        <w:t>一</w:t>
      </w:r>
      <w:r>
        <w:rPr>
          <w:rFonts w:hint="eastAsia" w:eastAsia="楷体_GB2312"/>
          <w:sz w:val="32"/>
          <w:szCs w:val="32"/>
          <w:lang w:eastAsia="zh-CN"/>
        </w:rPr>
        <w:t>）</w:t>
      </w:r>
      <w:r>
        <w:rPr>
          <w:rFonts w:hint="eastAsia" w:eastAsia="楷体_GB2312"/>
          <w:sz w:val="32"/>
          <w:szCs w:val="32"/>
          <w:lang w:val="en-US" w:eastAsia="zh-CN"/>
        </w:rPr>
        <w:t>主要职能</w:t>
      </w:r>
    </w:p>
    <w:p>
      <w:pPr>
        <w:spacing w:line="560" w:lineRule="exact"/>
        <w:ind w:firstLine="640" w:firstLineChars="200"/>
        <w:rPr>
          <w:rFonts w:eastAsia="仿宋_GB2312"/>
          <w:sz w:val="32"/>
          <w:szCs w:val="32"/>
        </w:rPr>
      </w:pPr>
      <w:r>
        <w:rPr>
          <w:rFonts w:eastAsia="仿宋_GB2312"/>
          <w:sz w:val="32"/>
          <w:szCs w:val="32"/>
        </w:rPr>
        <w:t>1.按照《会计法》等国家财经法规建立科学规范的国库集中支付运行机制，监督制约机制，促进财政收支管理规范化，确保财政资金安全，增强政府资金的调控能力。</w:t>
      </w:r>
    </w:p>
    <w:p>
      <w:pPr>
        <w:spacing w:line="560" w:lineRule="exact"/>
        <w:ind w:firstLine="640" w:firstLineChars="200"/>
        <w:rPr>
          <w:rFonts w:eastAsia="仿宋_GB2312"/>
          <w:sz w:val="32"/>
          <w:szCs w:val="32"/>
        </w:rPr>
      </w:pPr>
      <w:r>
        <w:rPr>
          <w:rFonts w:eastAsia="仿宋_GB2312"/>
          <w:sz w:val="32"/>
          <w:szCs w:val="32"/>
        </w:rPr>
        <w:t>2.管理使用国库单一账户体系及有关账户管理、具体办</w:t>
      </w:r>
      <w:bookmarkStart w:id="116" w:name="_GoBack"/>
      <w:bookmarkEnd w:id="116"/>
      <w:r>
        <w:rPr>
          <w:rFonts w:eastAsia="仿宋_GB2312"/>
          <w:sz w:val="32"/>
          <w:szCs w:val="32"/>
        </w:rPr>
        <w:t>理财政各项支付业务，加强对各项财政资金的管理使用，财政支付业务具体办理财政监督管理。</w:t>
      </w:r>
    </w:p>
    <w:p>
      <w:pPr>
        <w:spacing w:line="560" w:lineRule="exact"/>
        <w:ind w:firstLine="640" w:firstLineChars="200"/>
        <w:rPr>
          <w:rFonts w:eastAsia="仿宋_GB2312"/>
          <w:sz w:val="32"/>
          <w:szCs w:val="32"/>
        </w:rPr>
      </w:pPr>
      <w:r>
        <w:rPr>
          <w:rFonts w:eastAsia="仿宋_GB2312"/>
          <w:sz w:val="32"/>
          <w:szCs w:val="32"/>
        </w:rPr>
        <w:t>3.负责县委、县政府各部门，县人大、县政协机关，县法院、县检察院机关，各民主党派机关、各人民团体机关以及其他乡（镇）工资代发工作。</w:t>
      </w:r>
    </w:p>
    <w:p>
      <w:pPr>
        <w:spacing w:line="560" w:lineRule="exact"/>
        <w:ind w:firstLine="640" w:firstLineChars="200"/>
        <w:rPr>
          <w:rFonts w:hint="eastAsia" w:eastAsia="楷体_GB2312"/>
          <w:sz w:val="32"/>
          <w:szCs w:val="32"/>
          <w:lang w:val="en-US" w:eastAsia="zh-CN"/>
        </w:rPr>
      </w:pPr>
      <w:r>
        <w:rPr>
          <w:rFonts w:hint="eastAsia" w:eastAsia="黑体"/>
          <w:sz w:val="32"/>
          <w:szCs w:val="32"/>
          <w:lang w:eastAsia="zh-CN"/>
        </w:rPr>
        <w:t>（</w:t>
      </w:r>
      <w:r>
        <w:rPr>
          <w:rFonts w:hint="eastAsia" w:eastAsia="楷体_GB2312"/>
          <w:sz w:val="32"/>
          <w:szCs w:val="32"/>
          <w:lang w:val="en-US" w:eastAsia="zh-CN"/>
        </w:rPr>
        <w:t>二</w:t>
      </w:r>
      <w:r>
        <w:rPr>
          <w:rFonts w:hint="eastAsia" w:eastAsia="楷体_GB2312"/>
          <w:sz w:val="32"/>
          <w:szCs w:val="32"/>
          <w:lang w:eastAsia="zh-CN"/>
        </w:rPr>
        <w:t>）</w:t>
      </w:r>
      <w:r>
        <w:rPr>
          <w:rFonts w:hint="eastAsia" w:eastAsia="楷体_GB2312"/>
          <w:sz w:val="32"/>
          <w:szCs w:val="32"/>
          <w:lang w:val="en-US" w:eastAsia="zh-CN"/>
        </w:rPr>
        <w:t>机构设置</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盐边县财政国库支付中心为</w:t>
      </w:r>
      <w:r>
        <w:rPr>
          <w:rFonts w:hint="eastAsia" w:eastAsia="仿宋_GB2312"/>
          <w:sz w:val="32"/>
          <w:szCs w:val="32"/>
          <w:lang w:val="en-US" w:eastAsia="zh-CN"/>
        </w:rPr>
        <w:t>县财政局下属独立核算</w:t>
      </w:r>
      <w:r>
        <w:rPr>
          <w:rFonts w:hint="eastAsia" w:eastAsia="仿宋_GB2312"/>
          <w:sz w:val="32"/>
          <w:szCs w:val="32"/>
        </w:rPr>
        <w:t>参照公务员法管理的事业单位，编制16人，</w:t>
      </w:r>
      <w:r>
        <w:rPr>
          <w:rFonts w:hint="eastAsia" w:eastAsia="仿宋_GB2312"/>
          <w:sz w:val="32"/>
          <w:szCs w:val="32"/>
          <w:lang w:val="en-US" w:eastAsia="zh-CN"/>
        </w:rPr>
        <w:t>年末</w:t>
      </w:r>
      <w:r>
        <w:rPr>
          <w:rFonts w:hint="eastAsia" w:eastAsia="仿宋_GB2312"/>
          <w:sz w:val="32"/>
          <w:szCs w:val="32"/>
        </w:rPr>
        <w:t>在职职工1</w:t>
      </w:r>
      <w:r>
        <w:rPr>
          <w:rFonts w:hint="eastAsia" w:eastAsia="仿宋_GB2312"/>
          <w:sz w:val="32"/>
          <w:szCs w:val="32"/>
          <w:lang w:val="en-US" w:eastAsia="zh-CN"/>
        </w:rPr>
        <w:t>3</w:t>
      </w:r>
      <w:r>
        <w:rPr>
          <w:rFonts w:hint="eastAsia" w:eastAsia="仿宋_GB2312"/>
          <w:sz w:val="32"/>
          <w:szCs w:val="32"/>
        </w:rPr>
        <w:t>人</w:t>
      </w:r>
      <w:r>
        <w:rPr>
          <w:rFonts w:hint="eastAsia" w:eastAsia="仿宋_GB2312"/>
          <w:sz w:val="32"/>
          <w:szCs w:val="32"/>
          <w:lang w:eastAsia="zh-CN"/>
        </w:rPr>
        <w:t>。</w:t>
      </w:r>
    </w:p>
    <w:p>
      <w:pPr>
        <w:spacing w:line="560" w:lineRule="exact"/>
        <w:ind w:firstLine="640" w:firstLineChars="200"/>
        <w:rPr>
          <w:rFonts w:eastAsia="黑体"/>
          <w:sz w:val="32"/>
          <w:szCs w:val="32"/>
        </w:rPr>
      </w:pPr>
      <w:bookmarkStart w:id="22" w:name="_Toc16277"/>
      <w:r>
        <w:rPr>
          <w:rFonts w:eastAsia="黑体"/>
          <w:sz w:val="32"/>
          <w:szCs w:val="32"/>
        </w:rPr>
        <w:t>二、2021年重点工作</w:t>
      </w:r>
      <w:bookmarkEnd w:id="20"/>
      <w:bookmarkEnd w:id="21"/>
      <w:r>
        <w:rPr>
          <w:rFonts w:eastAsia="黑体"/>
          <w:sz w:val="32"/>
          <w:szCs w:val="32"/>
        </w:rPr>
        <w:t>完成情况</w:t>
      </w:r>
      <w:bookmarkEnd w:id="22"/>
    </w:p>
    <w:p>
      <w:pPr>
        <w:spacing w:line="560" w:lineRule="exact"/>
        <w:ind w:firstLine="640" w:firstLineChars="200"/>
        <w:rPr>
          <w:rFonts w:eastAsia="仿宋_GB2312"/>
          <w:sz w:val="32"/>
          <w:szCs w:val="32"/>
        </w:rPr>
      </w:pPr>
      <w:r>
        <w:rPr>
          <w:rFonts w:eastAsia="仿宋_GB2312"/>
          <w:sz w:val="32"/>
          <w:szCs w:val="32"/>
        </w:rPr>
        <w:t>1.紧紧围绕财政工作目标任务，加强财政资金支出监督管理，进一步规范报账程序，简化报账手续，提高服务质量、办事效率，涉及“急、难、险、重”及</w:t>
      </w:r>
      <w:r>
        <w:rPr>
          <w:rFonts w:hint="eastAsia" w:eastAsia="仿宋_GB2312"/>
          <w:sz w:val="32"/>
          <w:szCs w:val="32"/>
          <w:lang w:eastAsia="zh-CN"/>
        </w:rPr>
        <w:t>疫情防控</w:t>
      </w:r>
      <w:r>
        <w:rPr>
          <w:rFonts w:eastAsia="仿宋_GB2312"/>
          <w:sz w:val="32"/>
          <w:szCs w:val="32"/>
        </w:rPr>
        <w:t>、民生工程等方面的资金支付，做到“急事急办、特事特办”，并作为一个常抓不懈的工作机制。</w:t>
      </w:r>
    </w:p>
    <w:p>
      <w:pPr>
        <w:spacing w:line="560" w:lineRule="exact"/>
        <w:ind w:firstLine="640" w:firstLineChars="200"/>
        <w:rPr>
          <w:rFonts w:eastAsia="仿宋_GB2312"/>
          <w:sz w:val="32"/>
          <w:szCs w:val="32"/>
        </w:rPr>
      </w:pPr>
      <w:r>
        <w:rPr>
          <w:rFonts w:eastAsia="仿宋_GB2312"/>
          <w:sz w:val="32"/>
          <w:szCs w:val="32"/>
        </w:rPr>
        <w:t>2.积极主动与预算单位、代理银行、财政局业务</w:t>
      </w:r>
      <w:r>
        <w:rPr>
          <w:rFonts w:hint="eastAsia" w:eastAsia="仿宋_GB2312"/>
          <w:sz w:val="32"/>
          <w:szCs w:val="32"/>
          <w:lang w:eastAsia="zh-CN"/>
        </w:rPr>
        <w:t>股</w:t>
      </w:r>
      <w:r>
        <w:rPr>
          <w:rFonts w:eastAsia="仿宋_GB2312"/>
          <w:sz w:val="32"/>
          <w:szCs w:val="32"/>
        </w:rPr>
        <w:t>室加强工作联系，共同解决工作的问题和难题，特别是今年经济持续下行财政资金困难的情况下，严格按照财政支出序列，保障了全县干部职工工资按时足额发放，县乡机关事业单位正常运转，重点项目资金有序支付；同时每月定时与财政国库部门对账，确保了支出准确无误，账账相符。</w:t>
      </w:r>
    </w:p>
    <w:p>
      <w:pPr>
        <w:spacing w:line="560" w:lineRule="exact"/>
        <w:ind w:firstLine="640" w:firstLineChars="200"/>
        <w:rPr>
          <w:rFonts w:eastAsia="仿宋_GB2312"/>
          <w:sz w:val="32"/>
          <w:szCs w:val="32"/>
        </w:rPr>
      </w:pPr>
      <w:r>
        <w:rPr>
          <w:rFonts w:eastAsia="仿宋_GB2312"/>
          <w:sz w:val="32"/>
          <w:szCs w:val="32"/>
        </w:rPr>
        <w:t>3.改进预算执行动态监控工作，逐步建立预算执行动态监控机制，修订完善动态监控预警规则。按照省、市财政的要求主动与省厅信息处联系，并安排专人负责该项工作，对预算单位的不规范支出通过电话询问和腾讯通等方式及时纠正，充分发挥监控系统实时监控功能，进一步规范财政授权支付行为，有效防范化解财政风险。</w:t>
      </w:r>
    </w:p>
    <w:p>
      <w:pPr>
        <w:spacing w:line="560" w:lineRule="exact"/>
        <w:ind w:firstLine="640" w:firstLineChars="200"/>
        <w:rPr>
          <w:rFonts w:eastAsia="仿宋_GB2312"/>
          <w:sz w:val="32"/>
          <w:szCs w:val="32"/>
        </w:rPr>
      </w:pPr>
      <w:r>
        <w:rPr>
          <w:rFonts w:eastAsia="仿宋_GB2312"/>
          <w:sz w:val="32"/>
          <w:szCs w:val="32"/>
        </w:rPr>
        <w:t xml:space="preserve"> 4.加强作风业务廉政建设，提升队伍纪律作风水平。加强作风建设，规范日常管理，严格纪律作风考核，使支付核算忙而不乱，有条不紊，维护好窗口形象；加强廉政建设，认真执行廉政建设的有关规定，杜绝报人情账、关系账现象。做到警钟长鸣，让中心员工时刻保持高度的廉政意识，保持良好的机关作风，保持清正廉洁的财政队伍形象；严格执行各项管理制度，做到制度面前人人平等，实行请销假、休假审批等制度。</w:t>
      </w:r>
    </w:p>
    <w:p>
      <w:pPr>
        <w:widowControl/>
        <w:jc w:val="center"/>
        <w:rPr>
          <w:rFonts w:ascii="黑体" w:hAnsi="黑体" w:eastAsia="黑体"/>
          <w:sz w:val="44"/>
          <w:szCs w:val="44"/>
        </w:rPr>
      </w:pPr>
      <w:bookmarkStart w:id="23" w:name="_Toc15396602"/>
      <w:bookmarkStart w:id="24" w:name="_Toc15377204"/>
    </w:p>
    <w:p>
      <w:pPr>
        <w:widowControl/>
        <w:jc w:val="center"/>
        <w:rPr>
          <w:rFonts w:ascii="黑体" w:hAnsi="黑体" w:eastAsia="黑体"/>
          <w:sz w:val="44"/>
          <w:szCs w:val="44"/>
        </w:rPr>
      </w:pPr>
    </w:p>
    <w:p>
      <w:pPr>
        <w:widowControl/>
        <w:jc w:val="center"/>
        <w:rPr>
          <w:rFonts w:ascii="黑体" w:hAnsi="黑体" w:eastAsia="黑体"/>
          <w:sz w:val="44"/>
          <w:szCs w:val="44"/>
        </w:rPr>
      </w:pPr>
    </w:p>
    <w:p>
      <w:pPr>
        <w:widowControl/>
        <w:jc w:val="center"/>
        <w:rPr>
          <w:rFonts w:ascii="黑体" w:hAnsi="黑体" w:eastAsia="黑体"/>
          <w:sz w:val="44"/>
          <w:szCs w:val="44"/>
        </w:rPr>
      </w:pPr>
    </w:p>
    <w:p>
      <w:pPr>
        <w:widowControl/>
        <w:jc w:val="center"/>
        <w:rPr>
          <w:rFonts w:ascii="黑体" w:hAnsi="黑体" w:eastAsia="黑体"/>
          <w:sz w:val="44"/>
          <w:szCs w:val="44"/>
        </w:rPr>
      </w:pPr>
    </w:p>
    <w:p>
      <w:pPr>
        <w:widowControl/>
        <w:jc w:val="center"/>
        <w:rPr>
          <w:rFonts w:ascii="黑体" w:hAnsi="黑体" w:eastAsia="黑体"/>
          <w:sz w:val="44"/>
          <w:szCs w:val="44"/>
        </w:rPr>
      </w:pPr>
    </w:p>
    <w:p>
      <w:pPr>
        <w:widowControl/>
        <w:jc w:val="center"/>
        <w:rPr>
          <w:rFonts w:ascii="黑体" w:hAnsi="黑体" w:eastAsia="黑体"/>
          <w:sz w:val="44"/>
          <w:szCs w:val="44"/>
        </w:rPr>
      </w:pPr>
    </w:p>
    <w:p>
      <w:pPr>
        <w:widowControl/>
        <w:jc w:val="center"/>
        <w:rPr>
          <w:rFonts w:ascii="黑体" w:hAnsi="黑体" w:eastAsia="黑体"/>
          <w:sz w:val="44"/>
          <w:szCs w:val="44"/>
        </w:rPr>
      </w:pPr>
    </w:p>
    <w:p>
      <w:pPr>
        <w:widowControl/>
        <w:jc w:val="center"/>
        <w:rPr>
          <w:rFonts w:ascii="黑体" w:hAnsi="黑体" w:eastAsia="黑体"/>
          <w:sz w:val="44"/>
          <w:szCs w:val="44"/>
        </w:rPr>
      </w:pPr>
    </w:p>
    <w:p>
      <w:pPr>
        <w:spacing w:line="560" w:lineRule="exact"/>
        <w:jc w:val="center"/>
        <w:rPr>
          <w:rFonts w:eastAsia="黑体"/>
          <w:sz w:val="44"/>
          <w:szCs w:val="44"/>
        </w:rPr>
      </w:pPr>
      <w:r>
        <w:rPr>
          <w:rFonts w:eastAsia="黑体"/>
          <w:sz w:val="44"/>
          <w:szCs w:val="44"/>
        </w:rPr>
        <w:t>第二部分 2021年度单位决算情况说明</w:t>
      </w:r>
      <w:bookmarkEnd w:id="23"/>
      <w:bookmarkEnd w:id="24"/>
    </w:p>
    <w:p>
      <w:pPr>
        <w:spacing w:line="560" w:lineRule="exact"/>
        <w:ind w:firstLine="640" w:firstLineChars="200"/>
        <w:rPr>
          <w:rFonts w:eastAsia="仿宋_GB2312"/>
          <w:sz w:val="32"/>
          <w:szCs w:val="32"/>
        </w:rPr>
      </w:pPr>
    </w:p>
    <w:p>
      <w:pPr>
        <w:spacing w:line="560" w:lineRule="exact"/>
        <w:ind w:firstLine="640" w:firstLineChars="200"/>
        <w:rPr>
          <w:rFonts w:eastAsia="黑体"/>
          <w:sz w:val="32"/>
          <w:szCs w:val="32"/>
        </w:rPr>
      </w:pPr>
      <w:bookmarkStart w:id="25" w:name="_Toc15377205"/>
      <w:bookmarkStart w:id="26" w:name="_Toc15396603"/>
      <w:bookmarkStart w:id="27" w:name="_Toc13166"/>
      <w:r>
        <w:rPr>
          <w:rFonts w:eastAsia="黑体"/>
          <w:sz w:val="32"/>
          <w:szCs w:val="32"/>
        </w:rPr>
        <w:t>一、收入支出决算总体情况说明</w:t>
      </w:r>
      <w:bookmarkEnd w:id="25"/>
      <w:bookmarkEnd w:id="26"/>
      <w:bookmarkEnd w:id="27"/>
    </w:p>
    <w:p>
      <w:pPr>
        <w:spacing w:line="560" w:lineRule="exact"/>
        <w:ind w:firstLine="640" w:firstLineChars="200"/>
        <w:rPr>
          <w:rFonts w:eastAsia="仿宋_GB2312"/>
          <w:sz w:val="32"/>
          <w:szCs w:val="32"/>
        </w:rPr>
      </w:pPr>
      <w:r>
        <w:rPr>
          <w:rFonts w:eastAsia="仿宋_GB2312"/>
          <w:sz w:val="32"/>
          <w:szCs w:val="32"/>
        </w:rPr>
        <w:t>2021年度收、支总计257.78万元。与2020年相比，收、支总计增加31.1万元，增长13.72%。主要变动原因是招录新增人员，人员经费及公用经费增加。</w:t>
      </w:r>
    </w:p>
    <w:p>
      <w:pPr>
        <w:pStyle w:val="6"/>
        <w:spacing w:before="93"/>
        <w:rPr>
          <w:sz w:val="32"/>
          <w:szCs w:val="32"/>
        </w:rPr>
      </w:pPr>
      <w:r>
        <w:drawing>
          <wp:inline distT="0" distB="0" distL="114300" distR="114300">
            <wp:extent cx="5271135" cy="3058160"/>
            <wp:effectExtent l="4445" t="4445" r="20320" b="23495"/>
            <wp:docPr id="23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560" w:lineRule="exact"/>
        <w:ind w:firstLine="640" w:firstLineChars="200"/>
        <w:rPr>
          <w:rFonts w:eastAsia="黑体"/>
          <w:sz w:val="32"/>
          <w:szCs w:val="32"/>
        </w:rPr>
      </w:pPr>
      <w:bookmarkStart w:id="28" w:name="_Toc15396604"/>
      <w:bookmarkStart w:id="29" w:name="_Toc24737"/>
      <w:bookmarkStart w:id="30" w:name="_Toc15377206"/>
      <w:r>
        <w:rPr>
          <w:rFonts w:eastAsia="黑体"/>
          <w:sz w:val="32"/>
          <w:szCs w:val="32"/>
        </w:rPr>
        <w:t>二、收入决算情况说明</w:t>
      </w:r>
      <w:bookmarkEnd w:id="28"/>
      <w:bookmarkEnd w:id="29"/>
      <w:bookmarkEnd w:id="30"/>
    </w:p>
    <w:p>
      <w:pPr>
        <w:spacing w:line="560" w:lineRule="exact"/>
        <w:ind w:firstLine="640" w:firstLineChars="200"/>
        <w:rPr>
          <w:rFonts w:eastAsia="仿宋_GB2312"/>
          <w:sz w:val="32"/>
          <w:szCs w:val="32"/>
        </w:rPr>
      </w:pPr>
      <w:bookmarkStart w:id="31" w:name="_Toc10117"/>
      <w:bookmarkStart w:id="32" w:name="_Toc8001"/>
      <w:r>
        <w:rPr>
          <w:rFonts w:eastAsia="仿宋_GB2312"/>
          <w:sz w:val="32"/>
          <w:szCs w:val="32"/>
        </w:rPr>
        <w:t>2021年本年收入合计257.78万元，其中：一般公共预算财政拨款收入257.78万元，占0%；政府性基金预算财政拨款收入0万元，占0%；国有资本经营预算财政拨款收入0万元，占0%；上级补助收入0万元，占0%；事业收入0万元，占0%；经营收入0万元，占0%；附属单位上缴收入0万元，占0%；其他收入0万元，占0%。</w:t>
      </w:r>
      <w:bookmarkEnd w:id="31"/>
      <w:bookmarkEnd w:id="32"/>
    </w:p>
    <w:p>
      <w:pPr>
        <w:pStyle w:val="6"/>
        <w:spacing w:before="93"/>
        <w:rPr>
          <w:sz w:val="32"/>
          <w:szCs w:val="32"/>
        </w:rPr>
      </w:pPr>
      <w:r>
        <w:drawing>
          <wp:inline distT="0" distB="0" distL="114300" distR="114300">
            <wp:extent cx="5269865" cy="2668270"/>
            <wp:effectExtent l="4445" t="4445" r="21590" b="13335"/>
            <wp:docPr id="238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6"/>
        <w:spacing w:before="93"/>
        <w:rPr>
          <w:sz w:val="32"/>
          <w:szCs w:val="32"/>
        </w:rPr>
      </w:pPr>
    </w:p>
    <w:p>
      <w:pPr>
        <w:spacing w:line="560" w:lineRule="exact"/>
        <w:ind w:firstLine="640" w:firstLineChars="200"/>
        <w:rPr>
          <w:rFonts w:eastAsia="黑体"/>
          <w:sz w:val="32"/>
          <w:szCs w:val="32"/>
        </w:rPr>
      </w:pPr>
      <w:bookmarkStart w:id="33" w:name="_Toc5212"/>
      <w:bookmarkStart w:id="34" w:name="_Toc15377207"/>
      <w:bookmarkStart w:id="35" w:name="_Toc12136"/>
      <w:bookmarkStart w:id="36" w:name="_Toc15396605"/>
      <w:r>
        <w:rPr>
          <w:rFonts w:eastAsia="黑体"/>
          <w:sz w:val="32"/>
          <w:szCs w:val="32"/>
        </w:rPr>
        <w:t>三、支出决算情况说明</w:t>
      </w:r>
      <w:bookmarkEnd w:id="33"/>
      <w:bookmarkEnd w:id="34"/>
      <w:bookmarkEnd w:id="35"/>
      <w:bookmarkEnd w:id="36"/>
    </w:p>
    <w:p>
      <w:pPr>
        <w:spacing w:line="560" w:lineRule="exact"/>
        <w:ind w:firstLine="640" w:firstLineChars="200"/>
        <w:rPr>
          <w:rFonts w:eastAsia="仿宋_GB2312"/>
          <w:sz w:val="32"/>
          <w:szCs w:val="32"/>
        </w:rPr>
      </w:pPr>
      <w:bookmarkStart w:id="37" w:name="_Toc28851"/>
      <w:bookmarkStart w:id="38" w:name="_Toc32459"/>
      <w:r>
        <w:rPr>
          <w:rFonts w:eastAsia="仿宋_GB2312"/>
          <w:sz w:val="32"/>
          <w:szCs w:val="32"/>
        </w:rPr>
        <w:t>2021年本年支出合计257.78万元，其中：基本支出257.78万元，占100%；项目支出0万元，占0%；上缴上级支出0万元，占0%；经营支出0万元，占0%；对附属单位补助支出0万元，占0%。</w:t>
      </w:r>
      <w:bookmarkEnd w:id="37"/>
      <w:bookmarkEnd w:id="38"/>
    </w:p>
    <w:p>
      <w:pPr>
        <w:spacing w:line="600" w:lineRule="exact"/>
        <w:rPr>
          <w:rFonts w:ascii="仿宋" w:hAnsi="仿宋" w:eastAsia="仿宋"/>
          <w:sz w:val="32"/>
          <w:szCs w:val="32"/>
        </w:rPr>
      </w:pPr>
    </w:p>
    <w:p>
      <w:pPr>
        <w:pStyle w:val="6"/>
        <w:spacing w:before="93"/>
        <w:rPr>
          <w:sz w:val="32"/>
          <w:szCs w:val="32"/>
        </w:rPr>
      </w:pPr>
      <w:r>
        <w:drawing>
          <wp:inline distT="0" distB="0" distL="114300" distR="114300">
            <wp:extent cx="5272405" cy="2654300"/>
            <wp:effectExtent l="4445" t="4445" r="19050" b="8255"/>
            <wp:docPr id="233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60" w:lineRule="exact"/>
        <w:ind w:firstLine="640" w:firstLineChars="200"/>
        <w:rPr>
          <w:rFonts w:eastAsia="黑体"/>
          <w:sz w:val="32"/>
          <w:szCs w:val="32"/>
        </w:rPr>
      </w:pPr>
      <w:bookmarkStart w:id="39" w:name="_Toc15396606"/>
      <w:bookmarkStart w:id="40" w:name="_Toc9547"/>
      <w:bookmarkStart w:id="41" w:name="_Toc15377208"/>
      <w:r>
        <w:rPr>
          <w:rFonts w:eastAsia="黑体"/>
          <w:sz w:val="32"/>
          <w:szCs w:val="32"/>
        </w:rPr>
        <w:t>四、财政拨款收入支出决算总体情况说明</w:t>
      </w:r>
      <w:bookmarkEnd w:id="39"/>
      <w:bookmarkEnd w:id="40"/>
      <w:bookmarkEnd w:id="41"/>
    </w:p>
    <w:p>
      <w:pPr>
        <w:spacing w:line="560" w:lineRule="exact"/>
        <w:ind w:firstLine="640" w:firstLineChars="200"/>
        <w:rPr>
          <w:rFonts w:eastAsia="仿宋_GB2312"/>
          <w:sz w:val="32"/>
          <w:szCs w:val="32"/>
        </w:rPr>
      </w:pPr>
      <w:r>
        <w:rPr>
          <w:rFonts w:eastAsia="仿宋_GB2312"/>
          <w:sz w:val="32"/>
          <w:szCs w:val="32"/>
        </w:rPr>
        <w:t>2021年财政拨款收、支总计257.78万元。与2020年相比，财政拨款收、支总计增加31.1万元，增长13.72%。主要变动原因是招录新增人员，人员经费及公用经费增加。</w:t>
      </w:r>
    </w:p>
    <w:p>
      <w:pPr>
        <w:spacing w:line="600" w:lineRule="exact"/>
        <w:ind w:firstLine="640" w:firstLineChars="200"/>
        <w:rPr>
          <w:rFonts w:ascii="仿宋" w:hAnsi="仿宋" w:eastAsia="仿宋"/>
          <w:sz w:val="32"/>
          <w:szCs w:val="32"/>
        </w:rPr>
      </w:pPr>
    </w:p>
    <w:p>
      <w:pPr>
        <w:pStyle w:val="6"/>
        <w:spacing w:before="93"/>
        <w:rPr>
          <w:rFonts w:ascii="仿宋" w:hAnsi="仿宋" w:eastAsia="仿宋"/>
          <w:b/>
          <w:sz w:val="32"/>
          <w:szCs w:val="32"/>
        </w:rPr>
      </w:pPr>
      <w:r>
        <w:drawing>
          <wp:inline distT="0" distB="0" distL="114300" distR="114300">
            <wp:extent cx="5269230" cy="2743835"/>
            <wp:effectExtent l="4445" t="4445" r="22225" b="13970"/>
            <wp:docPr id="2335"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580" w:lineRule="exact"/>
        <w:rPr>
          <w:rFonts w:ascii="仿宋_GB2312" w:eastAsia="仿宋_GB2312"/>
          <w:sz w:val="32"/>
          <w:szCs w:val="32"/>
        </w:rPr>
      </w:pPr>
      <w:bookmarkStart w:id="42" w:name="_Toc15377209"/>
      <w:bookmarkStart w:id="43" w:name="_Toc15396607"/>
      <w:bookmarkStart w:id="44" w:name="_Toc30526"/>
    </w:p>
    <w:p>
      <w:pPr>
        <w:spacing w:line="580" w:lineRule="exact"/>
        <w:ind w:firstLine="640" w:firstLineChars="200"/>
        <w:rPr>
          <w:rFonts w:eastAsia="黑体"/>
          <w:sz w:val="32"/>
          <w:szCs w:val="32"/>
        </w:rPr>
      </w:pPr>
      <w:r>
        <w:rPr>
          <w:rFonts w:eastAsia="黑体"/>
          <w:sz w:val="32"/>
          <w:szCs w:val="32"/>
        </w:rPr>
        <w:t>五、一般公共预算财政拨款支出决算情况说明</w:t>
      </w:r>
      <w:bookmarkEnd w:id="42"/>
      <w:bookmarkEnd w:id="43"/>
      <w:bookmarkEnd w:id="44"/>
    </w:p>
    <w:p>
      <w:pPr>
        <w:spacing w:line="580" w:lineRule="exact"/>
        <w:ind w:firstLine="640" w:firstLineChars="200"/>
        <w:rPr>
          <w:rFonts w:eastAsia="楷体_GB2312"/>
          <w:sz w:val="32"/>
          <w:szCs w:val="32"/>
        </w:rPr>
      </w:pPr>
      <w:bookmarkStart w:id="45" w:name="_Toc15377210"/>
      <w:bookmarkStart w:id="46" w:name="_Toc26303"/>
      <w:r>
        <w:rPr>
          <w:rFonts w:eastAsia="楷体_GB2312"/>
          <w:sz w:val="32"/>
          <w:szCs w:val="32"/>
        </w:rPr>
        <w:t>（一）一般公共预算财政拨款支出决算总体情况</w:t>
      </w:r>
      <w:bookmarkEnd w:id="45"/>
      <w:bookmarkEnd w:id="46"/>
      <w:r>
        <w:rPr>
          <w:rFonts w:eastAsia="楷体_GB2312"/>
          <w:sz w:val="32"/>
          <w:szCs w:val="32"/>
        </w:rPr>
        <w:t>。</w:t>
      </w:r>
    </w:p>
    <w:p>
      <w:pPr>
        <w:spacing w:line="580" w:lineRule="exact"/>
        <w:ind w:firstLine="640" w:firstLineChars="200"/>
        <w:rPr>
          <w:rFonts w:eastAsia="仿宋_GB2312"/>
          <w:sz w:val="32"/>
          <w:szCs w:val="32"/>
        </w:rPr>
      </w:pPr>
      <w:r>
        <w:rPr>
          <w:rFonts w:eastAsia="仿宋_GB2312"/>
          <w:sz w:val="32"/>
          <w:szCs w:val="32"/>
        </w:rPr>
        <w:t>2021年一般公共预算财政拨款支出257.78万元，占本年支出合计的100%。与2020年相比，一般公共预算财政拨款支出增加31.1万元，增长13.72%。主要变动原因是招录新增人员，人员经费及公用经费增加。</w:t>
      </w:r>
    </w:p>
    <w:p>
      <w:pPr>
        <w:pStyle w:val="6"/>
        <w:spacing w:before="93"/>
        <w:rPr>
          <w:rFonts w:ascii="仿宋" w:hAnsi="仿宋" w:eastAsia="仿宋"/>
          <w:sz w:val="32"/>
          <w:szCs w:val="32"/>
        </w:rPr>
      </w:pPr>
      <w:r>
        <w:drawing>
          <wp:inline distT="0" distB="0" distL="114300" distR="114300">
            <wp:extent cx="5417820" cy="3298190"/>
            <wp:effectExtent l="4445" t="4445" r="6985" b="12065"/>
            <wp:docPr id="233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321" w:firstLineChars="100"/>
        <w:outlineLvl w:val="2"/>
        <w:rPr>
          <w:rFonts w:ascii="仿宋" w:hAnsi="仿宋" w:eastAsia="仿宋"/>
          <w:b/>
          <w:sz w:val="32"/>
          <w:szCs w:val="32"/>
        </w:rPr>
      </w:pPr>
      <w:bookmarkStart w:id="47" w:name="_Toc15377211"/>
      <w:bookmarkStart w:id="48" w:name="_Toc1819"/>
    </w:p>
    <w:p>
      <w:pPr>
        <w:spacing w:line="560" w:lineRule="exact"/>
        <w:ind w:firstLine="640" w:firstLineChars="200"/>
        <w:rPr>
          <w:rFonts w:eastAsia="楷体_GB2312"/>
          <w:sz w:val="32"/>
          <w:szCs w:val="32"/>
        </w:rPr>
      </w:pPr>
      <w:r>
        <w:rPr>
          <w:rFonts w:eastAsia="楷体_GB2312"/>
          <w:sz w:val="32"/>
          <w:szCs w:val="32"/>
        </w:rPr>
        <w:t>（二）一般公共预算财政拨款支出决算结构情况</w:t>
      </w:r>
      <w:bookmarkEnd w:id="47"/>
      <w:bookmarkEnd w:id="48"/>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一般公共预算财政拨款支出257.78万元，主要用于以下方面:一般公共服务（类）支出188.07万元，占72.96%；社会保障和就业（类）支出36.42万元，占14.13%；卫生健康支出（类）13.34万元，占5.17%；住房保障支出（类）19.95万元，占7.74%。</w:t>
      </w:r>
    </w:p>
    <w:p>
      <w:pPr>
        <w:spacing w:line="600" w:lineRule="exact"/>
        <w:ind w:firstLine="640"/>
        <w:rPr>
          <w:rFonts w:ascii="仿宋" w:hAnsi="仿宋" w:eastAsia="仿宋"/>
          <w:sz w:val="32"/>
          <w:szCs w:val="32"/>
        </w:rPr>
      </w:pPr>
    </w:p>
    <w:p>
      <w:pPr>
        <w:spacing w:line="600" w:lineRule="exact"/>
        <w:ind w:firstLine="640" w:firstLineChars="200"/>
        <w:rPr>
          <w:rFonts w:ascii="仿宋" w:hAnsi="仿宋" w:eastAsia="仿宋"/>
          <w:sz w:val="32"/>
          <w:szCs w:val="32"/>
        </w:rPr>
      </w:pPr>
    </w:p>
    <w:p>
      <w:pPr>
        <w:pStyle w:val="2"/>
      </w:pPr>
      <w:r>
        <w:drawing>
          <wp:inline distT="0" distB="0" distL="114300" distR="114300">
            <wp:extent cx="5268595" cy="2961005"/>
            <wp:effectExtent l="4445" t="4445" r="22860" b="6350"/>
            <wp:docPr id="2333"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560" w:lineRule="exact"/>
        <w:ind w:firstLine="640" w:firstLineChars="200"/>
        <w:rPr>
          <w:rFonts w:eastAsia="楷体_GB2312"/>
          <w:sz w:val="32"/>
          <w:szCs w:val="32"/>
        </w:rPr>
      </w:pPr>
      <w:bookmarkStart w:id="49" w:name="_Toc15515"/>
      <w:bookmarkStart w:id="50" w:name="_Toc15377212"/>
      <w:r>
        <w:rPr>
          <w:rFonts w:eastAsia="楷体_GB2312"/>
          <w:sz w:val="32"/>
          <w:szCs w:val="32"/>
        </w:rPr>
        <w:t>（三）一般公共预算财政拨款支出决算具体情况</w:t>
      </w:r>
      <w:bookmarkEnd w:id="49"/>
      <w:bookmarkEnd w:id="50"/>
      <w:r>
        <w:rPr>
          <w:rFonts w:eastAsia="楷体_GB2312"/>
          <w:sz w:val="32"/>
          <w:szCs w:val="32"/>
        </w:rPr>
        <w:t>。</w:t>
      </w:r>
    </w:p>
    <w:p>
      <w:pPr>
        <w:spacing w:line="560" w:lineRule="exact"/>
        <w:ind w:firstLine="640" w:firstLineChars="200"/>
        <w:rPr>
          <w:rFonts w:eastAsia="仿宋_GB2312"/>
          <w:sz w:val="32"/>
          <w:szCs w:val="32"/>
        </w:rPr>
      </w:pPr>
      <w:bookmarkStart w:id="51" w:name="_Toc15377213"/>
      <w:bookmarkStart w:id="52" w:name="_Toc15377444"/>
      <w:bookmarkStart w:id="53" w:name="_Toc15378460"/>
      <w:bookmarkStart w:id="54" w:name="_Toc31192"/>
      <w:bookmarkStart w:id="55" w:name="_Toc28369"/>
      <w:r>
        <w:rPr>
          <w:rFonts w:eastAsia="仿宋_GB2312"/>
          <w:sz w:val="32"/>
          <w:szCs w:val="32"/>
        </w:rPr>
        <w:t>2021年一般公共预算支出决算数为257.78，完成预算100%。其中：</w:t>
      </w:r>
      <w:bookmarkEnd w:id="51"/>
      <w:bookmarkEnd w:id="52"/>
      <w:bookmarkEnd w:id="53"/>
      <w:bookmarkEnd w:id="54"/>
      <w:bookmarkEnd w:id="55"/>
    </w:p>
    <w:p>
      <w:pPr>
        <w:spacing w:line="560" w:lineRule="exact"/>
        <w:ind w:firstLine="643" w:firstLineChars="200"/>
        <w:rPr>
          <w:rFonts w:eastAsia="仿宋_GB2312"/>
          <w:sz w:val="32"/>
          <w:szCs w:val="32"/>
        </w:rPr>
      </w:pPr>
      <w:r>
        <w:rPr>
          <w:rFonts w:eastAsia="仿宋_GB2312"/>
          <w:b/>
          <w:sz w:val="32"/>
          <w:szCs w:val="32"/>
        </w:rPr>
        <w:t xml:space="preserve">1.一般公共服务（类）财政事务支出（款）行政运行（项）: </w:t>
      </w:r>
      <w:r>
        <w:rPr>
          <w:rFonts w:eastAsia="仿宋_GB2312"/>
          <w:sz w:val="32"/>
          <w:szCs w:val="32"/>
        </w:rPr>
        <w:t>支出决算为188.07万元，完成预算100%，决算数等于预算数。</w:t>
      </w:r>
    </w:p>
    <w:p>
      <w:pPr>
        <w:spacing w:line="560" w:lineRule="exact"/>
        <w:ind w:firstLine="643" w:firstLineChars="200"/>
        <w:rPr>
          <w:rFonts w:eastAsia="仿宋_GB2312"/>
          <w:b/>
          <w:sz w:val="32"/>
          <w:szCs w:val="32"/>
        </w:rPr>
      </w:pPr>
      <w:r>
        <w:rPr>
          <w:rFonts w:eastAsia="仿宋_GB2312"/>
          <w:b/>
          <w:sz w:val="32"/>
          <w:szCs w:val="32"/>
        </w:rPr>
        <w:t xml:space="preserve">2.社会保障和就业（类）行政事业单位养老支出（款）  </w:t>
      </w:r>
    </w:p>
    <w:p>
      <w:pPr>
        <w:spacing w:line="560" w:lineRule="exact"/>
        <w:ind w:firstLine="643" w:firstLineChars="200"/>
        <w:rPr>
          <w:rFonts w:eastAsia="仿宋_GB2312"/>
          <w:sz w:val="32"/>
          <w:szCs w:val="32"/>
        </w:rPr>
      </w:pPr>
      <w:r>
        <w:rPr>
          <w:rFonts w:eastAsia="仿宋_GB2312"/>
          <w:b/>
          <w:sz w:val="32"/>
          <w:szCs w:val="32"/>
        </w:rPr>
        <w:t>①行政单位离退休:</w:t>
      </w:r>
      <w:r>
        <w:rPr>
          <w:rFonts w:eastAsia="仿宋_GB2312"/>
          <w:sz w:val="32"/>
          <w:szCs w:val="32"/>
        </w:rPr>
        <w:t xml:space="preserve"> 支出决算为18.66万元，完成预算100%，决算数等于预算数。</w:t>
      </w:r>
    </w:p>
    <w:p>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支出决算为17.76万元，完成预算100%，决算数等于预算数。</w:t>
      </w:r>
    </w:p>
    <w:p>
      <w:pPr>
        <w:spacing w:line="560" w:lineRule="exact"/>
        <w:ind w:firstLine="643" w:firstLineChars="200"/>
        <w:rPr>
          <w:rFonts w:eastAsia="仿宋_GB2312"/>
          <w:sz w:val="32"/>
          <w:szCs w:val="32"/>
        </w:rPr>
      </w:pPr>
      <w:r>
        <w:rPr>
          <w:rFonts w:eastAsia="仿宋_GB2312"/>
          <w:b/>
          <w:sz w:val="32"/>
          <w:szCs w:val="32"/>
        </w:rPr>
        <w:t>3.住房保障支出（类）住房改革支出（款）住房公积金（项）：</w:t>
      </w:r>
      <w:r>
        <w:rPr>
          <w:rFonts w:eastAsia="仿宋_GB2312"/>
          <w:sz w:val="32"/>
          <w:szCs w:val="32"/>
        </w:rPr>
        <w:t>支出决算为19.95万元，完成预算100%，决算数等于预算数。</w:t>
      </w:r>
    </w:p>
    <w:p>
      <w:pPr>
        <w:spacing w:line="560" w:lineRule="exact"/>
        <w:ind w:firstLine="643" w:firstLineChars="200"/>
        <w:rPr>
          <w:rFonts w:eastAsia="仿宋_GB2312"/>
          <w:b/>
          <w:sz w:val="32"/>
          <w:szCs w:val="32"/>
        </w:rPr>
      </w:pPr>
      <w:r>
        <w:rPr>
          <w:rFonts w:eastAsia="仿宋_GB2312"/>
          <w:b/>
          <w:sz w:val="32"/>
          <w:szCs w:val="32"/>
        </w:rPr>
        <w:t>4.卫生健康支出（类）行政事业单位医疗（款）：</w:t>
      </w:r>
    </w:p>
    <w:p>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支出决算为18.66万元，完成预算100%，决算数等于预算数。</w:t>
      </w:r>
    </w:p>
    <w:p>
      <w:pPr>
        <w:spacing w:line="560" w:lineRule="exact"/>
        <w:ind w:firstLine="643" w:firstLineChars="200"/>
        <w:rPr>
          <w:rFonts w:eastAsia="仿宋_GB2312"/>
          <w:sz w:val="32"/>
          <w:szCs w:val="32"/>
        </w:rPr>
      </w:pPr>
      <w:r>
        <w:rPr>
          <w:rFonts w:eastAsia="仿宋_GB2312"/>
          <w:b/>
          <w:sz w:val="32"/>
          <w:szCs w:val="32"/>
        </w:rPr>
        <w:t>②公务员医疗补助</w:t>
      </w:r>
      <w:r>
        <w:rPr>
          <w:rFonts w:eastAsia="仿宋_GB2312"/>
          <w:sz w:val="32"/>
          <w:szCs w:val="32"/>
        </w:rPr>
        <w:t>：支出决算为1.52万元，完成预算100%，决算数等于预算数。</w:t>
      </w:r>
    </w:p>
    <w:p>
      <w:pPr>
        <w:spacing w:line="560" w:lineRule="exact"/>
        <w:ind w:firstLine="640" w:firstLineChars="200"/>
        <w:rPr>
          <w:rFonts w:eastAsia="黑体"/>
          <w:sz w:val="32"/>
          <w:szCs w:val="32"/>
        </w:rPr>
      </w:pPr>
      <w:bookmarkStart w:id="56" w:name="_Toc15377214"/>
      <w:bookmarkStart w:id="57" w:name="_Toc23738"/>
      <w:bookmarkStart w:id="58" w:name="_Toc15396608"/>
      <w:r>
        <w:rPr>
          <w:rFonts w:eastAsia="黑体"/>
          <w:sz w:val="32"/>
          <w:szCs w:val="32"/>
        </w:rPr>
        <w:t>六、一般公共预算财政拨款基本支出决算情况说明</w:t>
      </w:r>
      <w:bookmarkEnd w:id="56"/>
      <w:bookmarkEnd w:id="57"/>
      <w:bookmarkEnd w:id="58"/>
      <w:r>
        <w:rPr>
          <w:rFonts w:eastAsia="黑体"/>
          <w:sz w:val="32"/>
          <w:szCs w:val="32"/>
        </w:rPr>
        <w:tab/>
      </w:r>
    </w:p>
    <w:p>
      <w:pPr>
        <w:spacing w:line="560" w:lineRule="exact"/>
        <w:ind w:firstLine="640" w:firstLineChars="200"/>
        <w:rPr>
          <w:rFonts w:eastAsia="仿宋_GB2312"/>
          <w:sz w:val="32"/>
          <w:szCs w:val="32"/>
        </w:rPr>
      </w:pPr>
      <w:r>
        <w:rPr>
          <w:rFonts w:eastAsia="仿宋_GB2312"/>
          <w:sz w:val="32"/>
          <w:szCs w:val="32"/>
        </w:rPr>
        <w:t>2021年一般公共预算财政拨款基本支出257.78万元，其中：</w:t>
      </w:r>
    </w:p>
    <w:p>
      <w:pPr>
        <w:spacing w:line="560" w:lineRule="exact"/>
        <w:ind w:firstLine="640" w:firstLineChars="200"/>
        <w:rPr>
          <w:rFonts w:eastAsia="仿宋_GB2312"/>
          <w:sz w:val="32"/>
          <w:szCs w:val="32"/>
        </w:rPr>
      </w:pPr>
      <w:r>
        <w:rPr>
          <w:rFonts w:eastAsia="楷体_GB2312"/>
          <w:sz w:val="32"/>
          <w:szCs w:val="32"/>
        </w:rPr>
        <w:t>（一）人员经费238.85万元，主要包括：</w:t>
      </w:r>
      <w:r>
        <w:rPr>
          <w:rFonts w:eastAsia="仿宋_GB2312"/>
          <w:sz w:val="32"/>
          <w:szCs w:val="32"/>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仿宋_GB2312"/>
          <w:sz w:val="32"/>
          <w:szCs w:val="32"/>
        </w:rPr>
        <w:br w:type="textWrapping"/>
      </w:r>
      <w:r>
        <w:rPr>
          <w:rFonts w:eastAsia="仿宋_GB2312"/>
          <w:sz w:val="32"/>
          <w:szCs w:val="32"/>
        </w:rPr>
        <w:t>　　</w:t>
      </w:r>
      <w:r>
        <w:rPr>
          <w:rFonts w:eastAsia="楷体_GB2312"/>
          <w:sz w:val="32"/>
          <w:szCs w:val="32"/>
        </w:rPr>
        <w:t>（二）公用经费18.92万元，主要包括：</w:t>
      </w:r>
      <w:r>
        <w:rPr>
          <w:rFonts w:eastAsia="仿宋_GB2312"/>
          <w:sz w:val="32"/>
          <w:szCs w:val="32"/>
        </w:rPr>
        <w:t>办公费、邮电费、差旅费、维修（护）费培训费、工会经费、福利费、其他交通费、办公设备购置等。</w:t>
      </w:r>
    </w:p>
    <w:p>
      <w:pPr>
        <w:spacing w:line="560" w:lineRule="exact"/>
        <w:ind w:firstLine="640" w:firstLineChars="200"/>
        <w:rPr>
          <w:rFonts w:eastAsia="黑体"/>
          <w:sz w:val="32"/>
          <w:szCs w:val="32"/>
        </w:rPr>
      </w:pPr>
      <w:bookmarkStart w:id="59" w:name="_Toc15377215"/>
      <w:bookmarkStart w:id="60" w:name="_Toc20307"/>
      <w:bookmarkStart w:id="61" w:name="_Toc15396609"/>
      <w:r>
        <w:rPr>
          <w:rFonts w:eastAsia="黑体"/>
          <w:sz w:val="32"/>
          <w:szCs w:val="32"/>
        </w:rPr>
        <w:t>七、“三公”经费财政拨款支出决算情况说明</w:t>
      </w:r>
      <w:bookmarkEnd w:id="59"/>
      <w:bookmarkEnd w:id="60"/>
      <w:bookmarkEnd w:id="61"/>
    </w:p>
    <w:p>
      <w:pPr>
        <w:spacing w:line="560" w:lineRule="exact"/>
        <w:ind w:firstLine="640" w:firstLineChars="200"/>
        <w:rPr>
          <w:rFonts w:eastAsia="楷体_GB2312"/>
          <w:sz w:val="32"/>
          <w:szCs w:val="32"/>
        </w:rPr>
      </w:pPr>
      <w:bookmarkStart w:id="62" w:name="_Toc15377216"/>
      <w:bookmarkStart w:id="63" w:name="_Toc9407"/>
      <w:r>
        <w:rPr>
          <w:rFonts w:eastAsia="楷体_GB2312"/>
          <w:sz w:val="32"/>
          <w:szCs w:val="32"/>
        </w:rPr>
        <w:t>（一）“三公”经费财政拨款支出决算总体情况说明</w:t>
      </w:r>
      <w:bookmarkEnd w:id="62"/>
      <w:bookmarkEnd w:id="63"/>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2021年“三公”经费财政拨款支出决算为0万元。</w:t>
      </w:r>
    </w:p>
    <w:p>
      <w:pPr>
        <w:spacing w:line="560" w:lineRule="exact"/>
        <w:ind w:firstLine="640" w:firstLineChars="200"/>
        <w:rPr>
          <w:rFonts w:eastAsia="楷体_GB2312"/>
          <w:sz w:val="32"/>
          <w:szCs w:val="32"/>
        </w:rPr>
      </w:pPr>
      <w:bookmarkStart w:id="64" w:name="_Toc15377217"/>
      <w:bookmarkStart w:id="65" w:name="_Toc13893"/>
      <w:r>
        <w:rPr>
          <w:rFonts w:eastAsia="楷体_GB2312"/>
          <w:sz w:val="32"/>
          <w:szCs w:val="32"/>
        </w:rPr>
        <w:t>（二）“三公”经费财政拨款支出决算具体情况说明</w:t>
      </w:r>
      <w:bookmarkEnd w:id="64"/>
      <w:bookmarkEnd w:id="65"/>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2021年“三公”经费财政拨款支出决算中，因公出国（境）费支出决算0万元，占0%；公务用车购置及运行维护费支出决算0万元，占0%；公务接待费支出决算0万元，占0%。具体情况如下：</w:t>
      </w:r>
    </w:p>
    <w:p>
      <w:pPr>
        <w:pStyle w:val="6"/>
        <w:spacing w:before="93"/>
        <w:rPr>
          <w:rFonts w:ascii="仿宋" w:hAnsi="仿宋" w:eastAsia="仿宋"/>
          <w:sz w:val="32"/>
          <w:szCs w:val="32"/>
        </w:rPr>
      </w:pPr>
    </w:p>
    <w:p>
      <w:pPr>
        <w:pStyle w:val="6"/>
        <w:spacing w:before="93"/>
        <w:rPr>
          <w:b/>
          <w:sz w:val="32"/>
          <w:szCs w:val="32"/>
        </w:rPr>
      </w:pPr>
      <w:bookmarkStart w:id="66" w:name="_Toc15396610"/>
      <w:bookmarkStart w:id="67" w:name="_Toc15377218"/>
      <w:r>
        <w:drawing>
          <wp:inline distT="0" distB="0" distL="114300" distR="114300">
            <wp:extent cx="5268595" cy="2740660"/>
            <wp:effectExtent l="4445" t="4445" r="22860" b="17145"/>
            <wp:docPr id="223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仿宋_GB2312"/>
          <w:sz w:val="32"/>
          <w:szCs w:val="32"/>
        </w:rPr>
        <w:t>1.因公出国（境）经费支出0万元，完成预算0%。全年安排因公出国（境）团组0次，出国（境）0人。因公出国（境）支出决算比2020年无增减变动。主要原因是我单位2021年无因公出国（境）支出。</w:t>
      </w:r>
    </w:p>
    <w:p>
      <w:pPr>
        <w:spacing w:line="560" w:lineRule="exact"/>
        <w:ind w:firstLine="640" w:firstLineChars="200"/>
        <w:rPr>
          <w:rFonts w:eastAsia="仿宋_GB2312"/>
          <w:sz w:val="32"/>
          <w:szCs w:val="32"/>
        </w:rPr>
      </w:pPr>
      <w:r>
        <w:rPr>
          <w:rFonts w:eastAsia="仿宋_GB2312"/>
          <w:sz w:val="32"/>
          <w:szCs w:val="32"/>
        </w:rPr>
        <w:t>开支内容包括：（团组名称、出访地点、取得成效）等。</w:t>
      </w:r>
    </w:p>
    <w:p>
      <w:pPr>
        <w:spacing w:line="560" w:lineRule="exact"/>
        <w:ind w:firstLine="640" w:firstLineChars="200"/>
        <w:rPr>
          <w:rFonts w:eastAsia="仿宋_GB2312"/>
          <w:sz w:val="32"/>
          <w:szCs w:val="32"/>
        </w:rPr>
      </w:pPr>
      <w:r>
        <w:rPr>
          <w:rFonts w:eastAsia="仿宋_GB2312"/>
          <w:sz w:val="32"/>
          <w:szCs w:val="32"/>
        </w:rPr>
        <w:t>2.公务用车购置及运行维护费支出0万元,完成预算0%。公务用车购置及运行维护费支出决算比2021年无增减变动，主要原因是我单位2021年无公务用车购置及运行维护费支出。</w:t>
      </w:r>
    </w:p>
    <w:p>
      <w:pPr>
        <w:spacing w:line="560" w:lineRule="exact"/>
        <w:ind w:firstLine="640" w:firstLineChars="200"/>
        <w:rPr>
          <w:rFonts w:eastAsia="仿宋_GB2312"/>
          <w:sz w:val="32"/>
          <w:szCs w:val="32"/>
        </w:rPr>
      </w:pPr>
      <w:r>
        <w:rPr>
          <w:rFonts w:eastAsia="仿宋_GB2312"/>
          <w:sz w:val="32"/>
          <w:szCs w:val="32"/>
        </w:rPr>
        <w:t>其中：公务用车购置支出0万元。全年按规定更新购置公务用车0辆，其中：轿车0辆、金额0万元，越野车0辆、金额0万元，载客汽车0辆、金额0万元。截至2020年12月底，单位共有公务用车0辆，其中：轿车0辆、越野车0辆、载客汽车0辆。</w:t>
      </w:r>
    </w:p>
    <w:p>
      <w:pPr>
        <w:spacing w:line="560" w:lineRule="exact"/>
        <w:ind w:firstLine="640" w:firstLineChars="200"/>
        <w:rPr>
          <w:rFonts w:eastAsia="仿宋_GB2312"/>
          <w:sz w:val="32"/>
          <w:szCs w:val="32"/>
        </w:rPr>
      </w:pPr>
      <w:r>
        <w:rPr>
          <w:rFonts w:eastAsia="仿宋_GB2312"/>
          <w:sz w:val="32"/>
          <w:szCs w:val="32"/>
        </w:rPr>
        <w:t>公务用车运行维护费支出0万元。主要用于（具体工作）等所需的公务用车燃料费、维修费、过路过桥费、保险费等支出。</w:t>
      </w:r>
    </w:p>
    <w:p>
      <w:pPr>
        <w:spacing w:line="560" w:lineRule="exact"/>
        <w:ind w:firstLine="640" w:firstLineChars="200"/>
        <w:rPr>
          <w:rFonts w:eastAsia="仿宋_GB2312"/>
          <w:sz w:val="32"/>
          <w:szCs w:val="32"/>
        </w:rPr>
      </w:pPr>
      <w:r>
        <w:rPr>
          <w:rFonts w:eastAsia="仿宋_GB2312"/>
          <w:sz w:val="32"/>
          <w:szCs w:val="32"/>
        </w:rPr>
        <w:t>3.公务接待费支出0万元。公务接待费支出决算比2020年减少0.10万元，下降100%。主要原因是单位无接待支出。</w:t>
      </w:r>
    </w:p>
    <w:p>
      <w:pPr>
        <w:spacing w:line="560" w:lineRule="exact"/>
        <w:ind w:firstLine="640" w:firstLineChars="200"/>
        <w:rPr>
          <w:rFonts w:eastAsia="仿宋_GB2312"/>
          <w:sz w:val="32"/>
          <w:szCs w:val="32"/>
        </w:rPr>
      </w:pPr>
      <w:r>
        <w:rPr>
          <w:rFonts w:eastAsia="仿宋_GB2312"/>
          <w:sz w:val="32"/>
          <w:szCs w:val="32"/>
        </w:rPr>
        <w:t>国内公务接待支出0万元，主要用于执行公务、开展业务活动开支的交通费、住宿费、用餐费等。国内公务接待0批次，0人次（不包括陪同人员），共计支出0万元，主要用于（具体项目）。</w:t>
      </w:r>
    </w:p>
    <w:p>
      <w:pPr>
        <w:spacing w:line="560" w:lineRule="exact"/>
        <w:ind w:firstLine="640" w:firstLineChars="200"/>
        <w:rPr>
          <w:rFonts w:eastAsia="仿宋_GB2312"/>
          <w:sz w:val="32"/>
          <w:szCs w:val="32"/>
        </w:rPr>
      </w:pPr>
      <w:r>
        <w:rPr>
          <w:rFonts w:eastAsia="仿宋_GB2312"/>
          <w:sz w:val="32"/>
          <w:szCs w:val="32"/>
        </w:rPr>
        <w:t>外事接待支出0万元，外事接待0批次，0人，共计支出0万元，主要用于（具体项目）。</w:t>
      </w:r>
    </w:p>
    <w:p>
      <w:pPr>
        <w:spacing w:line="560" w:lineRule="exact"/>
        <w:ind w:firstLine="640" w:firstLineChars="200"/>
        <w:rPr>
          <w:rFonts w:eastAsia="黑体"/>
          <w:sz w:val="32"/>
          <w:szCs w:val="32"/>
        </w:rPr>
      </w:pPr>
      <w:bookmarkStart w:id="68" w:name="_Toc16391"/>
      <w:r>
        <w:rPr>
          <w:rFonts w:eastAsia="黑体"/>
          <w:sz w:val="32"/>
          <w:szCs w:val="32"/>
        </w:rPr>
        <w:t>八、政府性基金预算支出决算情况说明</w:t>
      </w:r>
      <w:bookmarkEnd w:id="66"/>
      <w:bookmarkEnd w:id="67"/>
      <w:bookmarkEnd w:id="68"/>
    </w:p>
    <w:p>
      <w:pPr>
        <w:spacing w:line="560" w:lineRule="exact"/>
        <w:ind w:firstLine="640" w:firstLineChars="200"/>
        <w:rPr>
          <w:rFonts w:eastAsia="仿宋_GB2312"/>
          <w:sz w:val="32"/>
          <w:szCs w:val="32"/>
        </w:rPr>
      </w:pPr>
      <w:r>
        <w:rPr>
          <w:rFonts w:eastAsia="仿宋_GB2312"/>
          <w:sz w:val="32"/>
          <w:szCs w:val="32"/>
        </w:rPr>
        <w:t>2021年政府性基金预算财政拨款支出0万元。</w:t>
      </w:r>
    </w:p>
    <w:p>
      <w:pPr>
        <w:spacing w:line="560" w:lineRule="exact"/>
        <w:ind w:firstLine="640" w:firstLineChars="200"/>
        <w:rPr>
          <w:rFonts w:eastAsia="黑体"/>
          <w:sz w:val="32"/>
          <w:szCs w:val="32"/>
        </w:rPr>
      </w:pPr>
      <w:bookmarkStart w:id="69" w:name="_Toc15396611"/>
      <w:bookmarkStart w:id="70" w:name="_Toc15377219"/>
      <w:bookmarkStart w:id="71" w:name="_Toc19636"/>
      <w:r>
        <w:rPr>
          <w:rFonts w:eastAsia="黑体"/>
          <w:sz w:val="32"/>
          <w:szCs w:val="32"/>
        </w:rPr>
        <w:t>九、国有资本经营预算支出决算情况说明</w:t>
      </w:r>
      <w:bookmarkEnd w:id="69"/>
      <w:bookmarkEnd w:id="70"/>
      <w:bookmarkEnd w:id="71"/>
    </w:p>
    <w:p>
      <w:pPr>
        <w:spacing w:line="560" w:lineRule="exact"/>
        <w:ind w:firstLine="640" w:firstLineChars="200"/>
        <w:rPr>
          <w:rFonts w:eastAsia="仿宋_GB2312"/>
          <w:sz w:val="32"/>
          <w:szCs w:val="32"/>
        </w:rPr>
      </w:pPr>
      <w:r>
        <w:rPr>
          <w:rFonts w:eastAsia="仿宋_GB2312"/>
          <w:sz w:val="32"/>
          <w:szCs w:val="32"/>
        </w:rPr>
        <w:t>2021年国有资本经营预算财政拨款支出0万元。</w:t>
      </w:r>
    </w:p>
    <w:p>
      <w:pPr>
        <w:spacing w:line="560" w:lineRule="exact"/>
        <w:ind w:firstLine="640" w:firstLineChars="200"/>
        <w:rPr>
          <w:rFonts w:eastAsia="黑体"/>
          <w:sz w:val="32"/>
          <w:szCs w:val="32"/>
        </w:rPr>
      </w:pPr>
      <w:bookmarkStart w:id="72" w:name="_Toc14853"/>
      <w:bookmarkStart w:id="73" w:name="_Toc15377221"/>
      <w:bookmarkStart w:id="74" w:name="_Toc15396612"/>
      <w:r>
        <w:rPr>
          <w:rFonts w:eastAsia="黑体"/>
          <w:sz w:val="32"/>
          <w:szCs w:val="32"/>
        </w:rPr>
        <w:t>十、其他重要事项的情况说明</w:t>
      </w:r>
      <w:bookmarkEnd w:id="72"/>
      <w:bookmarkEnd w:id="73"/>
      <w:bookmarkEnd w:id="74"/>
    </w:p>
    <w:p>
      <w:pPr>
        <w:spacing w:line="560" w:lineRule="exact"/>
        <w:ind w:firstLine="640" w:firstLineChars="200"/>
        <w:rPr>
          <w:rFonts w:eastAsia="楷体_GB2312"/>
          <w:sz w:val="32"/>
          <w:szCs w:val="32"/>
        </w:rPr>
      </w:pPr>
      <w:bookmarkStart w:id="75" w:name="_Toc17527"/>
      <w:bookmarkStart w:id="76" w:name="_Toc15377222"/>
      <w:r>
        <w:rPr>
          <w:rFonts w:eastAsia="楷体_GB2312"/>
          <w:sz w:val="32"/>
          <w:szCs w:val="32"/>
        </w:rPr>
        <w:t>（一）机关运行经费支出情况</w:t>
      </w:r>
      <w:bookmarkEnd w:id="75"/>
      <w:bookmarkEnd w:id="76"/>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2021年，盐边县财政国库支付中心机关运行经费支出18.92万元，比2020年减少1.57万元，下降7.66%。主要原因是认真</w:t>
      </w:r>
      <w:r>
        <w:rPr>
          <w:rFonts w:hint="eastAsia" w:eastAsia="仿宋_GB2312"/>
          <w:sz w:val="32"/>
          <w:szCs w:val="32"/>
          <w:lang w:eastAsia="zh-CN"/>
        </w:rPr>
        <w:t>贯彻</w:t>
      </w:r>
      <w:r>
        <w:rPr>
          <w:rFonts w:eastAsia="仿宋_GB2312"/>
          <w:sz w:val="32"/>
          <w:szCs w:val="32"/>
        </w:rPr>
        <w:t>落实“过紧日子”要求，办公经费支出减少。</w:t>
      </w:r>
    </w:p>
    <w:p>
      <w:pPr>
        <w:spacing w:line="560" w:lineRule="exact"/>
        <w:ind w:firstLine="640" w:firstLineChars="200"/>
        <w:rPr>
          <w:rFonts w:eastAsia="楷体_GB2312"/>
          <w:sz w:val="32"/>
          <w:szCs w:val="32"/>
        </w:rPr>
      </w:pPr>
      <w:bookmarkStart w:id="77" w:name="_Toc15377223"/>
      <w:bookmarkStart w:id="78" w:name="_Toc18589"/>
      <w:r>
        <w:rPr>
          <w:rFonts w:eastAsia="楷体_GB2312"/>
          <w:sz w:val="32"/>
          <w:szCs w:val="32"/>
        </w:rPr>
        <w:t>（二）政府采购支出情况</w:t>
      </w:r>
      <w:bookmarkEnd w:id="77"/>
      <w:bookmarkEnd w:id="78"/>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2021年，盐边县财政国库支付中心政府采购支出总额7.43万元，其中：政府采购货物支出7.43万元、政府采购工程支出0万元、政府采购服务支出0万元。主要用于办公设备购置。授予中小企业合同金额7.42万元，占政府采购支出总额的100%，其中：授予小微企业合同金额7.42万元，占政府采购支出总额的100%。</w:t>
      </w:r>
    </w:p>
    <w:p>
      <w:pPr>
        <w:spacing w:line="560" w:lineRule="exact"/>
        <w:ind w:firstLine="640" w:firstLineChars="200"/>
        <w:rPr>
          <w:rFonts w:eastAsia="楷体_GB2312"/>
          <w:sz w:val="32"/>
          <w:szCs w:val="32"/>
        </w:rPr>
      </w:pPr>
      <w:bookmarkStart w:id="79" w:name="_Toc15377224"/>
      <w:bookmarkStart w:id="80" w:name="_Toc16810"/>
      <w:r>
        <w:rPr>
          <w:rFonts w:eastAsia="楷体_GB2312"/>
          <w:sz w:val="32"/>
          <w:szCs w:val="32"/>
        </w:rPr>
        <w:t>（三）国有资产占有使用情况</w:t>
      </w:r>
      <w:bookmarkEnd w:id="79"/>
      <w:bookmarkEnd w:id="80"/>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截至2021年12月31日，盐边县财政国库支付中心共有车辆0辆，其中：部级领导干部用车0辆、一般公务用车0辆、一般执法执勤用车0辆、特种专业技术用车0辆、其他用车0辆，其他用车主要是用于单价50万元以上通用设备0台（套），单价100万元以上专用设备0台（套）。</w:t>
      </w:r>
    </w:p>
    <w:p>
      <w:pPr>
        <w:spacing w:line="560" w:lineRule="exact"/>
        <w:ind w:firstLine="640" w:firstLineChars="200"/>
        <w:rPr>
          <w:rFonts w:eastAsia="楷体_GB2312"/>
          <w:sz w:val="32"/>
          <w:szCs w:val="32"/>
        </w:rPr>
      </w:pPr>
      <w:bookmarkStart w:id="81" w:name="_Toc13880"/>
      <w:r>
        <w:rPr>
          <w:rFonts w:eastAsia="楷体_GB2312"/>
          <w:sz w:val="32"/>
          <w:szCs w:val="32"/>
        </w:rPr>
        <w:t>（四）预算绩效管理情况</w:t>
      </w:r>
      <w:bookmarkEnd w:id="81"/>
      <w:r>
        <w:rPr>
          <w:rFonts w:eastAsia="楷体_GB2312"/>
          <w:sz w:val="32"/>
          <w:szCs w:val="32"/>
        </w:rPr>
        <w:t>。</w:t>
      </w:r>
    </w:p>
    <w:p>
      <w:pPr>
        <w:spacing w:line="560" w:lineRule="exact"/>
        <w:ind w:firstLine="640" w:firstLineChars="200"/>
        <w:rPr>
          <w:rFonts w:eastAsia="仿宋_GB2312"/>
          <w:sz w:val="32"/>
          <w:szCs w:val="32"/>
        </w:rPr>
      </w:pPr>
      <w:r>
        <w:rPr>
          <w:rFonts w:eastAsia="仿宋_GB2312"/>
          <w:sz w:val="32"/>
          <w:szCs w:val="32"/>
        </w:rPr>
        <w:t>根据预算绩效管理要求，本部门（单位）在年初预算编制阶段，组织对0</w:t>
      </w:r>
      <w:r>
        <w:rPr>
          <w:rFonts w:hint="eastAsia" w:eastAsia="仿宋_GB2312"/>
          <w:sz w:val="32"/>
          <w:szCs w:val="32"/>
          <w:lang w:eastAsia="zh-CN"/>
        </w:rPr>
        <w:t>个</w:t>
      </w:r>
      <w:r>
        <w:rPr>
          <w:rFonts w:eastAsia="仿宋_GB2312"/>
          <w:sz w:val="32"/>
          <w:szCs w:val="32"/>
        </w:rPr>
        <w:t>项目开展了预算事前绩效评估，对0个项目编制了绩效目标，预算执行过程中，选取0个项目开展绩效监控，年终执行完毕后，对0个项目开展了绩效目标完成情况梳理填报。2021年特定目标类部门预算项目绩效目标自评表见附件（第四部分）。</w:t>
      </w:r>
    </w:p>
    <w:p>
      <w:pPr>
        <w:widowControl/>
        <w:jc w:val="left"/>
        <w:rPr>
          <w:rFonts w:ascii="仿宋_GB2312" w:eastAsia="仿宋_GB2312"/>
          <w:b/>
          <w:sz w:val="32"/>
          <w:szCs w:val="32"/>
        </w:rPr>
      </w:pPr>
      <w:r>
        <w:rPr>
          <w:rFonts w:ascii="仿宋_GB2312" w:eastAsia="仿宋_GB2312"/>
          <w:b/>
          <w:sz w:val="32"/>
          <w:szCs w:val="32"/>
        </w:rPr>
        <w:br w:type="page"/>
      </w:r>
    </w:p>
    <w:p>
      <w:pPr>
        <w:jc w:val="center"/>
        <w:rPr>
          <w:rFonts w:eastAsia="黑体"/>
          <w:sz w:val="44"/>
          <w:szCs w:val="44"/>
        </w:rPr>
      </w:pPr>
      <w:bookmarkStart w:id="82" w:name="_Toc15377226"/>
      <w:r>
        <w:rPr>
          <w:rFonts w:eastAsia="黑体"/>
          <w:sz w:val="44"/>
          <w:szCs w:val="44"/>
        </w:rPr>
        <w:t>第三部分 名词解释</w:t>
      </w:r>
    </w:p>
    <w:p>
      <w:pPr>
        <w:pStyle w:val="2"/>
      </w:pPr>
    </w:p>
    <w:p>
      <w:pPr>
        <w:spacing w:line="560" w:lineRule="exact"/>
        <w:ind w:firstLine="643" w:firstLineChars="200"/>
        <w:rPr>
          <w:rFonts w:eastAsia="仿宋_GB2312"/>
          <w:sz w:val="32"/>
          <w:szCs w:val="32"/>
        </w:rPr>
      </w:pPr>
      <w:r>
        <w:rPr>
          <w:rFonts w:eastAsia="仿宋_GB2312"/>
          <w:b/>
          <w:sz w:val="32"/>
          <w:szCs w:val="32"/>
        </w:rPr>
        <w:t>1.财政拨款收入：</w:t>
      </w:r>
      <w:r>
        <w:rPr>
          <w:rFonts w:eastAsia="仿宋_GB2312"/>
          <w:sz w:val="32"/>
          <w:szCs w:val="32"/>
        </w:rPr>
        <w:t>指单位从同级财政部门取得的财政预算资金。</w:t>
      </w:r>
    </w:p>
    <w:p>
      <w:pPr>
        <w:spacing w:line="560" w:lineRule="exact"/>
        <w:ind w:firstLine="643" w:firstLineChars="200"/>
        <w:rPr>
          <w:rFonts w:eastAsia="仿宋_GB2312"/>
          <w:sz w:val="32"/>
          <w:szCs w:val="32"/>
        </w:rPr>
      </w:pPr>
      <w:r>
        <w:rPr>
          <w:rFonts w:eastAsia="仿宋_GB2312"/>
          <w:b/>
          <w:sz w:val="32"/>
          <w:szCs w:val="32"/>
        </w:rPr>
        <w:t>2.事业收入：</w:t>
      </w:r>
      <w:r>
        <w:rPr>
          <w:rFonts w:eastAsia="仿宋_GB2312"/>
          <w:sz w:val="32"/>
          <w:szCs w:val="32"/>
        </w:rPr>
        <w:t>指事业单位开展专业业务活动及辅助活动取得的收入。如（二级预算单位事业收入情况）等。</w:t>
      </w:r>
    </w:p>
    <w:p>
      <w:pPr>
        <w:spacing w:line="560" w:lineRule="exact"/>
        <w:ind w:firstLine="643" w:firstLineChars="200"/>
        <w:rPr>
          <w:rFonts w:eastAsia="仿宋_GB2312"/>
          <w:sz w:val="32"/>
          <w:szCs w:val="32"/>
        </w:rPr>
      </w:pPr>
      <w:r>
        <w:rPr>
          <w:rFonts w:eastAsia="仿宋_GB2312"/>
          <w:b/>
          <w:sz w:val="32"/>
          <w:szCs w:val="32"/>
        </w:rPr>
        <w:t>3.经营收入：</w:t>
      </w:r>
      <w:r>
        <w:rPr>
          <w:rFonts w:eastAsia="仿宋_GB2312"/>
          <w:sz w:val="32"/>
          <w:szCs w:val="32"/>
        </w:rPr>
        <w:t>指事业单位在专业业务活动及其辅助活动之外开展非独立核算经营活动取得的收入。如（二级预算单位经营收入情况）等。</w:t>
      </w:r>
    </w:p>
    <w:p>
      <w:pPr>
        <w:spacing w:line="560" w:lineRule="exact"/>
        <w:ind w:firstLine="643" w:firstLineChars="200"/>
        <w:rPr>
          <w:rFonts w:eastAsia="仿宋_GB2312"/>
          <w:sz w:val="32"/>
          <w:szCs w:val="32"/>
        </w:rPr>
      </w:pPr>
      <w:r>
        <w:rPr>
          <w:rFonts w:eastAsia="仿宋_GB2312"/>
          <w:b/>
          <w:sz w:val="32"/>
          <w:szCs w:val="32"/>
        </w:rPr>
        <w:t>4.其他收入：</w:t>
      </w:r>
      <w:r>
        <w:rPr>
          <w:rFonts w:eastAsia="仿宋_GB2312"/>
          <w:sz w:val="32"/>
          <w:szCs w:val="32"/>
        </w:rPr>
        <w:t xml:space="preserve">指单位取得的除上述收入以外的各项收入。 </w:t>
      </w:r>
    </w:p>
    <w:p>
      <w:pPr>
        <w:spacing w:line="560" w:lineRule="exact"/>
        <w:ind w:firstLine="643" w:firstLineChars="200"/>
        <w:rPr>
          <w:rFonts w:eastAsia="仿宋_GB2312"/>
          <w:sz w:val="32"/>
          <w:szCs w:val="32"/>
        </w:rPr>
      </w:pPr>
      <w:r>
        <w:rPr>
          <w:rFonts w:eastAsia="仿宋_GB2312"/>
          <w:b/>
          <w:sz w:val="32"/>
          <w:szCs w:val="32"/>
        </w:rPr>
        <w:t>5.用事业基金弥补收支差额：</w:t>
      </w:r>
      <w:r>
        <w:rPr>
          <w:rFonts w:eastAsia="仿宋_GB2312"/>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spacing w:line="560" w:lineRule="exact"/>
        <w:ind w:firstLine="643" w:firstLineChars="200"/>
        <w:rPr>
          <w:rFonts w:eastAsia="仿宋_GB2312"/>
          <w:sz w:val="32"/>
          <w:szCs w:val="32"/>
        </w:rPr>
      </w:pPr>
      <w:r>
        <w:rPr>
          <w:rFonts w:eastAsia="仿宋_GB2312"/>
          <w:b/>
          <w:sz w:val="32"/>
          <w:szCs w:val="32"/>
        </w:rPr>
        <w:t>6.年初结转和结余：</w:t>
      </w:r>
      <w:r>
        <w:rPr>
          <w:rFonts w:eastAsia="仿宋_GB2312"/>
          <w:sz w:val="32"/>
          <w:szCs w:val="32"/>
        </w:rPr>
        <w:t xml:space="preserve">指以前年度尚未完成、结转到本年按有关规定继续使用的资金。 </w:t>
      </w:r>
    </w:p>
    <w:p>
      <w:pPr>
        <w:spacing w:line="560" w:lineRule="exact"/>
        <w:ind w:firstLine="643" w:firstLineChars="200"/>
        <w:rPr>
          <w:rFonts w:eastAsia="仿宋_GB2312"/>
          <w:sz w:val="32"/>
          <w:szCs w:val="32"/>
        </w:rPr>
      </w:pPr>
      <w:r>
        <w:rPr>
          <w:rFonts w:eastAsia="仿宋_GB2312"/>
          <w:b/>
          <w:sz w:val="32"/>
          <w:szCs w:val="32"/>
        </w:rPr>
        <w:t>7.结余分配：</w:t>
      </w:r>
      <w:r>
        <w:rPr>
          <w:rFonts w:eastAsia="仿宋_GB2312"/>
          <w:sz w:val="32"/>
          <w:szCs w:val="32"/>
        </w:rPr>
        <w:t>指事业单位按照事业单位会计制度的规定从非财政补助结余中分配的事业基金和职工福利基金等。</w:t>
      </w:r>
    </w:p>
    <w:p>
      <w:pPr>
        <w:spacing w:line="560" w:lineRule="exact"/>
        <w:ind w:firstLine="643" w:firstLineChars="200"/>
        <w:rPr>
          <w:rFonts w:eastAsia="仿宋_GB2312"/>
          <w:sz w:val="32"/>
          <w:szCs w:val="32"/>
        </w:rPr>
      </w:pPr>
      <w:r>
        <w:rPr>
          <w:rFonts w:eastAsia="仿宋_GB2312"/>
          <w:b/>
          <w:sz w:val="32"/>
          <w:szCs w:val="32"/>
        </w:rPr>
        <w:t>8.年末结转和结余：</w:t>
      </w:r>
      <w:r>
        <w:rPr>
          <w:rFonts w:eastAsia="仿宋_GB2312"/>
          <w:sz w:val="32"/>
          <w:szCs w:val="32"/>
        </w:rPr>
        <w:t>指单位按有关规定结转到下年或以后年度继续使用的资金。</w:t>
      </w:r>
    </w:p>
    <w:p>
      <w:pPr>
        <w:spacing w:line="560" w:lineRule="exact"/>
        <w:ind w:firstLine="643" w:firstLineChars="200"/>
        <w:rPr>
          <w:rFonts w:eastAsia="仿宋_GB2312"/>
          <w:sz w:val="32"/>
          <w:szCs w:val="32"/>
        </w:rPr>
      </w:pPr>
      <w:r>
        <w:rPr>
          <w:rFonts w:eastAsia="仿宋_GB2312"/>
          <w:b/>
          <w:sz w:val="32"/>
          <w:szCs w:val="32"/>
        </w:rPr>
        <w:t xml:space="preserve">9.一般公共服务（类）财政事务支出（款）行政运行（项）: </w:t>
      </w:r>
      <w:r>
        <w:rPr>
          <w:rFonts w:eastAsia="仿宋_GB2312"/>
          <w:sz w:val="32"/>
          <w:szCs w:val="32"/>
        </w:rPr>
        <w:t>指行政单位（包括实行公务员管理的事业单位）的基本支出。</w:t>
      </w:r>
    </w:p>
    <w:p>
      <w:pPr>
        <w:spacing w:line="560" w:lineRule="exact"/>
        <w:ind w:firstLine="643" w:firstLineChars="200"/>
        <w:rPr>
          <w:rFonts w:eastAsia="仿宋_GB2312"/>
          <w:b/>
          <w:sz w:val="32"/>
          <w:szCs w:val="32"/>
        </w:rPr>
      </w:pPr>
      <w:r>
        <w:rPr>
          <w:rFonts w:eastAsia="仿宋_GB2312"/>
          <w:b/>
          <w:sz w:val="32"/>
          <w:szCs w:val="32"/>
        </w:rPr>
        <w:t xml:space="preserve">10.社会保障和就业（类）行政事业单位养老支出（款）  </w:t>
      </w:r>
    </w:p>
    <w:p>
      <w:pPr>
        <w:spacing w:line="560" w:lineRule="exact"/>
        <w:ind w:firstLine="643" w:firstLineChars="200"/>
        <w:rPr>
          <w:rFonts w:eastAsia="仿宋_GB2312"/>
          <w:sz w:val="32"/>
          <w:szCs w:val="32"/>
        </w:rPr>
      </w:pPr>
      <w:r>
        <w:rPr>
          <w:rFonts w:eastAsia="仿宋_GB2312"/>
          <w:b/>
          <w:sz w:val="32"/>
          <w:szCs w:val="32"/>
        </w:rPr>
        <w:t>①行政单位离退休:</w:t>
      </w:r>
      <w:r>
        <w:rPr>
          <w:rFonts w:eastAsia="仿宋_GB2312"/>
          <w:sz w:val="32"/>
          <w:szCs w:val="32"/>
        </w:rPr>
        <w:t xml:space="preserve"> 指行政单位（包括实行公务员管理的事业单位）开支的离退休支出。</w:t>
      </w:r>
    </w:p>
    <w:p>
      <w:pPr>
        <w:spacing w:line="560" w:lineRule="exact"/>
        <w:ind w:firstLine="643" w:firstLineChars="200"/>
        <w:rPr>
          <w:rFonts w:eastAsia="仿宋_GB2312"/>
          <w:sz w:val="32"/>
          <w:szCs w:val="32"/>
        </w:rPr>
      </w:pPr>
      <w:r>
        <w:rPr>
          <w:rFonts w:eastAsia="仿宋_GB2312"/>
          <w:b/>
          <w:sz w:val="32"/>
          <w:szCs w:val="32"/>
        </w:rPr>
        <w:t>②机关事业单位基本养老保险缴费支出：</w:t>
      </w:r>
      <w:r>
        <w:rPr>
          <w:rFonts w:eastAsia="仿宋_GB2312"/>
          <w:sz w:val="32"/>
          <w:szCs w:val="32"/>
        </w:rPr>
        <w:t>指机关事业单位实施养老保险制度有单位缴纳的基本养老保险费支出。</w:t>
      </w:r>
    </w:p>
    <w:p>
      <w:pPr>
        <w:spacing w:line="560" w:lineRule="exact"/>
        <w:ind w:firstLine="643" w:firstLineChars="200"/>
        <w:rPr>
          <w:rFonts w:eastAsia="仿宋_GB2312"/>
          <w:sz w:val="32"/>
          <w:szCs w:val="32"/>
        </w:rPr>
      </w:pPr>
      <w:r>
        <w:rPr>
          <w:rFonts w:eastAsia="仿宋_GB2312"/>
          <w:b/>
          <w:sz w:val="32"/>
          <w:szCs w:val="32"/>
        </w:rPr>
        <w:t>11.住房保障支出（类）住房改革支出（款）住房公积金（项）：</w:t>
      </w:r>
      <w:r>
        <w:rPr>
          <w:rFonts w:eastAsia="仿宋_GB2312"/>
          <w:sz w:val="32"/>
          <w:szCs w:val="32"/>
        </w:rPr>
        <w:t>指行政事业单位按人力资源和社会保障部、财政部规定的基本工资和津贴补贴以及规定比例为职工缴纳的住房公积金。</w:t>
      </w:r>
    </w:p>
    <w:p>
      <w:pPr>
        <w:spacing w:line="560" w:lineRule="exact"/>
        <w:ind w:firstLine="643" w:firstLineChars="200"/>
        <w:rPr>
          <w:rFonts w:eastAsia="仿宋_GB2312"/>
          <w:b/>
          <w:sz w:val="32"/>
          <w:szCs w:val="32"/>
        </w:rPr>
      </w:pPr>
      <w:r>
        <w:rPr>
          <w:rFonts w:eastAsia="仿宋_GB2312"/>
          <w:b/>
          <w:sz w:val="32"/>
          <w:szCs w:val="32"/>
        </w:rPr>
        <w:t>12.卫生健康支出（类）行政事业单位医疗（款）</w:t>
      </w:r>
    </w:p>
    <w:p>
      <w:pPr>
        <w:spacing w:line="560" w:lineRule="exact"/>
        <w:ind w:firstLine="643" w:firstLineChars="200"/>
        <w:rPr>
          <w:rFonts w:eastAsia="仿宋_GB2312"/>
          <w:sz w:val="32"/>
          <w:szCs w:val="32"/>
        </w:rPr>
      </w:pPr>
      <w:r>
        <w:rPr>
          <w:rFonts w:eastAsia="仿宋_GB2312"/>
          <w:b/>
          <w:sz w:val="32"/>
          <w:szCs w:val="32"/>
        </w:rPr>
        <w:sym w:font="Wingdings" w:char="F081"/>
      </w:r>
      <w:r>
        <w:rPr>
          <w:rFonts w:eastAsia="仿宋_GB2312"/>
          <w:b/>
          <w:sz w:val="32"/>
          <w:szCs w:val="32"/>
        </w:rPr>
        <w:t>行政单位医疗：</w:t>
      </w:r>
      <w:r>
        <w:rPr>
          <w:rFonts w:eastAsia="仿宋_GB2312"/>
          <w:sz w:val="32"/>
          <w:szCs w:val="32"/>
        </w:rPr>
        <w:t>指财政部门安排的行政单位（包括实行公务员管理的事业单位，下同）基本医疗保险缴费经费，未参加医疗保险的行政单位的公费医疗经费，按国家规定享受离休人员、红军老战士待遇人员的医疗经费。</w:t>
      </w:r>
    </w:p>
    <w:p>
      <w:pPr>
        <w:spacing w:line="560" w:lineRule="exact"/>
        <w:ind w:firstLine="643" w:firstLineChars="200"/>
        <w:rPr>
          <w:rFonts w:eastAsia="仿宋_GB2312"/>
          <w:sz w:val="32"/>
          <w:szCs w:val="32"/>
        </w:rPr>
      </w:pPr>
      <w:r>
        <w:rPr>
          <w:rFonts w:eastAsia="仿宋_GB2312"/>
          <w:b/>
          <w:sz w:val="32"/>
          <w:szCs w:val="32"/>
        </w:rPr>
        <w:sym w:font="Wingdings" w:char="F082"/>
      </w:r>
      <w:r>
        <w:rPr>
          <w:rFonts w:eastAsia="仿宋_GB2312"/>
          <w:b/>
          <w:sz w:val="32"/>
          <w:szCs w:val="32"/>
        </w:rPr>
        <w:t>公务员医疗补助：</w:t>
      </w:r>
      <w:r>
        <w:rPr>
          <w:rFonts w:eastAsia="仿宋_GB2312"/>
          <w:sz w:val="32"/>
          <w:szCs w:val="32"/>
        </w:rPr>
        <w:t>指财政部门安排的公务员医疗补助经费</w:t>
      </w:r>
    </w:p>
    <w:p>
      <w:pPr>
        <w:spacing w:line="560" w:lineRule="exact"/>
        <w:ind w:firstLine="643" w:firstLineChars="200"/>
        <w:rPr>
          <w:rFonts w:eastAsia="仿宋_GB2312"/>
          <w:sz w:val="32"/>
          <w:szCs w:val="32"/>
        </w:rPr>
      </w:pPr>
      <w:r>
        <w:rPr>
          <w:rFonts w:eastAsia="仿宋_GB2312"/>
          <w:b/>
          <w:sz w:val="32"/>
          <w:szCs w:val="32"/>
        </w:rPr>
        <w:t>13.基本支出：</w:t>
      </w:r>
      <w:r>
        <w:rPr>
          <w:rFonts w:eastAsia="仿宋_GB2312"/>
          <w:sz w:val="32"/>
          <w:szCs w:val="32"/>
        </w:rPr>
        <w:t>指为保障机构正常运转、完成日常工作任务而发生的人员支出和公用支出。</w:t>
      </w:r>
    </w:p>
    <w:p>
      <w:pPr>
        <w:spacing w:line="560" w:lineRule="exact"/>
        <w:ind w:firstLine="643" w:firstLineChars="200"/>
        <w:rPr>
          <w:rFonts w:eastAsia="仿宋_GB2312"/>
          <w:sz w:val="32"/>
          <w:szCs w:val="32"/>
        </w:rPr>
      </w:pPr>
      <w:r>
        <w:rPr>
          <w:rFonts w:eastAsia="仿宋_GB2312"/>
          <w:b/>
          <w:sz w:val="32"/>
          <w:szCs w:val="32"/>
        </w:rPr>
        <w:t>14.项目支出：</w:t>
      </w:r>
      <w:r>
        <w:rPr>
          <w:rFonts w:eastAsia="仿宋_GB2312"/>
          <w:sz w:val="32"/>
          <w:szCs w:val="32"/>
        </w:rPr>
        <w:t xml:space="preserve">指在基本支出之外为完成特定行政任务和事业发展目标所发生的支出。 </w:t>
      </w:r>
    </w:p>
    <w:p>
      <w:pPr>
        <w:spacing w:line="560" w:lineRule="exact"/>
        <w:ind w:firstLine="643" w:firstLineChars="200"/>
        <w:rPr>
          <w:rFonts w:eastAsia="仿宋_GB2312"/>
          <w:sz w:val="32"/>
          <w:szCs w:val="32"/>
        </w:rPr>
      </w:pPr>
      <w:r>
        <w:rPr>
          <w:rFonts w:eastAsia="仿宋_GB2312"/>
          <w:b/>
          <w:sz w:val="32"/>
          <w:szCs w:val="32"/>
        </w:rPr>
        <w:t>15.经营支出：</w:t>
      </w:r>
      <w:r>
        <w:rPr>
          <w:rFonts w:eastAsia="仿宋_GB2312"/>
          <w:sz w:val="32"/>
          <w:szCs w:val="32"/>
        </w:rPr>
        <w:t>指事业单位在专业业务活动及其辅助活动之外开展非独立核算经营活动发生的支出。</w:t>
      </w:r>
    </w:p>
    <w:p>
      <w:pPr>
        <w:spacing w:line="560" w:lineRule="exact"/>
        <w:ind w:firstLine="643" w:firstLineChars="200"/>
        <w:rPr>
          <w:rFonts w:eastAsia="仿宋_GB2312"/>
          <w:sz w:val="32"/>
          <w:szCs w:val="32"/>
        </w:rPr>
      </w:pPr>
      <w:r>
        <w:rPr>
          <w:rFonts w:eastAsia="仿宋_GB2312"/>
          <w:b/>
          <w:sz w:val="32"/>
          <w:szCs w:val="32"/>
        </w:rPr>
        <w:t>16.“三公”经费：</w:t>
      </w:r>
      <w:r>
        <w:rPr>
          <w:rFonts w:eastAsia="仿宋_GB2312"/>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3" w:firstLineChars="200"/>
        <w:rPr>
          <w:rFonts w:eastAsia="仿宋_GB2312"/>
          <w:sz w:val="32"/>
          <w:szCs w:val="32"/>
        </w:rPr>
      </w:pPr>
      <w:r>
        <w:rPr>
          <w:rFonts w:eastAsia="仿宋_GB2312"/>
          <w:b/>
          <w:sz w:val="32"/>
          <w:szCs w:val="32"/>
        </w:rPr>
        <w:t>17.机关运行经费：</w:t>
      </w:r>
      <w:r>
        <w:rPr>
          <w:rFonts w:eastAsia="仿宋_GB231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
      <w:pPr>
        <w:jc w:val="center"/>
        <w:rPr>
          <w:rFonts w:eastAsia="黑体"/>
          <w:sz w:val="44"/>
          <w:szCs w:val="44"/>
        </w:rPr>
      </w:pPr>
      <w:r>
        <w:rPr>
          <w:rFonts w:ascii="宋体"/>
          <w:b/>
        </w:rPr>
        <w:br w:type="page"/>
      </w:r>
      <w:bookmarkStart w:id="83" w:name="_Toc10461"/>
      <w:bookmarkStart w:id="84" w:name="_Toc15396614"/>
      <w:r>
        <w:rPr>
          <w:rFonts w:eastAsia="黑体"/>
          <w:sz w:val="44"/>
          <w:szCs w:val="44"/>
        </w:rPr>
        <w:t>第四部分 附件</w:t>
      </w:r>
      <w:bookmarkEnd w:id="83"/>
      <w:bookmarkEnd w:id="84"/>
    </w:p>
    <w:p>
      <w:pPr>
        <w:spacing w:line="572" w:lineRule="exact"/>
        <w:jc w:val="left"/>
        <w:outlineLvl w:val="0"/>
        <w:rPr>
          <w:rFonts w:eastAsia="仿宋_GB2312"/>
          <w:sz w:val="32"/>
          <w:szCs w:val="32"/>
        </w:rPr>
      </w:pPr>
      <w:bookmarkStart w:id="85" w:name="_Toc31102"/>
      <w:bookmarkStart w:id="86" w:name="_Toc20909"/>
      <w:r>
        <w:rPr>
          <w:rFonts w:hAnsi="黑体" w:eastAsia="黑体"/>
          <w:sz w:val="32"/>
          <w:szCs w:val="32"/>
        </w:rPr>
        <w:t>附件</w:t>
      </w:r>
      <w:bookmarkEnd w:id="85"/>
      <w:bookmarkEnd w:id="86"/>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textAlignment w:val="center"/>
              <w:rPr>
                <w:rFonts w:eastAsia="方正小标宋_GBK"/>
                <w:b/>
                <w:sz w:val="32"/>
                <w:szCs w:val="32"/>
              </w:rPr>
            </w:pPr>
            <w:bookmarkStart w:id="87" w:name="_Toc15396618"/>
            <w:r>
              <w:rPr>
                <w:rFonts w:eastAsia="方正小标宋_GBK"/>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bl>
    <w:p>
      <w:pPr>
        <w:spacing w:line="600" w:lineRule="exact"/>
        <w:jc w:val="center"/>
        <w:outlineLvl w:val="0"/>
        <w:rPr>
          <w:rFonts w:ascii="黑体" w:hAnsi="黑体" w:eastAsia="黑体"/>
          <w:sz w:val="44"/>
          <w:szCs w:val="44"/>
        </w:rPr>
      </w:pPr>
    </w:p>
    <w:p>
      <w:pPr>
        <w:spacing w:line="560" w:lineRule="exact"/>
        <w:ind w:firstLine="640" w:firstLineChars="200"/>
        <w:rPr>
          <w:rFonts w:eastAsia="仿宋_GB2312"/>
          <w:sz w:val="32"/>
          <w:szCs w:val="32"/>
        </w:rPr>
      </w:pPr>
      <w:r>
        <w:rPr>
          <w:rFonts w:eastAsia="仿宋_GB2312"/>
          <w:sz w:val="32"/>
          <w:szCs w:val="32"/>
        </w:rPr>
        <w:t>（注：有两个及以上100万元以上（含）特定目标类部门预算项目的，需分别开展绩效目标自评并填写附表）</w:t>
      </w: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jc w:val="center"/>
        <w:rPr>
          <w:rFonts w:eastAsia="黑体"/>
          <w:sz w:val="44"/>
          <w:szCs w:val="44"/>
        </w:rPr>
      </w:pPr>
      <w:bookmarkStart w:id="88" w:name="_Toc16372"/>
      <w:r>
        <w:rPr>
          <w:rFonts w:eastAsia="黑体"/>
          <w:sz w:val="44"/>
          <w:szCs w:val="44"/>
        </w:rPr>
        <w:t>第五部分 附表</w:t>
      </w:r>
      <w:bookmarkEnd w:id="82"/>
      <w:bookmarkEnd w:id="87"/>
      <w:bookmarkEnd w:id="88"/>
      <w:bookmarkStart w:id="89" w:name="_Toc15396619"/>
    </w:p>
    <w:p>
      <w:pPr>
        <w:spacing w:line="700" w:lineRule="exact"/>
        <w:rPr>
          <w:rFonts w:eastAsia="仿宋_GB2312"/>
          <w:sz w:val="32"/>
          <w:szCs w:val="32"/>
        </w:rPr>
      </w:pPr>
      <w:bookmarkStart w:id="90" w:name="_Toc14893"/>
    </w:p>
    <w:p>
      <w:pPr>
        <w:spacing w:line="700" w:lineRule="exact"/>
        <w:rPr>
          <w:rFonts w:eastAsia="仿宋_GB2312"/>
          <w:sz w:val="32"/>
          <w:szCs w:val="32"/>
        </w:rPr>
      </w:pPr>
      <w:r>
        <w:rPr>
          <w:rFonts w:eastAsia="仿宋_GB2312"/>
          <w:sz w:val="32"/>
          <w:szCs w:val="32"/>
        </w:rPr>
        <w:t>一、收入支出决算总表</w:t>
      </w:r>
      <w:bookmarkEnd w:id="89"/>
      <w:bookmarkEnd w:id="90"/>
    </w:p>
    <w:p>
      <w:pPr>
        <w:spacing w:line="700" w:lineRule="exact"/>
        <w:rPr>
          <w:rFonts w:eastAsia="仿宋_GB2312"/>
          <w:sz w:val="32"/>
          <w:szCs w:val="32"/>
        </w:rPr>
      </w:pPr>
      <w:bookmarkStart w:id="91" w:name="_Toc15396620"/>
      <w:bookmarkStart w:id="92" w:name="_Toc16071"/>
      <w:r>
        <w:rPr>
          <w:rFonts w:eastAsia="仿宋_GB2312"/>
          <w:sz w:val="32"/>
          <w:szCs w:val="32"/>
        </w:rPr>
        <w:t>二、收入决算表</w:t>
      </w:r>
      <w:bookmarkEnd w:id="91"/>
      <w:bookmarkEnd w:id="92"/>
    </w:p>
    <w:p>
      <w:pPr>
        <w:spacing w:line="700" w:lineRule="exact"/>
        <w:rPr>
          <w:rFonts w:eastAsia="仿宋_GB2312"/>
          <w:sz w:val="32"/>
          <w:szCs w:val="32"/>
        </w:rPr>
      </w:pPr>
      <w:bookmarkStart w:id="93" w:name="_Toc20437"/>
      <w:bookmarkStart w:id="94" w:name="_Toc15396621"/>
      <w:r>
        <w:rPr>
          <w:rFonts w:eastAsia="仿宋_GB2312"/>
          <w:sz w:val="32"/>
          <w:szCs w:val="32"/>
        </w:rPr>
        <w:t>三、支出决算表</w:t>
      </w:r>
      <w:bookmarkEnd w:id="93"/>
      <w:bookmarkEnd w:id="94"/>
    </w:p>
    <w:p>
      <w:pPr>
        <w:spacing w:line="700" w:lineRule="exact"/>
        <w:rPr>
          <w:rFonts w:eastAsia="仿宋_GB2312"/>
          <w:sz w:val="32"/>
          <w:szCs w:val="32"/>
        </w:rPr>
      </w:pPr>
      <w:bookmarkStart w:id="95" w:name="_Toc15396622"/>
      <w:bookmarkStart w:id="96" w:name="_Toc5637"/>
      <w:r>
        <w:rPr>
          <w:rFonts w:eastAsia="仿宋_GB2312"/>
          <w:sz w:val="32"/>
          <w:szCs w:val="32"/>
        </w:rPr>
        <w:t>四、财政拨款收入支出决算总表</w:t>
      </w:r>
      <w:bookmarkEnd w:id="95"/>
      <w:bookmarkEnd w:id="96"/>
    </w:p>
    <w:p>
      <w:pPr>
        <w:spacing w:line="700" w:lineRule="exact"/>
        <w:rPr>
          <w:rFonts w:eastAsia="仿宋_GB2312"/>
          <w:sz w:val="32"/>
          <w:szCs w:val="32"/>
        </w:rPr>
      </w:pPr>
      <w:bookmarkStart w:id="97" w:name="_Toc15396623"/>
      <w:bookmarkStart w:id="98" w:name="_Toc5529"/>
      <w:r>
        <w:rPr>
          <w:rFonts w:eastAsia="仿宋_GB2312"/>
          <w:sz w:val="32"/>
          <w:szCs w:val="32"/>
        </w:rPr>
        <w:t>五、财政拨款支出决算明细表</w:t>
      </w:r>
      <w:bookmarkEnd w:id="97"/>
      <w:bookmarkEnd w:id="98"/>
      <w:bookmarkStart w:id="99" w:name="_Toc15396624"/>
    </w:p>
    <w:p>
      <w:pPr>
        <w:spacing w:line="700" w:lineRule="exact"/>
        <w:rPr>
          <w:rFonts w:eastAsia="仿宋_GB2312"/>
          <w:sz w:val="32"/>
          <w:szCs w:val="32"/>
        </w:rPr>
      </w:pPr>
      <w:bookmarkStart w:id="100" w:name="_Toc9701"/>
      <w:r>
        <w:rPr>
          <w:rFonts w:eastAsia="仿宋_GB2312"/>
          <w:sz w:val="32"/>
          <w:szCs w:val="32"/>
        </w:rPr>
        <w:t>六、一般公共预算财政拨款支出决算表</w:t>
      </w:r>
      <w:bookmarkEnd w:id="99"/>
      <w:bookmarkEnd w:id="100"/>
    </w:p>
    <w:p>
      <w:pPr>
        <w:spacing w:line="700" w:lineRule="exact"/>
        <w:rPr>
          <w:rFonts w:eastAsia="仿宋_GB2312"/>
          <w:sz w:val="32"/>
          <w:szCs w:val="32"/>
        </w:rPr>
      </w:pPr>
      <w:bookmarkStart w:id="101" w:name="_Toc30616"/>
      <w:bookmarkStart w:id="102" w:name="_Toc15396625"/>
      <w:r>
        <w:rPr>
          <w:rFonts w:eastAsia="仿宋_GB2312"/>
          <w:sz w:val="32"/>
          <w:szCs w:val="32"/>
        </w:rPr>
        <w:t>七、一般公共预算财政拨款支出决算明细表</w:t>
      </w:r>
      <w:bookmarkEnd w:id="101"/>
      <w:bookmarkEnd w:id="102"/>
    </w:p>
    <w:p>
      <w:pPr>
        <w:spacing w:line="700" w:lineRule="exact"/>
        <w:rPr>
          <w:rFonts w:eastAsia="仿宋_GB2312"/>
          <w:sz w:val="32"/>
          <w:szCs w:val="32"/>
        </w:rPr>
      </w:pPr>
      <w:bookmarkStart w:id="103" w:name="_Toc15396626"/>
      <w:bookmarkStart w:id="104" w:name="_Toc11178"/>
      <w:r>
        <w:rPr>
          <w:rFonts w:eastAsia="仿宋_GB2312"/>
          <w:sz w:val="32"/>
          <w:szCs w:val="32"/>
        </w:rPr>
        <w:t>八、一般公共预算财政拨款基本支出决算表</w:t>
      </w:r>
      <w:bookmarkEnd w:id="103"/>
      <w:bookmarkEnd w:id="104"/>
    </w:p>
    <w:p>
      <w:pPr>
        <w:spacing w:line="700" w:lineRule="exact"/>
        <w:rPr>
          <w:rFonts w:eastAsia="仿宋_GB2312"/>
          <w:sz w:val="32"/>
          <w:szCs w:val="32"/>
        </w:rPr>
      </w:pPr>
      <w:bookmarkStart w:id="105" w:name="_Toc16677"/>
      <w:bookmarkStart w:id="106" w:name="_Toc15396627"/>
      <w:r>
        <w:rPr>
          <w:rFonts w:eastAsia="仿宋_GB2312"/>
          <w:sz w:val="32"/>
          <w:szCs w:val="32"/>
        </w:rPr>
        <w:t>九、一般公共预算财政拨款项目支出决算表</w:t>
      </w:r>
      <w:bookmarkEnd w:id="105"/>
      <w:bookmarkEnd w:id="106"/>
    </w:p>
    <w:p>
      <w:pPr>
        <w:spacing w:line="700" w:lineRule="exact"/>
        <w:rPr>
          <w:rFonts w:eastAsia="仿宋_GB2312"/>
          <w:sz w:val="32"/>
          <w:szCs w:val="32"/>
        </w:rPr>
      </w:pPr>
      <w:bookmarkStart w:id="107" w:name="_Toc9226"/>
      <w:bookmarkStart w:id="108" w:name="_Toc15396628"/>
      <w:r>
        <w:rPr>
          <w:rFonts w:eastAsia="仿宋_GB2312"/>
          <w:sz w:val="32"/>
          <w:szCs w:val="32"/>
        </w:rPr>
        <w:t>十、一般公共预算财政拨款“三公”经费支出决算表</w:t>
      </w:r>
      <w:bookmarkEnd w:id="107"/>
      <w:bookmarkEnd w:id="108"/>
    </w:p>
    <w:p>
      <w:pPr>
        <w:spacing w:line="700" w:lineRule="exact"/>
        <w:rPr>
          <w:rFonts w:eastAsia="仿宋_GB2312"/>
          <w:sz w:val="32"/>
          <w:szCs w:val="32"/>
        </w:rPr>
      </w:pPr>
      <w:bookmarkStart w:id="109" w:name="_Toc10251"/>
      <w:bookmarkStart w:id="110" w:name="_Toc15396629"/>
      <w:r>
        <w:rPr>
          <w:rFonts w:eastAsia="仿宋_GB2312"/>
          <w:sz w:val="32"/>
          <w:szCs w:val="32"/>
        </w:rPr>
        <w:t>十一、政府性基金预算财政拨款收入支出决算表</w:t>
      </w:r>
      <w:bookmarkEnd w:id="109"/>
      <w:bookmarkEnd w:id="110"/>
    </w:p>
    <w:p>
      <w:pPr>
        <w:spacing w:line="700" w:lineRule="exact"/>
        <w:rPr>
          <w:rFonts w:eastAsia="仿宋_GB2312"/>
          <w:sz w:val="32"/>
          <w:szCs w:val="32"/>
        </w:rPr>
      </w:pPr>
      <w:bookmarkStart w:id="111" w:name="_Toc15396630"/>
      <w:bookmarkStart w:id="112" w:name="_Toc4590"/>
      <w:r>
        <w:rPr>
          <w:rFonts w:eastAsia="仿宋_GB2312"/>
          <w:sz w:val="32"/>
          <w:szCs w:val="32"/>
        </w:rPr>
        <w:t>十二、政府性基金预算财政拨款“三公”经费支出决算表</w:t>
      </w:r>
      <w:bookmarkEnd w:id="111"/>
      <w:bookmarkEnd w:id="112"/>
    </w:p>
    <w:p>
      <w:pPr>
        <w:spacing w:line="700" w:lineRule="exact"/>
        <w:rPr>
          <w:rFonts w:eastAsia="仿宋_GB2312"/>
          <w:sz w:val="32"/>
          <w:szCs w:val="32"/>
        </w:rPr>
      </w:pPr>
      <w:bookmarkStart w:id="113" w:name="_Toc15396631"/>
      <w:bookmarkStart w:id="114" w:name="_Toc16069"/>
      <w:r>
        <w:rPr>
          <w:rFonts w:eastAsia="仿宋_GB2312"/>
          <w:sz w:val="32"/>
          <w:szCs w:val="32"/>
        </w:rPr>
        <w:t>十三、国有资本经营预算财政拨款收入支出决算表</w:t>
      </w:r>
      <w:bookmarkEnd w:id="113"/>
      <w:bookmarkEnd w:id="114"/>
    </w:p>
    <w:p>
      <w:pPr>
        <w:spacing w:line="700" w:lineRule="exact"/>
        <w:rPr>
          <w:rFonts w:eastAsia="仿宋_GB2312"/>
          <w:sz w:val="32"/>
          <w:szCs w:val="32"/>
        </w:rPr>
      </w:pPr>
      <w:bookmarkStart w:id="115" w:name="_Toc21551"/>
      <w:r>
        <w:rPr>
          <w:rFonts w:eastAsia="仿宋_GB2312"/>
          <w:sz w:val="32"/>
          <w:szCs w:val="32"/>
        </w:rPr>
        <w:t>十四、国有资本经营预算财政拨款支出决算表</w:t>
      </w:r>
      <w:bookmarkEnd w:id="115"/>
    </w:p>
    <w:sectPr>
      <w:footerReference r:id="rId7" w:type="first"/>
      <w:footerReference r:id="rId6" w:type="default"/>
      <w:pgSz w:w="11906" w:h="16838"/>
      <w:pgMar w:top="1440" w:right="1800" w:bottom="1440" w:left="1800" w:header="851" w:footer="992" w:gutter="0"/>
      <w:pgNumType w:start="5"/>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BBAD069-EACF-4214-A18E-F3C23A97A8DC}"/>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47DD53D-960A-46BD-B9AC-5735C42F8A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3" w:fontKey="{8D0665DB-767C-488D-86E8-AE5E3D2B0BF0}"/>
  </w:font>
  <w:font w:name="仿宋">
    <w:panose1 w:val="02010609060101010101"/>
    <w:charset w:val="86"/>
    <w:family w:val="modern"/>
    <w:pitch w:val="default"/>
    <w:sig w:usb0="800002BF" w:usb1="38CF7CFA" w:usb2="00000016" w:usb3="00000000" w:csb0="00040001" w:csb1="00000000"/>
    <w:embedRegular r:id="rId4" w:fontKey="{C88290A4-02E2-4A6C-860A-C0C27B385D56}"/>
  </w:font>
  <w:font w:name="方正小标宋简体">
    <w:panose1 w:val="02000000000000000000"/>
    <w:charset w:val="86"/>
    <w:family w:val="script"/>
    <w:pitch w:val="default"/>
    <w:sig w:usb0="00000001" w:usb1="08000000" w:usb2="00000000" w:usb3="00000000" w:csb0="00040000" w:csb1="00000000"/>
    <w:embedRegular r:id="rId5" w:fontKey="{BAC90273-996E-401D-9F41-2F57B993E73B}"/>
  </w:font>
  <w:font w:name="Arial">
    <w:panose1 w:val="020B0604020202020204"/>
    <w:charset w:val="00"/>
    <w:family w:val=""/>
    <w:pitch w:val="default"/>
    <w:sig w:usb0="E0002EFF" w:usb1="C000785B" w:usb2="00000009" w:usb3="00000000" w:csb0="400001FF" w:csb1="FFFF0000"/>
  </w:font>
  <w:font w:name="楷体_GB2312">
    <w:altName w:val="楷体"/>
    <w:panose1 w:val="02010609030101010101"/>
    <w:charset w:val="86"/>
    <w:family w:val="modern"/>
    <w:pitch w:val="default"/>
    <w:sig w:usb0="00000000" w:usb1="00000000" w:usb2="00000000" w:usb3="00000000" w:csb0="00040000" w:csb1="00000000"/>
    <w:embedRegular r:id="rId6" w:fontKey="{D01D251F-2956-46FB-BEC3-4D6A24A8F0CB}"/>
  </w:font>
  <w:font w:name="方正小标宋_GBK">
    <w:altName w:val="微软雅黑"/>
    <w:panose1 w:val="03000509000000000000"/>
    <w:charset w:val="86"/>
    <w:family w:val="script"/>
    <w:pitch w:val="default"/>
    <w:sig w:usb0="00000000" w:usb1="00000000" w:usb2="00000000" w:usb3="00000000" w:csb0="00040000" w:csb1="00000000"/>
    <w:embedRegular r:id="rId7" w:fontKey="{72279D71-D978-42BA-804B-0F6293EAE24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8556821"/>
      <w:docPartObj>
        <w:docPartGallery w:val="autotext"/>
      </w:docPartObj>
    </w:sdtPr>
    <w:sdtContent>
      <w:p>
        <w:pPr>
          <w:pStyle w:val="9"/>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9528192"/>
      <w:docPartObj>
        <w:docPartGallery w:val="autotext"/>
      </w:docPartObj>
    </w:sdtPr>
    <w:sdtContent>
      <w:p>
        <w:pPr>
          <w:pStyle w:val="9"/>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 PAGE   \* MERGEFORMAT </w:instrText>
    </w:r>
    <w:r>
      <w:fldChar w:fldCharType="separate"/>
    </w:r>
    <w:r>
      <w:rPr>
        <w:lang w:val="zh-CN"/>
      </w:rPr>
      <w:t>20</w:t>
    </w:r>
    <w:r>
      <w:rPr>
        <w:lang w:val="zh-CN"/>
      </w:rPr>
      <w:fldChar w:fldCharType="end"/>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1028" o:spid="_x0000_s102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path/>
          <v:fill on="f" focussize="0,0"/>
          <v:stroke on="f" weight="0.5pt" joinstyle="miter"/>
          <v:imagedata o:title=""/>
          <o:lock v:ext="edit"/>
          <v:textbox inset="0mm,0mm,0mm,0mm" style="mso-fit-shape-to-text:t;">
            <w:txbxContent>
              <w:p>
                <w:pPr>
                  <w:pStyle w:val="9"/>
                </w:pPr>
                <w:r>
                  <w:rPr>
                    <w:rFonts w:hint="eastAsia"/>
                  </w:rPr>
                  <w:t>5</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BE36DA"/>
    <w:multiLevelType w:val="singleLevel"/>
    <w:tmpl w:val="20BE36D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M4ZTMyMjMxYzZhNWY2Mjk4M2EwODJhOWQ3MTc5NGMifQ=="/>
  </w:docVars>
  <w:rsids>
    <w:rsidRoot w:val="00F1361C"/>
    <w:rsid w:val="000222C6"/>
    <w:rsid w:val="0002549F"/>
    <w:rsid w:val="000335A2"/>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C3F3E"/>
    <w:rsid w:val="000D1267"/>
    <w:rsid w:val="000D1D50"/>
    <w:rsid w:val="000D5782"/>
    <w:rsid w:val="000E6613"/>
    <w:rsid w:val="000E7119"/>
    <w:rsid w:val="00114E9B"/>
    <w:rsid w:val="00117BD2"/>
    <w:rsid w:val="00142216"/>
    <w:rsid w:val="00144D6A"/>
    <w:rsid w:val="0014729F"/>
    <w:rsid w:val="00157BAB"/>
    <w:rsid w:val="00161C06"/>
    <w:rsid w:val="001654D1"/>
    <w:rsid w:val="00174518"/>
    <w:rsid w:val="0018106D"/>
    <w:rsid w:val="00183FCD"/>
    <w:rsid w:val="001877A7"/>
    <w:rsid w:val="00191536"/>
    <w:rsid w:val="00196687"/>
    <w:rsid w:val="001A3223"/>
    <w:rsid w:val="001C0962"/>
    <w:rsid w:val="001C24F0"/>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664E"/>
    <w:rsid w:val="00487E5D"/>
    <w:rsid w:val="004A711F"/>
    <w:rsid w:val="004B199D"/>
    <w:rsid w:val="004B4690"/>
    <w:rsid w:val="004D5C7C"/>
    <w:rsid w:val="004D6C64"/>
    <w:rsid w:val="004E0A2D"/>
    <w:rsid w:val="004E206B"/>
    <w:rsid w:val="004E6DF7"/>
    <w:rsid w:val="004F0FBD"/>
    <w:rsid w:val="00505A47"/>
    <w:rsid w:val="00512FDA"/>
    <w:rsid w:val="00520DA0"/>
    <w:rsid w:val="005664BB"/>
    <w:rsid w:val="00566FFA"/>
    <w:rsid w:val="0057481D"/>
    <w:rsid w:val="00582A59"/>
    <w:rsid w:val="0058486E"/>
    <w:rsid w:val="00585B33"/>
    <w:rsid w:val="0059014D"/>
    <w:rsid w:val="005A33C9"/>
    <w:rsid w:val="005B5C64"/>
    <w:rsid w:val="005B7DD3"/>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84E33"/>
    <w:rsid w:val="006A3141"/>
    <w:rsid w:val="006A5E34"/>
    <w:rsid w:val="006B2422"/>
    <w:rsid w:val="006B2B9A"/>
    <w:rsid w:val="006C1937"/>
    <w:rsid w:val="006F020C"/>
    <w:rsid w:val="007127B7"/>
    <w:rsid w:val="007134C9"/>
    <w:rsid w:val="00715294"/>
    <w:rsid w:val="0071798E"/>
    <w:rsid w:val="00733DC8"/>
    <w:rsid w:val="007416B6"/>
    <w:rsid w:val="00746F48"/>
    <w:rsid w:val="0075404D"/>
    <w:rsid w:val="007607C9"/>
    <w:rsid w:val="0076182A"/>
    <w:rsid w:val="007676B1"/>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140C7"/>
    <w:rsid w:val="008253BB"/>
    <w:rsid w:val="00834507"/>
    <w:rsid w:val="0083706E"/>
    <w:rsid w:val="008408F6"/>
    <w:rsid w:val="008423A5"/>
    <w:rsid w:val="00847274"/>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2D40"/>
    <w:rsid w:val="00946945"/>
    <w:rsid w:val="00951248"/>
    <w:rsid w:val="0095152F"/>
    <w:rsid w:val="00954C49"/>
    <w:rsid w:val="00955E37"/>
    <w:rsid w:val="00961F05"/>
    <w:rsid w:val="0097099F"/>
    <w:rsid w:val="00971997"/>
    <w:rsid w:val="00971FFC"/>
    <w:rsid w:val="0098660A"/>
    <w:rsid w:val="00986C15"/>
    <w:rsid w:val="009931C3"/>
    <w:rsid w:val="009965B8"/>
    <w:rsid w:val="009B2C43"/>
    <w:rsid w:val="009B4EAE"/>
    <w:rsid w:val="009B7573"/>
    <w:rsid w:val="009C22F4"/>
    <w:rsid w:val="009C2A4B"/>
    <w:rsid w:val="009C2E98"/>
    <w:rsid w:val="009D26CC"/>
    <w:rsid w:val="009D3447"/>
    <w:rsid w:val="009D4711"/>
    <w:rsid w:val="009F1185"/>
    <w:rsid w:val="009F18CD"/>
    <w:rsid w:val="009F2A13"/>
    <w:rsid w:val="009F3437"/>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557F"/>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2350B"/>
    <w:rsid w:val="00B310B9"/>
    <w:rsid w:val="00B35F3F"/>
    <w:rsid w:val="00B36CBB"/>
    <w:rsid w:val="00B425E0"/>
    <w:rsid w:val="00B440AA"/>
    <w:rsid w:val="00B44B70"/>
    <w:rsid w:val="00B46424"/>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42843"/>
    <w:rsid w:val="00C533CC"/>
    <w:rsid w:val="00C5751C"/>
    <w:rsid w:val="00C61BFC"/>
    <w:rsid w:val="00C62B85"/>
    <w:rsid w:val="00C65438"/>
    <w:rsid w:val="00C819E5"/>
    <w:rsid w:val="00C87FD8"/>
    <w:rsid w:val="00C91381"/>
    <w:rsid w:val="00C91CBB"/>
    <w:rsid w:val="00CB1D96"/>
    <w:rsid w:val="00CB4E70"/>
    <w:rsid w:val="00CC09B6"/>
    <w:rsid w:val="00CC666F"/>
    <w:rsid w:val="00CD1E3F"/>
    <w:rsid w:val="00CD4832"/>
    <w:rsid w:val="00CE02FA"/>
    <w:rsid w:val="00CE44F6"/>
    <w:rsid w:val="00CE49DA"/>
    <w:rsid w:val="00CE7B61"/>
    <w:rsid w:val="00D00095"/>
    <w:rsid w:val="00D114F0"/>
    <w:rsid w:val="00D20620"/>
    <w:rsid w:val="00D254F7"/>
    <w:rsid w:val="00D26091"/>
    <w:rsid w:val="00D265BA"/>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365E"/>
    <w:rsid w:val="00E331A1"/>
    <w:rsid w:val="00E33202"/>
    <w:rsid w:val="00E336A9"/>
    <w:rsid w:val="00E472B1"/>
    <w:rsid w:val="00E50624"/>
    <w:rsid w:val="00E568DF"/>
    <w:rsid w:val="00E61972"/>
    <w:rsid w:val="00E64269"/>
    <w:rsid w:val="00E67B72"/>
    <w:rsid w:val="00E82267"/>
    <w:rsid w:val="00E82DB8"/>
    <w:rsid w:val="00E853CE"/>
    <w:rsid w:val="00E867B6"/>
    <w:rsid w:val="00EA010F"/>
    <w:rsid w:val="00ED1B63"/>
    <w:rsid w:val="00ED3C1F"/>
    <w:rsid w:val="00ED4085"/>
    <w:rsid w:val="00ED420E"/>
    <w:rsid w:val="00ED53CC"/>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46447"/>
    <w:rsid w:val="00F602DF"/>
    <w:rsid w:val="00F61C8F"/>
    <w:rsid w:val="00F754A1"/>
    <w:rsid w:val="00F81FD9"/>
    <w:rsid w:val="00F841AA"/>
    <w:rsid w:val="00F84A94"/>
    <w:rsid w:val="00F87E96"/>
    <w:rsid w:val="00FA23E8"/>
    <w:rsid w:val="00FC22E2"/>
    <w:rsid w:val="00FD3CC1"/>
    <w:rsid w:val="00FF1E02"/>
    <w:rsid w:val="00FF30B4"/>
    <w:rsid w:val="07DE316C"/>
    <w:rsid w:val="099F43A7"/>
    <w:rsid w:val="0A2032A3"/>
    <w:rsid w:val="0B8A37D8"/>
    <w:rsid w:val="0FD2778E"/>
    <w:rsid w:val="10C055FF"/>
    <w:rsid w:val="118107EC"/>
    <w:rsid w:val="11DD6519"/>
    <w:rsid w:val="133B6DCB"/>
    <w:rsid w:val="16A5185F"/>
    <w:rsid w:val="16BB723D"/>
    <w:rsid w:val="18015F3F"/>
    <w:rsid w:val="18C5372C"/>
    <w:rsid w:val="1BAE3CF8"/>
    <w:rsid w:val="1BE8440E"/>
    <w:rsid w:val="1D155CEE"/>
    <w:rsid w:val="1D1E4002"/>
    <w:rsid w:val="1DF72C80"/>
    <w:rsid w:val="20F57F95"/>
    <w:rsid w:val="240371BF"/>
    <w:rsid w:val="25C741E6"/>
    <w:rsid w:val="27842671"/>
    <w:rsid w:val="29FD04D3"/>
    <w:rsid w:val="2ABE7A3E"/>
    <w:rsid w:val="2C144DE1"/>
    <w:rsid w:val="2EFA178C"/>
    <w:rsid w:val="2F6C1529"/>
    <w:rsid w:val="30B46D73"/>
    <w:rsid w:val="319F7F4E"/>
    <w:rsid w:val="39AE70AB"/>
    <w:rsid w:val="39CF68E3"/>
    <w:rsid w:val="3C0C0783"/>
    <w:rsid w:val="3F9F3A96"/>
    <w:rsid w:val="44EA5A39"/>
    <w:rsid w:val="47710CE3"/>
    <w:rsid w:val="48362A7B"/>
    <w:rsid w:val="493C27E9"/>
    <w:rsid w:val="496F39ED"/>
    <w:rsid w:val="49FF41D3"/>
    <w:rsid w:val="4BE068DB"/>
    <w:rsid w:val="4BF6002B"/>
    <w:rsid w:val="4D7A6DBE"/>
    <w:rsid w:val="4DBD780E"/>
    <w:rsid w:val="4ECE2238"/>
    <w:rsid w:val="51DB4B86"/>
    <w:rsid w:val="52BF2FD2"/>
    <w:rsid w:val="55333C3E"/>
    <w:rsid w:val="58BD2EE2"/>
    <w:rsid w:val="615347DE"/>
    <w:rsid w:val="64CA39A1"/>
    <w:rsid w:val="6C4A05C8"/>
    <w:rsid w:val="72734D90"/>
    <w:rsid w:val="743321DE"/>
    <w:rsid w:val="775960DC"/>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3"/>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6"/>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E:\2022&#24180;\2021&#24180;&#20915;&#31639;&#20844;&#24320;\&#25903;&#20184;&#20013;&#24515;\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2022&#24180;\2021&#24180;&#20915;&#31639;&#20844;&#24320;\&#25903;&#20184;&#20013;&#24515;\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2022&#24180;\2021&#24180;&#20915;&#31639;&#20844;&#24320;\&#25903;&#20184;&#20013;&#24515;\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2022&#24180;\2021&#24180;&#20915;&#31639;&#20844;&#24320;\&#25903;&#20184;&#20013;&#24515;\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2022&#24180;\2021&#24180;&#20915;&#31639;&#20844;&#24320;\&#25903;&#20184;&#20013;&#24515;\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E:\2022&#24180;\2021&#24180;&#20915;&#31639;&#20844;&#24320;\&#25903;&#20184;&#20013;&#24515;\2021&#20915;&#31639;&#20844;&#24320;&#22270;&#3492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E:\2022&#24180;\2021&#24180;&#20915;&#31639;&#20844;&#24320;\&#36130;&#25919;&#23616;\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[2021决算公开图表.xls]Sheet1!$A$58</c:f>
              <c:strCache>
                <c:ptCount val="1"/>
                <c:pt idx="0">
                  <c:v>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[2021决算公开图表.xls]Sheet1!$B$58:$C$58</c:f>
              <c:numCache>
                <c:formatCode>General</c:formatCode>
                <c:ptCount val="2"/>
                <c:pt idx="0">
                  <c:v>2020</c:v>
                </c:pt>
                <c:pt idx="1">
                  <c:v>2021</c:v>
                </c:pt>
              </c:numCache>
            </c:numRef>
          </c:cat>
          <c:val>
            <c:numRef>
              <c:f>[2021决算公开图表.xls]Sheet1!$B$59:$C$59</c:f>
              <c:numCache>
                <c:formatCode>General</c:formatCode>
                <c:ptCount val="2"/>
                <c:pt idx="0">
                  <c:v>226.68</c:v>
                </c:pt>
                <c:pt idx="1">
                  <c:v>257.78</c:v>
                </c:pt>
              </c:numCache>
            </c:numRef>
          </c:val>
        </c:ser>
        <c:dLbls>
          <c:showLegendKey val="0"/>
          <c:showVal val="1"/>
          <c:showCatName val="0"/>
          <c:showSerName val="0"/>
          <c:showPercent val="0"/>
          <c:showBubbleSize val="0"/>
        </c:dLbls>
        <c:gapWidth val="150"/>
        <c:axId val="129897216"/>
        <c:axId val="129898752"/>
      </c:barChart>
      <c:catAx>
        <c:axId val="129897216"/>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29898752"/>
        <c:crosses val="autoZero"/>
        <c:auto val="1"/>
        <c:lblAlgn val="ctr"/>
        <c:lblOffset val="100"/>
        <c:noMultiLvlLbl val="0"/>
      </c:catAx>
      <c:valAx>
        <c:axId val="129898752"/>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2989721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80387905071676"/>
          <c:y val="0.507475083056478"/>
          <c:w val="0.21358872425009"/>
          <c:h val="0.15427740863787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explosion val="0"/>
            <c:spPr>
              <a:solidFill>
                <a:srgbClr val="9999FF"/>
              </a:solidFill>
              <a:ln w="12700">
                <a:solidFill>
                  <a:srgbClr val="000000">
                    <a:alpha val="100000"/>
                  </a:srgbClr>
                </a:solidFill>
                <a:prstDash val="solid"/>
              </a:ln>
              <a:effectLst/>
            </c:spPr>
          </c:dPt>
          <c:dPt>
            <c:idx val="1"/>
            <c:bubble3D val="0"/>
            <c:explosion val="0"/>
            <c:spPr>
              <a:solidFill>
                <a:srgbClr val="993366"/>
              </a:solidFill>
              <a:ln w="12700">
                <a:solidFill>
                  <a:srgbClr val="000000">
                    <a:alpha val="100000"/>
                  </a:srgbClr>
                </a:solidFill>
                <a:prstDash val="solid"/>
              </a:ln>
              <a:effectLst/>
            </c:spPr>
          </c:dPt>
          <c:dPt>
            <c:idx val="2"/>
            <c:bubble3D val="0"/>
            <c:explosion val="0"/>
            <c:spPr>
              <a:solidFill>
                <a:srgbClr val="FFFFCC"/>
              </a:solidFill>
              <a:ln w="12700">
                <a:solidFill>
                  <a:srgbClr val="000000">
                    <a:alpha val="100000"/>
                  </a:srgbClr>
                </a:solidFill>
                <a:prstDash val="solid"/>
              </a:ln>
              <a:effectLst/>
            </c:spPr>
          </c:dPt>
          <c:dPt>
            <c:idx val="3"/>
            <c:bubble3D val="0"/>
            <c:explosion val="0"/>
            <c:spPr>
              <a:solidFill>
                <a:srgbClr val="CCFFFF"/>
              </a:solidFill>
              <a:ln w="12700">
                <a:solidFill>
                  <a:srgbClr val="000000">
                    <a:alpha val="100000"/>
                  </a:srgbClr>
                </a:solidFill>
                <a:prstDash val="solid"/>
              </a:ln>
              <a:effectLst/>
            </c:spPr>
          </c:dPt>
          <c:dPt>
            <c:idx val="4"/>
            <c:bubble3D val="0"/>
            <c:explosion val="0"/>
            <c:spPr>
              <a:solidFill>
                <a:srgbClr val="660066"/>
              </a:solidFill>
              <a:ln w="12700">
                <a:solidFill>
                  <a:srgbClr val="000000">
                    <a:alpha val="100000"/>
                  </a:srgbClr>
                </a:solidFill>
                <a:prstDash val="solid"/>
              </a:ln>
              <a:effectLst/>
            </c:spPr>
          </c:dPt>
          <c:dPt>
            <c:idx val="5"/>
            <c:bubble3D val="0"/>
            <c:explosion val="0"/>
            <c:spPr>
              <a:solidFill>
                <a:srgbClr val="FF8080"/>
              </a:solidFill>
              <a:ln w="12700">
                <a:solidFill>
                  <a:srgbClr val="000000">
                    <a:alpha val="100000"/>
                  </a:srgbClr>
                </a:solidFill>
                <a:prstDash val="solid"/>
              </a:ln>
              <a:effectLst/>
            </c:spPr>
          </c:dPt>
          <c:dLbls>
            <c:dLbl>
              <c:idx val="0"/>
              <c:layout>
                <c:manualLayout>
                  <c:x val="-0.190744187484142"/>
                  <c:y val="-0.080902099775814"/>
                </c:manualLayout>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lang="en-US" altLang="zh-CN" sz="1200" b="0" i="0" u="none" strike="noStrike" baseline="0">
                        <a:solidFill>
                          <a:srgbClr val="FF0000"/>
                        </a:solidFill>
                        <a:latin typeface="宋体" panose="02010600030101010101" charset="-122"/>
                        <a:ea typeface="宋体" panose="02010600030101010101" charset="-122"/>
                        <a:cs typeface="宋体" panose="02010600030101010101" charset="-122"/>
                      </a:rPr>
                      <a:t>257.78  100</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algn="ctr" defTabSz="914400">
                      <a:defRPr lang="zh-CN" sz="1000" b="0" i="0" u="none" strike="noStrike" kern="1200" baseline="0">
                        <a:solidFill>
                          <a:srgbClr val="000000">
                            <a:alpha val="100000"/>
                          </a:srgbClr>
                        </a:solidFill>
                        <a:latin typeface="+mn-lt"/>
                        <a:ea typeface="+mn-ea"/>
                        <a:cs typeface="+mn-cs"/>
                      </a:defRPr>
                    </a:pPr>
                    <a:r>
                      <a:rPr sz="1200" b="0" i="0" u="none" strike="noStrike" baseline="0">
                        <a:solidFill>
                          <a:srgbClr val="FF0000"/>
                        </a:solidFill>
                        <a:latin typeface="宋体" panose="02010600030101010101" charset="-122"/>
                        <a:ea typeface="宋体" panose="02010600030101010101" charset="-122"/>
                        <a:cs typeface="宋体" panose="02010600030101010101" charset="-122"/>
                      </a:rPr>
                      <a:t>27.08, </a:t>
                    </a:r>
                    <a:r>
                      <a:rPr lang="en-US" altLang="zh-CN" sz="12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2.5</a:t>
                    </a:r>
                    <a:r>
                      <a:rPr sz="1200" b="0" i="0" u="none" strike="noStrike" baseline="0">
                        <a:solidFill>
                          <a:srgbClr val="FF0000"/>
                        </a:solidFill>
                        <a:latin typeface="宋体" panose="02010600030101010101" charset="-122"/>
                        <a:ea typeface="宋体" panose="02010600030101010101" charset="-122"/>
                        <a:cs typeface="宋体" panose="02010600030101010101" charset="-122"/>
                      </a:rPr>
                      <a:t>%</a:t>
                    </a:r>
                    <a:endParaRPr sz="1200" b="0" i="0" u="none" strike="noStrike" cap="none" normalizeH="0" baseline="0">
                      <a:solidFill>
                        <a:srgbClr val="000000"/>
                      </a:solidFill>
                      <a:effectLst/>
                      <a:latin typeface="宋体" panose="02010600030101010101" charset="-122"/>
                      <a:ea typeface="宋体" panose="02010600030101010101" charset="-122"/>
                      <a:cs typeface="宋体" panose="02010600030101010101" charset="-122"/>
                    </a:endParaRPr>
                  </a:p>
                </c:rich>
              </c:tx>
              <c:numFmt formatCode="0%" sourceLinked="0"/>
              <c:spPr>
                <a:noFill/>
                <a:ln>
                  <a:noFill/>
                </a:ln>
                <a:effectLst/>
              </c:spPr>
              <c:txPr>
                <a:bodyPr rot="0" spcFirstLastPara="0" vertOverflow="ellipsis" vert="horz" wrap="square" lIns="38100" tIns="19050" rIns="38100" bIns="19050" anchor="ctr" anchorCtr="1"/>
                <a:lstStyle/>
                <a:p>
                  <a:pPr algn="ctr">
                    <a:defRPr lang="zh-CN" sz="1000" b="0" i="0" u="none" strike="noStrike" kern="1200" baseline="0">
                      <a:solidFill>
                        <a:srgbClr val="000000">
                          <a:alpha val="100000"/>
                        </a:srgbClr>
                      </a:solidFill>
                      <a:latin typeface="+mn-lt"/>
                      <a:ea typeface="+mn-ea"/>
                      <a:cs typeface="+mn-cs"/>
                    </a:defRPr>
                  </a:pPr>
                </a:p>
              </c:txPr>
              <c:dLblPos val="bestFit"/>
              <c:showLegendKey val="1"/>
              <c:showVal val="1"/>
              <c:showCatName val="0"/>
              <c:showSerName val="0"/>
              <c:showPercent val="1"/>
              <c:showBubbleSize val="0"/>
              <c:extLst>
                <c:ext xmlns:c15="http://schemas.microsoft.com/office/drawing/2012/chart" uri="{CE6537A1-D6FC-4f65-9D91-7224C49458BB}"/>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[2021决算公开图表.xls]Sheet1!$C$3:$C$8</c:f>
              <c:numCache>
                <c:formatCode>General</c:formatCode>
                <c:ptCount val="6"/>
                <c:pt idx="0">
                  <c:v>257.78</c:v>
                </c:pt>
                <c:pt idx="2">
                  <c:v>0</c:v>
                </c:pt>
                <c:pt idx="3">
                  <c:v>0</c:v>
                </c:pt>
                <c:pt idx="4">
                  <c:v>0</c:v>
                </c:pt>
                <c:pt idx="5">
                  <c:v>0</c:v>
                </c:pt>
              </c:numCache>
            </c:numRef>
          </c:val>
        </c:ser>
        <c:ser>
          <c:idx val="1"/>
          <c:order val="1"/>
          <c:spPr>
            <a:solidFill>
              <a:srgbClr val="993366"/>
            </a:solidFill>
            <a:ln w="12700">
              <a:solidFill>
                <a:srgbClr val="000000"/>
              </a:solidFill>
              <a:prstDash val="solid"/>
            </a:ln>
            <a:effectLst/>
          </c:spPr>
          <c:explosion val="0"/>
          <c:dPt>
            <c:idx val="0"/>
            <c:bubble3D val="0"/>
            <c:explosion val="0"/>
            <c:spPr>
              <a:solidFill>
                <a:srgbClr val="9999FF"/>
              </a:solidFill>
              <a:ln w="12700">
                <a:solidFill>
                  <a:srgbClr val="000000"/>
                </a:solidFill>
                <a:prstDash val="solid"/>
              </a:ln>
              <a:effectLst/>
            </c:spPr>
          </c:dPt>
          <c:dPt>
            <c:idx val="1"/>
            <c:bubble3D val="0"/>
            <c:explosion val="0"/>
            <c:spPr>
              <a:solidFill>
                <a:srgbClr val="993366"/>
              </a:solidFill>
              <a:ln w="12700">
                <a:solidFill>
                  <a:srgbClr val="000000"/>
                </a:solidFill>
                <a:prstDash val="solid"/>
              </a:ln>
              <a:effectLst/>
            </c:spPr>
          </c:dPt>
          <c:dPt>
            <c:idx val="2"/>
            <c:bubble3D val="0"/>
            <c:explosion val="0"/>
            <c:spPr>
              <a:solidFill>
                <a:srgbClr val="FFFFCC"/>
              </a:solidFill>
              <a:ln w="12700">
                <a:solidFill>
                  <a:srgbClr val="000000"/>
                </a:solidFill>
                <a:prstDash val="solid"/>
              </a:ln>
              <a:effectLst/>
            </c:spPr>
          </c:dPt>
          <c:dPt>
            <c:idx val="3"/>
            <c:bubble3D val="0"/>
            <c:explosion val="0"/>
            <c:spPr>
              <a:solidFill>
                <a:srgbClr val="CCFFFF"/>
              </a:solidFill>
              <a:ln w="12700">
                <a:solidFill>
                  <a:srgbClr val="000000"/>
                </a:solidFill>
                <a:prstDash val="solid"/>
              </a:ln>
              <a:effectLst/>
            </c:spPr>
          </c:dPt>
          <c:dPt>
            <c:idx val="4"/>
            <c:bubble3D val="0"/>
            <c:explosion val="0"/>
            <c:spPr>
              <a:solidFill>
                <a:srgbClr val="660066"/>
              </a:solidFill>
              <a:ln w="12700">
                <a:solidFill>
                  <a:srgbClr val="000000"/>
                </a:solidFill>
                <a:prstDash val="solid"/>
              </a:ln>
              <a:effectLst/>
            </c:spPr>
          </c:dPt>
          <c:dPt>
            <c:idx val="5"/>
            <c:bubble3D val="0"/>
            <c:explosion val="0"/>
            <c:spPr>
              <a:solidFill>
                <a:srgbClr val="FF8080"/>
              </a:solidFill>
              <a:ln w="12700">
                <a:solidFill>
                  <a:srgbClr val="000000"/>
                </a:solidFill>
                <a:prstDash val="solid"/>
              </a:ln>
              <a:effectLst/>
            </c:spPr>
          </c:dPt>
          <c:dLbls>
            <c:delete val="1"/>
          </c:dLbls>
          <c:cat>
            <c:strRef>
              <c:f>[2021决算公开图表.xls]Sheet1!$B$3:$B$8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[2021决算公开图表.xls]Sheet1!$D$3:$D$8</c:f>
              <c:numCache>
                <c:formatCode>0.00%</c:formatCode>
                <c:ptCount val="6"/>
                <c:pt idx="0">
                  <c:v>1</c:v>
                </c:pt>
                <c:pt idx="2" c:formatCode="0%">
                  <c:v>0</c:v>
                </c:pt>
                <c:pt idx="3" c:formatCode="0%">
                  <c:v>0</c:v>
                </c:pt>
                <c:pt idx="4" c:formatCode="0%">
                  <c:v>0</c:v>
                </c:pt>
                <c:pt idx="5"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5"/>
          <c:y val="0.23575"/>
          <c:w val="0.3345"/>
          <c:h val="0.6647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Pt>
            <c:idx val="4"/>
            <c:bubble3D val="0"/>
            <c:spPr>
              <a:solidFill>
                <a:srgbClr val="660066"/>
              </a:solidFill>
              <a:ln w="12700">
                <a:solidFill>
                  <a:srgbClr val="000000">
                    <a:alpha val="100000"/>
                  </a:srgbClr>
                </a:solidFill>
                <a:prstDash val="solid"/>
              </a:ln>
              <a:effectLst/>
            </c:spPr>
          </c:dPt>
          <c:dLbls>
            <c:dLbl>
              <c:idx val="2"/>
              <c:layout>
                <c:manualLayout>
                  <c:x val="-0.241832403841195"/>
                  <c:y val="0.151674641148325"/>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289838339511882"/>
                  <c:y val="0.393172179872769"/>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39888423988842"/>
                  <c:y val="0.166235685260436"/>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[2021决算公开图表.xls]Sheet1!$C$34:$C$38</c:f>
              <c:numCache>
                <c:formatCode>General</c:formatCode>
                <c:ptCount val="5"/>
                <c:pt idx="0">
                  <c:v>257.78</c:v>
                </c:pt>
                <c:pt idx="2">
                  <c:v>0</c:v>
                </c:pt>
                <c:pt idx="3">
                  <c:v>0</c:v>
                </c:pt>
                <c:pt idx="4">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delete val="1"/>
          </c:dLbls>
          <c:cat>
            <c:strRef>
              <c:f>[2021决算公开图表.xls]Sheet1!$B$34:$B$38</c:f>
              <c:strCache>
                <c:ptCount val="5"/>
                <c:pt idx="0">
                  <c:v>基本支出</c:v>
                </c:pt>
                <c:pt idx="1">
                  <c:v>项目支出</c:v>
                </c:pt>
                <c:pt idx="2">
                  <c:v>上缴上级支出</c:v>
                </c:pt>
                <c:pt idx="3">
                  <c:v>经营支出</c:v>
                </c:pt>
                <c:pt idx="4">
                  <c:v>对附属单位补助支出</c:v>
                </c:pt>
              </c:strCache>
            </c:strRef>
          </c:cat>
          <c:val>
            <c:numRef>
              <c:f>[2021决算公开图表.xls]Sheet1!$D$34:$D$38</c:f>
              <c:numCache>
                <c:formatCode>0.00%</c:formatCode>
                <c:ptCount val="5"/>
                <c:pt idx="0">
                  <c:v>1</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7000000000002"/>
          <c:y val="0.4175"/>
          <c:w val="0.23725"/>
          <c:h val="0.2982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[2021决算公开图表.xls]Sheet1!$A$168</c:f>
              <c:strCache>
                <c:ptCount val="1"/>
                <c:pt idx="0">
                  <c:v>财政拨款收入、支出总计</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[2021决算公开图表.xls]Sheet1!$B$167:$C$167</c:f>
              <c:numCache>
                <c:formatCode>General</c:formatCode>
                <c:ptCount val="2"/>
                <c:pt idx="0">
                  <c:v>2020</c:v>
                </c:pt>
                <c:pt idx="1">
                  <c:v>2021</c:v>
                </c:pt>
              </c:numCache>
            </c:numRef>
          </c:cat>
          <c:val>
            <c:numRef>
              <c:f>[2021决算公开图表.xls]Sheet1!$B$168:$C$168</c:f>
              <c:numCache>
                <c:formatCode>General</c:formatCode>
                <c:ptCount val="2"/>
                <c:pt idx="0">
                  <c:v>226.68</c:v>
                </c:pt>
                <c:pt idx="1">
                  <c:v>257.78</c:v>
                </c:pt>
              </c:numCache>
            </c:numRef>
          </c:val>
        </c:ser>
        <c:dLbls>
          <c:showLegendKey val="0"/>
          <c:showVal val="1"/>
          <c:showCatName val="0"/>
          <c:showSerName val="0"/>
          <c:showPercent val="0"/>
          <c:showBubbleSize val="0"/>
        </c:dLbls>
        <c:gapWidth val="150"/>
        <c:axId val="110675456"/>
        <c:axId val="110676992"/>
      </c:barChart>
      <c:catAx>
        <c:axId val="110675456"/>
        <c:scaling>
          <c:orientation val="minMax"/>
        </c:scaling>
        <c:delete val="0"/>
        <c:axPos val="b"/>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10676992"/>
        <c:crosses val="autoZero"/>
        <c:auto val="1"/>
        <c:lblAlgn val="ctr"/>
        <c:lblOffset val="100"/>
        <c:noMultiLvlLbl val="0"/>
      </c:catAx>
      <c:valAx>
        <c:axId val="110676992"/>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1067545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02458423716558"/>
          <c:y val="0.504281416338813"/>
          <c:w val="0.290551940226561"/>
          <c:h val="0.132839620458227"/>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[2021决算公开图表.xls]Sheet1!$A$85</c:f>
              <c:strCache>
                <c:ptCount val="1"/>
                <c:pt idx="0">
                  <c:v>一般公共预算财政拨款支出</c:v>
                </c:pt>
              </c:strCache>
            </c:strRef>
          </c:tx>
          <c:spPr>
            <a:solidFill>
              <a:srgbClr val="9999FF"/>
            </a:solidFill>
            <a:ln w="12700">
              <a:solidFill>
                <a:srgbClr val="000000">
                  <a:alpha val="100000"/>
                </a:srgbClr>
              </a:solidFill>
              <a:prstDash val="solid"/>
            </a:ln>
            <a:effectLst/>
          </c:spPr>
          <c:invertIfNegative val="0"/>
          <c:dLbls>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[2021决算公开图表.xls]Sheet1!$B$84:$C$84</c:f>
              <c:strCache>
                <c:ptCount val="2"/>
                <c:pt idx="0">
                  <c:v>2020年</c:v>
                </c:pt>
                <c:pt idx="1">
                  <c:v>2021年</c:v>
                </c:pt>
              </c:strCache>
            </c:strRef>
          </c:cat>
          <c:val>
            <c:numRef>
              <c:f>[2021决算公开图表.xls]Sheet1!$B$85:$C$85</c:f>
              <c:numCache>
                <c:formatCode>General</c:formatCode>
                <c:ptCount val="2"/>
                <c:pt idx="0">
                  <c:v>226.68</c:v>
                </c:pt>
                <c:pt idx="1">
                  <c:v>257.78</c:v>
                </c:pt>
              </c:numCache>
            </c:numRef>
          </c:val>
        </c:ser>
        <c:dLbls>
          <c:showLegendKey val="0"/>
          <c:showVal val="1"/>
          <c:showCatName val="0"/>
          <c:showSerName val="0"/>
          <c:showPercent val="0"/>
          <c:showBubbleSize val="0"/>
        </c:dLbls>
        <c:gapWidth val="150"/>
        <c:axId val="110824448"/>
        <c:axId val="110838528"/>
      </c:barChart>
      <c:catAx>
        <c:axId val="110824448"/>
        <c:scaling>
          <c:orientation val="minMax"/>
        </c:scaling>
        <c:delete val="0"/>
        <c:axPos val="b"/>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10838528"/>
        <c:crosses val="autoZero"/>
        <c:auto val="1"/>
        <c:lblAlgn val="ctr"/>
        <c:lblOffset val="100"/>
        <c:noMultiLvlLbl val="0"/>
      </c:catAx>
      <c:valAx>
        <c:axId val="110838528"/>
        <c:scaling>
          <c:orientation val="minMax"/>
        </c:scaling>
        <c:delete val="0"/>
        <c:axPos val="l"/>
        <c:majorGridlines>
          <c:spPr>
            <a:ln w="3175" cap="flat" cmpd="sng" algn="ctr">
              <a:solidFill>
                <a:srgbClr val="000000">
                  <a:alpha val="100000"/>
                </a:srgbClr>
              </a:solidFill>
              <a:prstDash val="solid"/>
              <a:round/>
            </a:ln>
            <a:effectLst/>
          </c:spPr>
        </c:majorGridlines>
        <c:numFmt formatCode="General" sourceLinked="1"/>
        <c:majorTickMark val="in"/>
        <c:minorTickMark val="none"/>
        <c:tickLblPos val="nextTo"/>
        <c:spPr>
          <a:noFill/>
          <a:ln w="3175" cap="flat" cmpd="sng" algn="ctr">
            <a:solidFill>
              <a:srgbClr val="000000"/>
            </a:solidFill>
            <a:prstDash val="solid"/>
            <a:round/>
          </a:ln>
          <a:effectLst/>
        </c:spPr>
        <c:txPr>
          <a:bodyPr rot="-6000000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crossAx val="110824448"/>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78738865447728"/>
          <c:y val="0.505775895263767"/>
          <c:w val="0.315283638068449"/>
          <c:h val="0.189449364651522"/>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3925479618915"/>
          <c:y val="0.0179802217560684"/>
        </c:manualLayout>
      </c:layout>
      <c:overlay val="0"/>
      <c:spPr>
        <a:noFill/>
        <a:ln w="3175">
          <a:noFill/>
        </a:ln>
      </c:spPr>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Pt>
            <c:idx val="3"/>
            <c:bubble3D val="0"/>
            <c:spPr>
              <a:solidFill>
                <a:srgbClr val="CCFFFF"/>
              </a:solidFill>
              <a:ln w="12700">
                <a:solidFill>
                  <a:srgbClr val="000000">
                    <a:alpha val="100000"/>
                  </a:srgbClr>
                </a:solidFill>
                <a:prstDash val="solid"/>
              </a:ln>
              <a:effectLst/>
            </c:spPr>
          </c:dPt>
          <c:dLbls>
            <c:dLbl>
              <c:idx val="1"/>
              <c:layout>
                <c:manualLayout>
                  <c:x val="-0.0552486187845304"/>
                  <c:y val="0.0966436919388673"/>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205801104972376"/>
                  <c:y val="0.0179802217560684"/>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0276243093922652"/>
                  <c:y val="0.00899011087803417"/>
                </c:manualLayout>
              </c:layout>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a:noFill/>
              </a:ln>
              <a:effectLst/>
            </c:spPr>
            <c:txPr>
              <a:bodyPr rot="0" spcFirstLastPara="0" vertOverflow="ellipsis" horzOverflow="overflow" vert="horz" wrap="square" lIns="38100" tIns="19050" rIns="38100" bIns="19050" anchor="ctr" anchorCtr="1"/>
              <a:lstStyle/>
              <a:p>
                <a:pPr>
                  <a:defRPr lang="zh-CN" sz="1025"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[2021决算公开图表.xls]Sheet1!$A$110:$A$113</c:f>
              <c:strCache>
                <c:ptCount val="4"/>
                <c:pt idx="0">
                  <c:v>一般公共服务支出</c:v>
                </c:pt>
                <c:pt idx="1">
                  <c:v>社会保障和就业支出</c:v>
                </c:pt>
                <c:pt idx="2">
                  <c:v>住房保障支出</c:v>
                </c:pt>
                <c:pt idx="3">
                  <c:v>卫生健康支出</c:v>
                </c:pt>
              </c:strCache>
            </c:strRef>
          </c:cat>
          <c:val>
            <c:numRef>
              <c:f>[2021决算公开图表.xls]Sheet1!$B$110:$B$113</c:f>
              <c:numCache>
                <c:formatCode>General</c:formatCode>
                <c:ptCount val="4"/>
                <c:pt idx="0">
                  <c:v>188.07</c:v>
                </c:pt>
                <c:pt idx="1">
                  <c:v>36.42</c:v>
                </c:pt>
                <c:pt idx="2">
                  <c:v>19.95</c:v>
                </c:pt>
                <c:pt idx="3">
                  <c:v>13.34</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Lbls>
            <c:delete val="1"/>
          </c:dLbls>
          <c:cat>
            <c:strRef>
              <c:f>[2021决算公开图表.xls]Sheet1!$A$110:$A$113</c:f>
              <c:strCache>
                <c:ptCount val="4"/>
                <c:pt idx="0">
                  <c:v>一般公共服务支出</c:v>
                </c:pt>
                <c:pt idx="1">
                  <c:v>社会保障和就业支出</c:v>
                </c:pt>
                <c:pt idx="2">
                  <c:v>住房保障支出</c:v>
                </c:pt>
                <c:pt idx="3">
                  <c:v>卫生健康支出</c:v>
                </c:pt>
              </c:strCache>
            </c:strRef>
          </c:cat>
          <c:val>
            <c:numRef>
              <c:f>[2021决算公开图表.xls]Sheet1!$C$110:$C$113</c:f>
              <c:numCache>
                <c:formatCode>0.00%</c:formatCode>
                <c:ptCount val="4"/>
                <c:pt idx="0">
                  <c:v>0.729600000000003</c:v>
                </c:pt>
                <c:pt idx="1">
                  <c:v>0.1413</c:v>
                </c:pt>
                <c:pt idx="2">
                  <c:v>0.0774</c:v>
                </c:pt>
                <c:pt idx="3">
                  <c:v>0.0517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55750000000003"/>
          <c:y val="0.422"/>
          <c:w val="0.23875"/>
          <c:h val="0.2655"/>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400" b="0" i="0" u="none" strike="noStrike" baseline="0">
                <a:solidFill>
                  <a:srgbClr val="000000"/>
                </a:solidFill>
                <a:latin typeface="宋体" panose="02010600030101010101" charset="-122"/>
                <a:ea typeface="宋体" panose="02010600030101010101" charset="-122"/>
                <a:cs typeface="宋体" panose="02010600030101010101" charset="-122"/>
              </a:rPr>
              <a:t>图</a:t>
            </a:r>
            <a:r>
              <a:rPr lang="en-US" altLang="zh-CN" sz="1400" b="0" i="0" u="none" strike="noStrike" baseline="0">
                <a:solidFill>
                  <a:srgbClr val="333333"/>
                </a:solidFill>
                <a:latin typeface="Arial" panose="020B0604020202020204" pitchFamily="7" charset="0"/>
                <a:ea typeface="Arial" panose="020B0604020202020204" pitchFamily="7" charset="0"/>
                <a:cs typeface="Arial" panose="020B0604020202020204" pitchFamily="7" charset="0"/>
              </a:rPr>
              <a:t>7</a:t>
            </a:r>
            <a:r>
              <a:rPr sz="1400" b="0" i="0" u="none" strike="noStrike" baseline="0">
                <a:solidFill>
                  <a:srgbClr val="000000"/>
                </a:solidFill>
                <a:latin typeface="宋体" panose="02010600030101010101" charset="-122"/>
                <a:ea typeface="宋体" panose="02010600030101010101" charset="-122"/>
                <a:cs typeface="宋体" panose="02010600030101010101" charset="-122"/>
              </a:rPr>
              <a:t>  “三公”经费财政拨款支出结构</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67368596216539"/>
          <c:y val="0.0221606648199446"/>
        </c:manualLayout>
      </c:layout>
      <c:overlay val="0"/>
    </c:title>
    <c:autoTitleDeleted val="0"/>
    <c:plotArea>
      <c:layout/>
      <c:pieChart>
        <c:varyColors val="1"/>
        <c:ser>
          <c:idx val="0"/>
          <c:order val="0"/>
          <c:spPr>
            <a:solidFill>
              <a:srgbClr val="9999FF"/>
            </a:solidFill>
            <a:ln w="12700">
              <a:solidFill>
                <a:srgbClr val="000000">
                  <a:alpha val="100000"/>
                </a:srgbClr>
              </a:solidFill>
              <a:prstDash val="solid"/>
            </a:ln>
            <a:effectLst/>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216048021245831"/>
                  <c:y val="0.3946354349852"/>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182716644570327"/>
                  <c:y val="0.25611862835954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39428144003361"/>
                  <c:y val="0.069311068266287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a:noFill/>
              </a:ln>
              <a:effectLst/>
            </c:spPr>
            <c:txPr>
              <a:bodyPr rot="0" spcFirstLastPara="0" vertOverflow="ellipsis" horzOverflow="overflow" vert="horz" wrap="square" lIns="38100" tIns="19050" rIns="38100" bIns="19050"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[2021决算公开图表.xls]Sheet1!$C$138:$C$140</c:f>
              <c:numCache>
                <c:formatCode>General</c:formatCode>
                <c:ptCount val="3"/>
                <c:pt idx="0">
                  <c:v>0</c:v>
                </c:pt>
                <c:pt idx="2">
                  <c:v>0</c:v>
                </c:pt>
              </c:numCache>
            </c:numRef>
          </c:val>
        </c:ser>
        <c:ser>
          <c:idx val="1"/>
          <c:order val="1"/>
          <c:spPr>
            <a:solidFill>
              <a:srgbClr val="993366"/>
            </a:solidFill>
            <a:ln w="12700">
              <a:solidFill>
                <a:srgbClr val="000000"/>
              </a:solidFill>
              <a:prstDash val="solid"/>
            </a:ln>
            <a:effectLst/>
          </c:spPr>
          <c:explosion val="0"/>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Lbls>
            <c:delete val="1"/>
          </c:dLbls>
          <c:cat>
            <c:strRef>
              <c:f>[2021决算公开图表.xls]Sheet1!$B$138:$B$140</c:f>
              <c:strCache>
                <c:ptCount val="3"/>
                <c:pt idx="0">
                  <c:v>因公出国（境）费支出</c:v>
                </c:pt>
                <c:pt idx="1">
                  <c:v>公务用车购置及运行维护费支出</c:v>
                </c:pt>
                <c:pt idx="2">
                  <c:v>公务接待费支出</c:v>
                </c:pt>
              </c:strCache>
            </c:strRef>
          </c:cat>
          <c:val>
            <c:numRef>
              <c:f>[2021决算公开图表.xls]Sheet1!$D$138:$D$140</c:f>
              <c:numCache>
                <c:formatCode>General</c:formatCode>
                <c:ptCount val="3"/>
                <c:pt idx="0">
                  <c:v>0</c:v>
                </c:pt>
                <c:pt idx="2" c:formatCode="0%">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5538146317945"/>
          <c:y val="0.400602409638554"/>
          <c:w val="0.338556104616126"/>
          <c:h val="0.472659870250232"/>
        </c:manualLayout>
      </c:layout>
      <c:overlay val="0"/>
      <c:spPr>
        <a:solidFill>
          <a:srgbClr val="FFFFFF"/>
        </a:solidFill>
        <a:ln>
          <a:solidFill>
            <a:srgbClr val="000000"/>
          </a:solidFill>
        </a:ln>
        <a:effectLst/>
      </c:spPr>
      <c:txPr>
        <a:bodyPr rot="0" spcFirstLastPara="0" vertOverflow="ellipsis" horzOverflow="overflow" vert="horz" wrap="square" anchor="ctr" anchorCtr="1"/>
        <a:lstStyle/>
        <a:p>
          <a:pPr>
            <a:defRPr lang="zh-CN" sz="1200" b="0" i="0" u="none" strike="noStrike" kern="1200" baseline="0">
              <a:solidFill>
                <a:schemeClr val="tx1"/>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alpha val="100000"/>
        </a:srgbClr>
      </a:solidFill>
      <a:prstDash val="solid"/>
      <a:round/>
    </a:ln>
    <a:effectLst/>
  </c:spPr>
  <c:txPr>
    <a:bodyPr rot="0" spcFirstLastPara="0" vertOverflow="ellipsis" horzOverflow="overflow" vert="horz" wrap="square" anchor="ctr" anchorCtr="1"/>
    <a:lstStyle/>
    <a:p>
      <a:pPr>
        <a:defRPr lang="zh-CN" sz="1200" b="0" i="0" u="none" strike="noStrike">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20</Pages>
  <Words>5776</Words>
  <Characters>6178</Characters>
  <Lines>59</Lines>
  <Paragraphs>16</Paragraphs>
  <TotalTime>17</TotalTime>
  <ScaleCrop>false</ScaleCrop>
  <LinksUpToDate>false</LinksUpToDate>
  <CharactersWithSpaces>6335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藤藤花雨</cp:lastModifiedBy>
  <cp:lastPrinted>2022-10-24T10:35:00Z</cp:lastPrinted>
  <dcterms:modified xsi:type="dcterms:W3CDTF">2023-04-11T01:28:23Z</dcterms:modified>
  <dc:title>四川省***</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8995209DAA624BF5A863F3AAB9458684_12</vt:lpwstr>
  </property>
</Properties>
</file>