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盐边县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2023年举借政府债务情况说明</w:t>
      </w:r>
    </w:p>
    <w:p>
      <w:pPr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(截止2023年3月底）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22</w:t>
      </w:r>
      <w:r>
        <w:rPr>
          <w:rFonts w:hint="eastAsia" w:ascii="Times New Roman" w:hAnsi="Times New Roman" w:eastAsia="仿宋_GB2312"/>
          <w:sz w:val="32"/>
          <w:szCs w:val="32"/>
        </w:rPr>
        <w:t>年末盐边县地方政府一般债务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余额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134,235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万元，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年省财政厅下达盐边县新增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一般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债券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1,723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万元，盐边县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3月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末地方政府一般债务余额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135,985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万元。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末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地方政府专项债务余额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106,640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万元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年省财政厅下达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县新增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专项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债券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14,000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万元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盐边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县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20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仿宋_GB2312"/>
          <w:color w:val="auto"/>
          <w:sz w:val="32"/>
          <w:szCs w:val="32"/>
          <w:lang w:val="en-US" w:eastAsia="zh-CN"/>
        </w:rPr>
        <w:t>3月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末地方政府专项债务余额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120,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640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万元。</w:t>
      </w:r>
    </w:p>
    <w:p>
      <w:pPr>
        <w:ind w:firstLine="640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ind w:firstLine="640"/>
        <w:jc w:val="both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DA5BE1"/>
    <w:rsid w:val="011D0866"/>
    <w:rsid w:val="01C2296B"/>
    <w:rsid w:val="02624126"/>
    <w:rsid w:val="06F2207F"/>
    <w:rsid w:val="34505770"/>
    <w:rsid w:val="39544009"/>
    <w:rsid w:val="3B101645"/>
    <w:rsid w:val="41511638"/>
    <w:rsid w:val="44514D90"/>
    <w:rsid w:val="4D790F6A"/>
    <w:rsid w:val="5D017465"/>
    <w:rsid w:val="79DA5BE1"/>
    <w:rsid w:val="7CF07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2019-02-15T01:21:00Z</dcterms:created>
  <dc:creator>Administrator</dc:creator>
  <cp:lastModifiedBy>HUAWEI</cp:lastModifiedBy>
  <dcterms:modified xsi:type="dcterms:W3CDTF">2023-04-10T03:08:00Z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58D19F3E12DC416DA5D287F311EAF2C0</vt:lpwstr>
  </property>
</Properties>
</file>