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40" w:lineRule="exact"/>
        <w:jc w:val="center"/>
        <w:rPr>
          <w:rFonts w:eastAsia="方正小标宋_GBK"/>
          <w:sz w:val="44"/>
          <w:szCs w:val="44"/>
        </w:rPr>
      </w:pPr>
      <w:r>
        <w:rPr>
          <w:rFonts w:hint="eastAsia" w:eastAsia="方正小标宋_GBK"/>
          <w:sz w:val="44"/>
          <w:szCs w:val="44"/>
        </w:rPr>
        <w:t>盐边县</w:t>
      </w:r>
      <w:r>
        <w:rPr>
          <w:rFonts w:hint="eastAsia" w:eastAsia="方正小标宋_GBK"/>
          <w:sz w:val="44"/>
          <w:szCs w:val="44"/>
          <w:lang w:eastAsia="zh-CN"/>
        </w:rPr>
        <w:t>共和乡</w:t>
      </w:r>
      <w:r>
        <w:rPr>
          <w:rFonts w:hint="eastAsia" w:eastAsia="方正小标宋_GBK"/>
          <w:sz w:val="44"/>
          <w:szCs w:val="44"/>
        </w:rPr>
        <w:t>人民政府</w:t>
      </w:r>
    </w:p>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rPr>
        <w:t>3</w:t>
      </w:r>
      <w:r>
        <w:rPr>
          <w:rFonts w:eastAsia="方正小标宋_GBK"/>
          <w:sz w:val="44"/>
          <w:szCs w:val="44"/>
        </w:rPr>
        <w:t>年部门预算编制说明</w:t>
      </w:r>
    </w:p>
    <w:p>
      <w:pPr>
        <w:pStyle w:val="2"/>
        <w:keepNext w:val="0"/>
        <w:keepLines w:val="0"/>
        <w:pageBreakBefore w:val="0"/>
        <w:kinsoku/>
        <w:wordWrap/>
        <w:overflowPunct/>
        <w:topLinePunct w:val="0"/>
        <w:autoSpaceDE/>
        <w:autoSpaceDN/>
        <w:bidi w:val="0"/>
        <w:adjustRightInd/>
        <w:snapToGrid/>
        <w:spacing w:beforeLines="0" w:line="576" w:lineRule="exact"/>
        <w:textAlignment w:val="auto"/>
      </w:pP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t>根据盐边县</w:t>
      </w:r>
      <w:r>
        <w:rPr>
          <w:rFonts w:hint="eastAsia"/>
          <w:lang w:eastAsia="zh-CN"/>
        </w:rPr>
        <w:t>共和乡</w:t>
      </w:r>
      <w:r>
        <w:t>第</w:t>
      </w:r>
      <w:r>
        <w:rPr>
          <w:rFonts w:hint="eastAsia"/>
        </w:rPr>
        <w:t>二十</w:t>
      </w:r>
      <w:r>
        <w:t>届人民代表大会第</w:t>
      </w:r>
      <w:r>
        <w:rPr>
          <w:rFonts w:hint="eastAsia"/>
          <w:lang w:val="en-US" w:eastAsia="zh-CN"/>
        </w:rPr>
        <w:t>四</w:t>
      </w:r>
      <w:r>
        <w:t>次会议批准的</w:t>
      </w:r>
      <w:r>
        <w:rPr>
          <w:rFonts w:hint="eastAsia"/>
        </w:rPr>
        <w:t>《关于</w:t>
      </w:r>
      <w:r>
        <w:rPr>
          <w:rFonts w:hint="eastAsia"/>
          <w:lang w:eastAsia="zh-CN"/>
        </w:rPr>
        <w:t>共和乡</w:t>
      </w:r>
      <w:r>
        <w:t>202</w:t>
      </w:r>
      <w:r>
        <w:rPr>
          <w:rFonts w:hint="eastAsia"/>
        </w:rPr>
        <w:t>3</w:t>
      </w:r>
      <w:r>
        <w:t>年财政预算</w:t>
      </w:r>
      <w:r>
        <w:rPr>
          <w:rFonts w:hint="eastAsia"/>
        </w:rPr>
        <w:t>草案的报告》</w:t>
      </w:r>
      <w:r>
        <w:t>，并对202</w:t>
      </w:r>
      <w:r>
        <w:rPr>
          <w:rFonts w:hint="eastAsia"/>
        </w:rPr>
        <w:t>3</w:t>
      </w:r>
      <w:r>
        <w:t>年部门预算公开作了明确要求。现按照《中华人民共和国预算法》和《中华人民共和国预算法实施条例》相关规定，现将我</w:t>
      </w:r>
      <w:r>
        <w:rPr>
          <w:rFonts w:hint="eastAsia"/>
          <w:lang w:eastAsia="zh-CN"/>
        </w:rPr>
        <w:t>乡</w:t>
      </w:r>
      <w:r>
        <w:t>202</w:t>
      </w:r>
      <w:r>
        <w:rPr>
          <w:rFonts w:hint="eastAsia"/>
        </w:rPr>
        <w:t>3</w:t>
      </w:r>
      <w:r>
        <w:t>年部门预算</w:t>
      </w:r>
      <w:r>
        <w:rPr>
          <w:rFonts w:hint="eastAsia"/>
        </w:rPr>
        <w:t>编制</w:t>
      </w:r>
      <w:r>
        <w:t>说明如下:</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eastAsia="黑体"/>
        </w:rPr>
      </w:pPr>
      <w:r>
        <w:rPr>
          <w:rFonts w:eastAsia="黑体"/>
        </w:rPr>
        <w:t>一、基本职能</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lang w:eastAsia="zh-CN"/>
        </w:rPr>
        <w:t>共和乡</w:t>
      </w:r>
      <w:r>
        <w:rPr>
          <w:rFonts w:hint="eastAsia"/>
        </w:rPr>
        <w:t>党政机构具有党委和政府两种职能，党委领导政府工作。主要是政治思想和方针政策的领导，干部的选拔，考核和监督，经济和行政工作中重大问题的决策。</w:t>
      </w:r>
      <w:r>
        <w:rPr>
          <w:rFonts w:hint="eastAsia"/>
          <w:lang w:eastAsia="zh-CN"/>
        </w:rPr>
        <w:t>乡</w:t>
      </w:r>
      <w:r>
        <w:rPr>
          <w:rFonts w:hint="eastAsia"/>
        </w:rPr>
        <w:t>政府是基层国家行政机关，行使本行政区的行政职能。</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576" w:lineRule="exact"/>
        <w:ind w:firstLine="663" w:firstLineChars="200"/>
        <w:textAlignment w:val="auto"/>
        <w:rPr>
          <w:rFonts w:eastAsia="方正楷体_GBK"/>
          <w:b/>
          <w:color w:val="000000"/>
          <w:sz w:val="33"/>
          <w:szCs w:val="33"/>
        </w:rPr>
      </w:pPr>
      <w:r>
        <w:rPr>
          <w:rFonts w:hint="eastAsia" w:eastAsia="方正楷体_GBK"/>
          <w:b/>
          <w:color w:val="000000"/>
          <w:sz w:val="33"/>
          <w:szCs w:val="33"/>
        </w:rPr>
        <w:t>党委工作职能。</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1. 贯彻执行党的路线、方针、政策和上级党组织及党员代表大会的决议、决定。</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2. 研究决定全乡经济建设和社会发展中带有全局性的重大问题。</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3. 负责抓好所属党组织的思想建设、组织建设、作风建设。负责全面从严治党、党风廉政建设和反腐败工作。</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4. 按照干部管理权限，负责对干部的教育、培养、选拔任免和监督工作，向上级党组织推荐干部。</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5.领导工会、共青团、妇联、科协等群团组织，协调党政之间的关系。</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6. 负责本行政区域的政治思想、宣传、统战、政法、 保密、武装、精神文明建设和民主法制建设等工作。</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7. 完成上级党组织交办的其他任务。</w:t>
      </w:r>
    </w:p>
    <w:p>
      <w:pPr>
        <w:keepNext w:val="0"/>
        <w:keepLines w:val="0"/>
        <w:pageBreakBefore w:val="0"/>
        <w:kinsoku/>
        <w:wordWrap/>
        <w:overflowPunct/>
        <w:topLinePunct w:val="0"/>
        <w:autoSpaceDE/>
        <w:autoSpaceDN/>
        <w:bidi w:val="0"/>
        <w:adjustRightInd/>
        <w:snapToGrid/>
        <w:spacing w:line="576" w:lineRule="exact"/>
        <w:ind w:firstLine="663" w:firstLineChars="200"/>
        <w:textAlignment w:val="auto"/>
        <w:rPr>
          <w:rFonts w:hint="eastAsia" w:eastAsia="方正楷体_GBK"/>
          <w:b/>
          <w:color w:val="000000"/>
          <w:sz w:val="33"/>
          <w:szCs w:val="33"/>
        </w:rPr>
      </w:pPr>
      <w:r>
        <w:rPr>
          <w:rFonts w:hint="eastAsia" w:eastAsia="方正楷体_GBK"/>
          <w:b/>
          <w:color w:val="000000"/>
          <w:sz w:val="33"/>
          <w:szCs w:val="33"/>
        </w:rPr>
        <w:t>（二）政府工作职能</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1. 贯彻执行党和国家的各项方针、政策、法律、法规，以及上级行政机关和本乡党委、乡人代会的决定、决议。</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2. 制定并执行本行政区域内经济和社会发展规划、计划。</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3. 负责乡村振兴、新农村建设和推进城乡一体化的组 织和实施。</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4. 负责辖区经济、文化、教育、科学、卫生健康、民政、社会保障、民族宗教、村镇建设、司法、退役军人、 扶贫、信访、安全、统计等行政管理和服务工作。</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5. 负责农业产业结构调整和“三农”服务工作。</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6. 建立健全社会治理防控体系，开展爱国卫生、环境卫生监督检查，承担环境、资源保护等工作，促进人与自 然和谐发展。</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7. 负责应急管理、安全生产、抢险救灾等工作，保护人民群众生命财产安全。</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8. 完成上级党委、政府交办的其他工作。</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ascii="方正仿宋_GBK" w:hAnsi="方正仿宋_GBK" w:eastAsia="方正仿宋_GBK" w:cs="方正仿宋_GBK"/>
          <w:sz w:val="33"/>
          <w:szCs w:val="33"/>
        </w:rPr>
      </w:pPr>
      <w:r>
        <w:rPr>
          <w:rFonts w:hint="eastAsia" w:eastAsia="黑体"/>
        </w:rPr>
        <w:t>二、盐边县</w:t>
      </w:r>
      <w:r>
        <w:rPr>
          <w:rFonts w:hint="eastAsia" w:eastAsia="黑体"/>
          <w:lang w:eastAsia="zh-CN"/>
        </w:rPr>
        <w:t>共和乡</w:t>
      </w:r>
      <w:r>
        <w:rPr>
          <w:rFonts w:hint="eastAsia" w:eastAsia="黑体"/>
        </w:rPr>
        <w:t>人民政府2023年重点工作。</w:t>
      </w:r>
    </w:p>
    <w:p>
      <w:pPr>
        <w:keepNext w:val="0"/>
        <w:keepLines w:val="0"/>
        <w:pageBreakBefore w:val="0"/>
        <w:numPr>
          <w:ilvl w:val="0"/>
          <w:numId w:val="0"/>
        </w:numPr>
        <w:kinsoku/>
        <w:wordWrap/>
        <w:overflowPunct/>
        <w:topLinePunct w:val="0"/>
        <w:autoSpaceDE/>
        <w:autoSpaceDN/>
        <w:bidi w:val="0"/>
        <w:adjustRightInd/>
        <w:snapToGrid/>
        <w:spacing w:line="576" w:lineRule="exact"/>
        <w:textAlignment w:val="auto"/>
        <w:rPr>
          <w:rFonts w:hint="eastAsia" w:ascii="方正楷体_GBK" w:hAnsi="方正楷体_GBK" w:eastAsia="方正楷体_GBK" w:cs="方正楷体_GBK"/>
          <w:b/>
          <w:bCs/>
          <w:sz w:val="33"/>
          <w:szCs w:val="33"/>
          <w:lang w:val="en-US" w:eastAsia="zh-CN"/>
        </w:rPr>
      </w:pPr>
      <w:r>
        <w:rPr>
          <w:rFonts w:hint="eastAsia" w:ascii="方正楷体_GBK" w:hAnsi="方正楷体_GBK" w:eastAsia="方正楷体_GBK" w:cs="方正楷体_GBK"/>
          <w:b/>
          <w:bCs/>
          <w:sz w:val="33"/>
          <w:szCs w:val="33"/>
          <w:lang w:val="en-US" w:eastAsia="zh-CN"/>
        </w:rPr>
        <w:t>（一）坚持产业富集拼经济，倾力推动经济社会高质量发展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lang w:val="en-US" w:eastAsia="zh-CN"/>
        </w:rPr>
        <w:t>着眼于现代林业产业连片发展，进一步探索完善“林上有果、林下有药”的复合式现代林业发展体系，</w:t>
      </w:r>
      <w:r>
        <w:rPr>
          <w:rFonts w:hint="eastAsia" w:ascii="仿宋_GB2312" w:hAnsi="仿宋_GB2312" w:eastAsia="仿宋_GB2312" w:cs="仿宋_GB2312"/>
          <w:b/>
          <w:bCs/>
          <w:color w:val="000000"/>
          <w:sz w:val="32"/>
          <w:szCs w:val="32"/>
          <w:lang w:val="en-US" w:eastAsia="zh-CN"/>
        </w:rPr>
        <w:t>强化富集高效、延链补链</w:t>
      </w:r>
      <w:r>
        <w:rPr>
          <w:rFonts w:hint="eastAsia" w:ascii="仿宋_GB2312" w:hAnsi="仿宋_GB2312" w:eastAsia="仿宋_GB2312" w:cs="仿宋_GB2312"/>
          <w:color w:val="000000"/>
          <w:sz w:val="32"/>
          <w:szCs w:val="32"/>
          <w:lang w:val="en-US" w:eastAsia="zh-CN"/>
        </w:rPr>
        <w:t>，抢抓中医药强县机遇，大力投入建设林下中草药种植产业园区，推动建立现代林业产业立体式发展体系，接续推动青花椒、核桃产业提质增效，探索建立青花椒烘烤、色选，核桃深加工等下游产业链，加快树立共和优质“盐边青花椒”品牌；着眼于市场导向，进一步探索规范市场销售模式，</w:t>
      </w:r>
      <w:r>
        <w:rPr>
          <w:rFonts w:hint="eastAsia" w:ascii="仿宋_GB2312" w:hAnsi="仿宋_GB2312" w:eastAsia="仿宋_GB2312" w:cs="仿宋_GB2312"/>
          <w:b/>
          <w:bCs/>
          <w:color w:val="000000"/>
          <w:sz w:val="32"/>
          <w:szCs w:val="32"/>
          <w:lang w:val="en-US" w:eastAsia="zh-CN"/>
        </w:rPr>
        <w:t>强化节会引导、创新开拓销售渠道，</w:t>
      </w:r>
      <w:r>
        <w:rPr>
          <w:rFonts w:hint="eastAsia" w:ascii="仿宋_GB2312" w:hAnsi="仿宋_GB2312" w:eastAsia="仿宋_GB2312" w:cs="仿宋_GB2312"/>
          <w:b w:val="0"/>
          <w:bCs w:val="0"/>
          <w:color w:val="000000"/>
          <w:sz w:val="32"/>
          <w:szCs w:val="32"/>
          <w:lang w:val="en-US" w:eastAsia="zh-CN"/>
        </w:rPr>
        <w:t>深入探索推进举办第二届青花椒丰收节、第一届中草药展销会，以节会引资本，拓宽对外销售渠道，探索更加科学、公平的市场产销供应模式；着眼于农业农村高质量发展，进一步丰富完善农业产业集群，</w:t>
      </w:r>
      <w:r>
        <w:rPr>
          <w:rFonts w:hint="eastAsia" w:ascii="仿宋_GB2312" w:hAnsi="仿宋_GB2312" w:eastAsia="仿宋_GB2312" w:cs="仿宋_GB2312"/>
          <w:b/>
          <w:bCs/>
          <w:color w:val="000000"/>
          <w:sz w:val="32"/>
          <w:szCs w:val="32"/>
          <w:lang w:val="en-US" w:eastAsia="zh-CN"/>
        </w:rPr>
        <w:t>积极推进示范引领及探索试点</w:t>
      </w:r>
      <w:r>
        <w:rPr>
          <w:rFonts w:hint="eastAsia" w:ascii="仿宋_GB2312" w:hAnsi="仿宋_GB2312" w:eastAsia="仿宋_GB2312" w:cs="仿宋_GB2312"/>
          <w:b w:val="0"/>
          <w:bCs w:val="0"/>
          <w:color w:val="000000"/>
          <w:sz w:val="32"/>
          <w:szCs w:val="32"/>
          <w:lang w:val="en-US" w:eastAsia="zh-CN"/>
        </w:rPr>
        <w:t>，以村集体经济组织发展壮大为契机，以“土专家”“农秀才”等先行致富带头人为排头兵，紧盯县委</w:t>
      </w:r>
      <w:r>
        <w:rPr>
          <w:rFonts w:hint="eastAsia" w:ascii="仿宋_GB2312" w:hAnsi="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lang w:val="en-US" w:eastAsia="zh-CN"/>
        </w:rPr>
        <w:t>县政府重要决策部署，大力推广林下种植珠芽金魔芋，探索推进试种高山蓝莓，启动规划种植高山大棚生态蔬菜试点等项目；着眼于“猪牛羊鱼”四字经，</w:t>
      </w:r>
      <w:r>
        <w:rPr>
          <w:rFonts w:hint="eastAsia" w:ascii="仿宋_GB2312" w:hAnsi="仿宋_GB2312" w:eastAsia="仿宋_GB2312" w:cs="仿宋_GB2312"/>
          <w:b/>
          <w:bCs/>
          <w:color w:val="000000"/>
          <w:sz w:val="32"/>
          <w:szCs w:val="32"/>
          <w:lang w:val="en-US" w:eastAsia="zh-CN"/>
        </w:rPr>
        <w:t>全面推进畜牧养殖业规模化集约化发展</w:t>
      </w:r>
      <w:r>
        <w:rPr>
          <w:rFonts w:hint="eastAsia" w:ascii="仿宋_GB2312" w:hAnsi="仿宋_GB2312" w:eastAsia="仿宋_GB2312" w:cs="仿宋_GB2312"/>
          <w:b w:val="0"/>
          <w:bCs w:val="0"/>
          <w:color w:val="000000"/>
          <w:sz w:val="32"/>
          <w:szCs w:val="32"/>
          <w:lang w:val="en-US" w:eastAsia="zh-CN"/>
        </w:rPr>
        <w:t>，</w:t>
      </w:r>
      <w:r>
        <w:rPr>
          <w:rFonts w:hint="eastAsia" w:ascii="仿宋_GB2312" w:hAnsi="仿宋_GB2312" w:eastAsia="仿宋_GB2312" w:cs="仿宋_GB2312"/>
          <w:color w:val="000000"/>
          <w:sz w:val="32"/>
          <w:szCs w:val="32"/>
          <w:lang w:val="en-US" w:eastAsia="zh-CN"/>
        </w:rPr>
        <w:t>持续扩大生猪科学化养殖规模，巩固提升优质“跑山羊”“跑山鸡”“林下鸭”养殖水平，大力扶持肉牛规模化、标准化养殖主体；着眼于</w:t>
      </w:r>
      <w:r>
        <w:rPr>
          <w:rFonts w:hint="eastAsia" w:ascii="仿宋_GB2312" w:hAnsi="仿宋_GB2312" w:eastAsia="仿宋_GB2312" w:cs="仿宋_GB2312"/>
          <w:b w:val="0"/>
          <w:bCs w:val="0"/>
          <w:color w:val="000000"/>
          <w:sz w:val="32"/>
          <w:szCs w:val="32"/>
          <w:lang w:val="en-US" w:eastAsia="zh-CN"/>
        </w:rPr>
        <w:t>绿色低碳示范、清洁能源产业发展</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b/>
          <w:bCs/>
          <w:color w:val="000000"/>
          <w:sz w:val="32"/>
          <w:szCs w:val="32"/>
          <w:lang w:val="en-US" w:eastAsia="zh-CN"/>
        </w:rPr>
        <w:t>因地制宜谋划村集体经济高质量发展</w:t>
      </w:r>
      <w:r>
        <w:rPr>
          <w:rFonts w:hint="eastAsia" w:ascii="仿宋_GB2312" w:hAnsi="仿宋_GB2312" w:eastAsia="仿宋_GB2312" w:cs="仿宋_GB2312"/>
          <w:color w:val="000000"/>
          <w:sz w:val="32"/>
          <w:szCs w:val="32"/>
          <w:lang w:val="en-US" w:eastAsia="zh-CN"/>
        </w:rPr>
        <w:t>，争取实施太田村集体经济屋顶分布式光伏发电站扩容增量，全力启动太坪村集体经济林下中草药种植示范基地建设，全面推动田坝村集体经济农副产品销售直营服务创收，纵深推进纳底河村集体经济青花椒色选销售延链补链，全力推进扎古村集体经济规模化养殖探索突破，深入打造林海村集体经济自驾游露营中转基地；着眼于服务年攻坚突破行动，全面谋划增强农文旅融合发展，</w:t>
      </w:r>
      <w:r>
        <w:rPr>
          <w:rFonts w:hint="eastAsia" w:ascii="仿宋_GB2312" w:hAnsi="仿宋_GB2312" w:eastAsia="仿宋_GB2312" w:cs="仿宋_GB2312"/>
          <w:b/>
          <w:bCs/>
          <w:color w:val="000000"/>
          <w:sz w:val="32"/>
          <w:szCs w:val="32"/>
          <w:lang w:val="en-US" w:eastAsia="zh-CN"/>
        </w:rPr>
        <w:t>做好生态资源禀赋文章、写好特色产业发展篇章</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b/>
          <w:bCs/>
          <w:color w:val="000000"/>
          <w:kern w:val="0"/>
          <w:sz w:val="32"/>
          <w:szCs w:val="32"/>
          <w:lang w:val="en-US" w:eastAsia="zh-CN"/>
        </w:rPr>
        <w:t>围绕</w:t>
      </w:r>
      <w:r>
        <w:rPr>
          <w:rFonts w:hint="eastAsia" w:ascii="仿宋_GB2312" w:hAnsi="仿宋_GB2312" w:eastAsia="仿宋_GB2312" w:cs="仿宋_GB2312"/>
          <w:color w:val="000000"/>
          <w:kern w:val="0"/>
          <w:sz w:val="32"/>
          <w:szCs w:val="32"/>
          <w:lang w:val="en-US" w:eastAsia="zh-CN"/>
        </w:rPr>
        <w:t>“二滩一湖水、北部一片山、盐边一桌菜”，持续深挖共和“风味餐”，深耕细作共和“云上山珍”主题宴，为“滋味盐边”增添共和滋味，</w:t>
      </w:r>
      <w:r>
        <w:rPr>
          <w:rFonts w:hint="eastAsia" w:ascii="仿宋_GB2312" w:hAnsi="仿宋_GB2312" w:eastAsia="仿宋_GB2312" w:cs="仿宋_GB2312"/>
          <w:b/>
          <w:bCs/>
          <w:color w:val="000000"/>
          <w:kern w:val="0"/>
          <w:sz w:val="32"/>
          <w:szCs w:val="32"/>
          <w:lang w:val="en-US" w:eastAsia="zh-CN"/>
        </w:rPr>
        <w:t>围绕</w:t>
      </w:r>
      <w:r>
        <w:rPr>
          <w:rFonts w:hint="eastAsia" w:ascii="仿宋_GB2312" w:hAnsi="仿宋_GB2312" w:eastAsia="仿宋_GB2312" w:cs="仿宋_GB2312"/>
          <w:color w:val="000000"/>
          <w:kern w:val="0"/>
          <w:sz w:val="32"/>
          <w:szCs w:val="32"/>
          <w:lang w:val="en-US" w:eastAsia="zh-CN"/>
        </w:rPr>
        <w:t>二滩湿地鸟类自然保护区和万亩母松林基地优势，发展特色乡村民宿，探索推出“一眼观四县、手可摘星辰”的母松林星空露营基地，</w:t>
      </w:r>
      <w:r>
        <w:rPr>
          <w:rFonts w:hint="eastAsia" w:ascii="仿宋_GB2312" w:hAnsi="仿宋_GB2312" w:eastAsia="仿宋_GB2312" w:cs="仿宋_GB2312"/>
          <w:b/>
          <w:bCs/>
          <w:color w:val="000000"/>
          <w:kern w:val="0"/>
          <w:sz w:val="32"/>
          <w:szCs w:val="32"/>
          <w:lang w:val="en-US" w:eastAsia="zh-CN"/>
        </w:rPr>
        <w:t>围绕</w:t>
      </w:r>
      <w:r>
        <w:rPr>
          <w:rFonts w:hint="eastAsia" w:ascii="仿宋_GB2312" w:hAnsi="仿宋_GB2312" w:eastAsia="仿宋_GB2312" w:cs="仿宋_GB2312"/>
          <w:b w:val="0"/>
          <w:bCs w:val="0"/>
          <w:color w:val="000000"/>
          <w:kern w:val="0"/>
          <w:sz w:val="32"/>
          <w:szCs w:val="32"/>
          <w:lang w:val="en-US" w:eastAsia="zh-CN"/>
        </w:rPr>
        <w:t>柏林山生态经济发展片区定位，立足</w:t>
      </w:r>
      <w:r>
        <w:rPr>
          <w:rFonts w:hint="eastAsia" w:ascii="仿宋_GB2312" w:hAnsi="仿宋_GB2312" w:eastAsia="仿宋_GB2312" w:cs="仿宋_GB2312"/>
          <w:color w:val="000000"/>
          <w:kern w:val="0"/>
          <w:sz w:val="32"/>
          <w:szCs w:val="32"/>
          <w:lang w:val="en-US" w:eastAsia="zh-CN"/>
        </w:rPr>
        <w:t>绿色产业基础优势，聚焦“三品一标”攻坚行动，包装创建集特色山珍、风味腊肉、盐边青花椒、共和山核桃为一体的共和特色农副产品品牌，让“云上共和、纳凉小镇”实至名归，让游客兴致而至、满载而归。</w:t>
      </w:r>
    </w:p>
    <w:p>
      <w:pPr>
        <w:keepNext w:val="0"/>
        <w:keepLines w:val="0"/>
        <w:pageBreakBefore w:val="0"/>
        <w:numPr>
          <w:ilvl w:val="0"/>
          <w:numId w:val="0"/>
        </w:numPr>
        <w:kinsoku/>
        <w:wordWrap/>
        <w:overflowPunct/>
        <w:topLinePunct w:val="0"/>
        <w:autoSpaceDE/>
        <w:autoSpaceDN/>
        <w:bidi w:val="0"/>
        <w:adjustRightInd/>
        <w:snapToGrid/>
        <w:spacing w:line="576" w:lineRule="exact"/>
        <w:textAlignment w:val="auto"/>
        <w:rPr>
          <w:rFonts w:hint="eastAsia" w:ascii="方正楷体_GBK" w:hAnsi="方正楷体_GBK" w:eastAsia="方正楷体_GBK" w:cs="方正楷体_GBK"/>
          <w:b/>
          <w:bCs/>
          <w:sz w:val="33"/>
          <w:szCs w:val="33"/>
          <w:lang w:val="en-US" w:eastAsia="zh-CN"/>
        </w:rPr>
      </w:pPr>
      <w:r>
        <w:rPr>
          <w:rFonts w:hint="eastAsia" w:ascii="方正楷体_GBK" w:hAnsi="方正楷体_GBK" w:eastAsia="方正楷体_GBK" w:cs="方正楷体_GBK"/>
          <w:b/>
          <w:bCs/>
          <w:sz w:val="33"/>
          <w:szCs w:val="33"/>
          <w:lang w:val="en-US" w:eastAsia="zh-CN"/>
        </w:rPr>
        <w:t>（二）坚持短板补差搞建设，倾力推动基础设施提档升级</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围绕构建县域“369”交通圈，按照“升级两条路、建好一座桥、先期建轮渡”的工作总思路，</w:t>
      </w:r>
      <w:r>
        <w:rPr>
          <w:rFonts w:hint="eastAsia" w:ascii="仿宋_GB2312" w:hAnsi="仿宋_GB2312" w:eastAsia="仿宋_GB2312" w:cs="仿宋_GB2312"/>
          <w:b/>
          <w:bCs/>
          <w:color w:val="000000"/>
          <w:sz w:val="32"/>
          <w:szCs w:val="32"/>
          <w:lang w:val="en-US" w:eastAsia="zh-CN"/>
        </w:rPr>
        <w:t>以共和码头为核心节点，</w:t>
      </w:r>
      <w:r>
        <w:rPr>
          <w:rFonts w:hint="eastAsia" w:ascii="仿宋_GB2312" w:hAnsi="仿宋_GB2312" w:eastAsia="仿宋_GB2312" w:cs="仿宋_GB2312"/>
          <w:color w:val="000000"/>
          <w:kern w:val="0"/>
          <w:sz w:val="32"/>
          <w:szCs w:val="32"/>
          <w:lang w:val="en-US" w:eastAsia="zh-CN"/>
        </w:rPr>
        <w:t>全面推动共和码头升级改造实施见效，力争轮渡复航年底投入使用，加快启动共和码头至山王庙道路改造升级项目建设；</w:t>
      </w:r>
      <w:r>
        <w:rPr>
          <w:rFonts w:hint="eastAsia" w:ascii="仿宋_GB2312" w:hAnsi="仿宋_GB2312" w:eastAsia="仿宋_GB2312" w:cs="仿宋_GB2312"/>
          <w:b/>
          <w:bCs/>
          <w:color w:val="000000"/>
          <w:sz w:val="32"/>
          <w:szCs w:val="32"/>
          <w:lang w:val="en-US" w:eastAsia="zh-CN"/>
        </w:rPr>
        <w:t>以辖区交通完善为阶段目标，</w:t>
      </w:r>
      <w:r>
        <w:rPr>
          <w:rFonts w:hint="eastAsia" w:ascii="仿宋_GB2312" w:hAnsi="仿宋_GB2312" w:eastAsia="仿宋_GB2312" w:cs="仿宋_GB2312"/>
          <w:color w:val="000000"/>
          <w:sz w:val="32"/>
          <w:szCs w:val="32"/>
          <w:lang w:val="en-US" w:eastAsia="zh-CN"/>
        </w:rPr>
        <w:t>高质量推进柏观路维修维护项目，全力实施共红路改造升级，加快完成迷塘至太田村部、太田村部至太坪村部道路扩建硬化工程，争取完成太坪村部至三王庙段道路改扩建项目设计入库；</w:t>
      </w:r>
      <w:r>
        <w:rPr>
          <w:rFonts w:hint="eastAsia" w:ascii="仿宋_GB2312" w:hAnsi="仿宋_GB2312" w:eastAsia="仿宋_GB2312" w:cs="仿宋_GB2312"/>
          <w:b/>
          <w:bCs/>
          <w:color w:val="000000"/>
          <w:sz w:val="32"/>
          <w:szCs w:val="32"/>
          <w:lang w:val="en-US" w:eastAsia="zh-CN"/>
        </w:rPr>
        <w:t>以高标准农田建设为发展机遇</w:t>
      </w:r>
      <w:r>
        <w:rPr>
          <w:rFonts w:hint="eastAsia" w:ascii="仿宋_GB2312" w:hAnsi="仿宋_GB2312" w:eastAsia="仿宋_GB2312" w:cs="仿宋_GB2312"/>
          <w:color w:val="000000"/>
          <w:sz w:val="32"/>
          <w:szCs w:val="32"/>
          <w:lang w:val="en-US" w:eastAsia="zh-CN"/>
        </w:rPr>
        <w:t>，积极争取谋划完善农田水利基础设施整体提升，探索红旗大堰综合整治模式，完善水库、水利设施管养责任机制；</w:t>
      </w:r>
      <w:r>
        <w:rPr>
          <w:rFonts w:hint="eastAsia" w:ascii="仿宋_GB2312" w:hAnsi="仿宋_GB2312" w:eastAsia="仿宋_GB2312" w:cs="仿宋_GB2312"/>
          <w:b/>
          <w:bCs/>
          <w:color w:val="000000"/>
          <w:sz w:val="32"/>
          <w:szCs w:val="32"/>
          <w:lang w:val="en-US" w:eastAsia="zh-CN"/>
        </w:rPr>
        <w:t>以白草坪村中心示范村建设为契机</w:t>
      </w:r>
      <w:r>
        <w:rPr>
          <w:rFonts w:hint="eastAsia" w:ascii="仿宋_GB2312" w:hAnsi="仿宋_GB2312" w:eastAsia="仿宋_GB2312" w:cs="仿宋_GB2312"/>
          <w:color w:val="000000"/>
          <w:sz w:val="32"/>
          <w:szCs w:val="32"/>
          <w:lang w:val="en-US" w:eastAsia="zh-CN"/>
        </w:rPr>
        <w:t>，集中精力完成集镇改造提升亮化工程，加快推进共和加油站项目落地实施，</w:t>
      </w:r>
      <w:r>
        <w:rPr>
          <w:rFonts w:hint="eastAsia" w:ascii="仿宋_GB2312" w:hAnsi="仿宋_GB2312" w:eastAsia="仿宋_GB2312" w:cs="仿宋_GB2312"/>
          <w:color w:val="000000"/>
          <w:kern w:val="2"/>
          <w:sz w:val="32"/>
          <w:szCs w:val="32"/>
          <w:vertAlign w:val="baseline"/>
          <w:lang w:val="en-US" w:eastAsia="zh-CN"/>
        </w:rPr>
        <w:t>系统推进人居环境综合整治，</w:t>
      </w:r>
      <w:r>
        <w:rPr>
          <w:rFonts w:hint="eastAsia" w:ascii="仿宋_GB2312" w:hAnsi="仿宋_GB2312" w:eastAsia="仿宋_GB2312" w:cs="仿宋_GB2312"/>
          <w:color w:val="000000"/>
          <w:sz w:val="32"/>
          <w:szCs w:val="32"/>
          <w:lang w:val="en-US" w:eastAsia="zh-CN"/>
        </w:rPr>
        <w:t>全面丰富完善体育、休闲、公共文化服务等基础设施，提升群众获得感、幸福感。</w:t>
      </w:r>
    </w:p>
    <w:p>
      <w:pPr>
        <w:keepNext w:val="0"/>
        <w:keepLines w:val="0"/>
        <w:pageBreakBefore w:val="0"/>
        <w:numPr>
          <w:ilvl w:val="0"/>
          <w:numId w:val="0"/>
        </w:numPr>
        <w:kinsoku/>
        <w:wordWrap/>
        <w:overflowPunct/>
        <w:topLinePunct w:val="0"/>
        <w:autoSpaceDE/>
        <w:autoSpaceDN/>
        <w:bidi w:val="0"/>
        <w:adjustRightInd/>
        <w:snapToGrid/>
        <w:spacing w:line="576" w:lineRule="exact"/>
        <w:textAlignment w:val="auto"/>
        <w:rPr>
          <w:rFonts w:hint="eastAsia" w:ascii="方正楷体_GBK" w:hAnsi="方正楷体_GBK" w:eastAsia="方正楷体_GBK" w:cs="方正楷体_GBK"/>
          <w:b/>
          <w:bCs/>
          <w:sz w:val="33"/>
          <w:szCs w:val="33"/>
          <w:lang w:val="en-US" w:eastAsia="zh-CN"/>
        </w:rPr>
      </w:pPr>
      <w:r>
        <w:rPr>
          <w:rFonts w:hint="eastAsia" w:ascii="方正楷体_GBK" w:hAnsi="方正楷体_GBK" w:eastAsia="方正楷体_GBK" w:cs="方正楷体_GBK"/>
          <w:b/>
          <w:bCs/>
          <w:sz w:val="33"/>
          <w:szCs w:val="33"/>
          <w:lang w:val="en-US" w:eastAsia="zh-CN"/>
        </w:rPr>
        <w:t>（三）坚持共同富裕惠民生，倾力推动补齐民生事业短板</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方正黑体_GBK" w:hAnsi="方正黑体_GBK" w:eastAsia="方正黑体_GBK" w:cs="方正黑体_GBK"/>
          <w:b/>
          <w:bCs/>
          <w:sz w:val="33"/>
          <w:szCs w:val="33"/>
          <w:lang w:val="en-US" w:eastAsia="zh-CN"/>
        </w:rPr>
      </w:pPr>
      <w:r>
        <w:rPr>
          <w:rFonts w:hint="eastAsia" w:ascii="仿宋_GB2312" w:hAnsi="仿宋_GB2312" w:eastAsia="仿宋_GB2312" w:cs="仿宋_GB2312"/>
          <w:color w:val="000000"/>
          <w:sz w:val="32"/>
          <w:szCs w:val="32"/>
          <w:lang w:val="en-US" w:eastAsia="zh-CN"/>
        </w:rPr>
        <w:t>坚持“以人民为中心”的发展理念，抢抓攀枝花建设共同富裕试验区机遇，全面聚焦民生短板弱项补差，做大经济总量、做细收入分配、缩小贫富差距。</w:t>
      </w:r>
      <w:r>
        <w:rPr>
          <w:rFonts w:hint="eastAsia" w:ascii="仿宋_GB2312" w:hAnsi="仿宋_GB2312" w:eastAsia="仿宋_GB2312" w:cs="仿宋_GB2312"/>
          <w:b/>
          <w:bCs/>
          <w:color w:val="000000"/>
          <w:sz w:val="32"/>
          <w:szCs w:val="32"/>
          <w:lang w:val="en-US" w:eastAsia="zh-CN"/>
        </w:rPr>
        <w:t>扎实推动巩固</w:t>
      </w:r>
      <w:r>
        <w:rPr>
          <w:rFonts w:hint="eastAsia" w:ascii="仿宋_GB2312" w:hAnsi="仿宋_GB2312" w:cs="仿宋_GB2312"/>
          <w:b/>
          <w:bCs/>
          <w:color w:val="000000"/>
          <w:sz w:val="32"/>
          <w:szCs w:val="32"/>
          <w:lang w:val="en-US" w:eastAsia="zh-CN"/>
        </w:rPr>
        <w:t>拓展</w:t>
      </w:r>
      <w:r>
        <w:rPr>
          <w:rFonts w:hint="eastAsia" w:ascii="仿宋_GB2312" w:hAnsi="仿宋_GB2312" w:eastAsia="仿宋_GB2312" w:cs="仿宋_GB2312"/>
          <w:b/>
          <w:bCs/>
          <w:color w:val="000000"/>
          <w:sz w:val="32"/>
          <w:szCs w:val="32"/>
          <w:lang w:val="en-US" w:eastAsia="zh-CN"/>
        </w:rPr>
        <w:t>脱贫攻坚成果同乡村振兴有效衔接，</w:t>
      </w:r>
      <w:r>
        <w:rPr>
          <w:rFonts w:hint="eastAsia" w:ascii="仿宋_GB2312" w:hAnsi="仿宋_GB2312" w:eastAsia="仿宋_GB2312" w:cs="仿宋_GB2312"/>
          <w:b w:val="0"/>
          <w:bCs w:val="0"/>
          <w:color w:val="000000"/>
          <w:sz w:val="32"/>
          <w:szCs w:val="32"/>
          <w:lang w:val="en-US" w:eastAsia="zh-CN"/>
        </w:rPr>
        <w:t>持续开展防返贫动态监测帮扶，精准识别、精准帮扶，</w:t>
      </w:r>
      <w:r>
        <w:rPr>
          <w:rFonts w:hint="eastAsia" w:ascii="仿宋_GB2312" w:hAnsi="仿宋_GB2312" w:eastAsia="仿宋_GB2312" w:cs="仿宋_GB2312"/>
          <w:b w:val="0"/>
          <w:bCs w:val="0"/>
          <w:color w:val="000000"/>
          <w:kern w:val="2"/>
          <w:sz w:val="32"/>
          <w:szCs w:val="32"/>
          <w:vertAlign w:val="baseline"/>
          <w:lang w:val="en-US" w:eastAsia="zh-CN"/>
        </w:rPr>
        <w:t>强化困难人员就业托底安置，</w:t>
      </w:r>
      <w:r>
        <w:rPr>
          <w:rFonts w:hint="eastAsia" w:ascii="仿宋_GB2312" w:hAnsi="仿宋_GB2312" w:eastAsia="仿宋_GB2312" w:cs="仿宋_GB2312"/>
          <w:b w:val="0"/>
          <w:bCs w:val="0"/>
          <w:color w:val="000000"/>
          <w:sz w:val="32"/>
          <w:szCs w:val="32"/>
          <w:lang w:val="en-US" w:eastAsia="zh-CN"/>
        </w:rPr>
        <w:t>坚决守住不发生规模性返贫底线；</w:t>
      </w:r>
      <w:r>
        <w:rPr>
          <w:rFonts w:hint="eastAsia" w:ascii="仿宋_GB2312" w:hAnsi="仿宋_GB2312" w:eastAsia="仿宋_GB2312" w:cs="仿宋_GB2312"/>
          <w:b/>
          <w:bCs/>
          <w:color w:val="000000"/>
          <w:sz w:val="32"/>
          <w:szCs w:val="32"/>
          <w:lang w:val="en-US" w:eastAsia="zh-CN"/>
        </w:rPr>
        <w:t>全面推动兜底保障更加精准普惠，</w:t>
      </w:r>
      <w:r>
        <w:rPr>
          <w:rFonts w:hint="eastAsia" w:ascii="仿宋_GB2312" w:hAnsi="仿宋_GB2312" w:eastAsia="仿宋_GB2312" w:cs="仿宋_GB2312"/>
          <w:b w:val="0"/>
          <w:bCs w:val="0"/>
          <w:color w:val="000000"/>
          <w:sz w:val="32"/>
          <w:szCs w:val="32"/>
          <w:lang w:val="en-US" w:eastAsia="zh-CN"/>
        </w:rPr>
        <w:t>开展农村最低生活保障动态化核查全覆盖，完善应急保障机制，</w:t>
      </w:r>
      <w:r>
        <w:rPr>
          <w:rFonts w:hint="eastAsia" w:ascii="仿宋_GB2312" w:hAnsi="仿宋_GB2312" w:eastAsia="仿宋_GB2312" w:cs="仿宋_GB2312"/>
          <w:b w:val="0"/>
          <w:bCs w:val="0"/>
          <w:color w:val="000000"/>
          <w:kern w:val="2"/>
          <w:sz w:val="32"/>
          <w:szCs w:val="32"/>
          <w:vertAlign w:val="baseline"/>
          <w:lang w:val="en-US" w:eastAsia="zh-CN"/>
        </w:rPr>
        <w:t>重点关注困难群体，开展“精准帮扶、及时救助、温情照护”行动，坚决兜住困难群众基本生活保障底线；</w:t>
      </w:r>
      <w:r>
        <w:rPr>
          <w:rFonts w:hint="eastAsia" w:ascii="仿宋_GB2312" w:hAnsi="仿宋_GB2312" w:eastAsia="仿宋_GB2312" w:cs="仿宋_GB2312"/>
          <w:b/>
          <w:bCs/>
          <w:color w:val="000000"/>
          <w:kern w:val="2"/>
          <w:sz w:val="32"/>
          <w:szCs w:val="32"/>
          <w:vertAlign w:val="baseline"/>
          <w:lang w:val="en-US" w:eastAsia="zh-CN"/>
        </w:rPr>
        <w:t>全力推进提振教育信心，</w:t>
      </w:r>
      <w:r>
        <w:rPr>
          <w:rFonts w:hint="eastAsia" w:ascii="仿宋_GB2312" w:hAnsi="仿宋_GB2312" w:eastAsia="仿宋_GB2312" w:cs="仿宋_GB2312"/>
          <w:color w:val="000000"/>
          <w:kern w:val="2"/>
          <w:sz w:val="32"/>
          <w:szCs w:val="32"/>
          <w:vertAlign w:val="baseline"/>
          <w:lang w:val="en-US" w:eastAsia="zh-CN"/>
        </w:rPr>
        <w:t>多举措争取引进留住一批优秀教师，加强对教师队伍的关心关爱，强化教师待遇保障，全面提升教育质量；</w:t>
      </w:r>
      <w:r>
        <w:rPr>
          <w:rFonts w:hint="eastAsia" w:ascii="仿宋_GB2312" w:hAnsi="仿宋_GB2312" w:eastAsia="仿宋_GB2312" w:cs="仿宋_GB2312"/>
          <w:b/>
          <w:bCs/>
          <w:color w:val="000000"/>
          <w:kern w:val="2"/>
          <w:sz w:val="32"/>
          <w:szCs w:val="32"/>
          <w:vertAlign w:val="baseline"/>
          <w:lang w:val="en-US" w:eastAsia="zh-CN"/>
        </w:rPr>
        <w:t>系统提升基层医疗保障能力</w:t>
      </w:r>
      <w:r>
        <w:rPr>
          <w:rFonts w:hint="eastAsia" w:ascii="仿宋_GB2312" w:hAnsi="仿宋_GB2312" w:eastAsia="仿宋_GB2312" w:cs="仿宋_GB2312"/>
          <w:color w:val="000000"/>
          <w:kern w:val="2"/>
          <w:sz w:val="32"/>
          <w:szCs w:val="32"/>
          <w:vertAlign w:val="baseline"/>
          <w:lang w:val="en-US" w:eastAsia="zh-CN"/>
        </w:rPr>
        <w:t>，探索完善基层</w:t>
      </w:r>
      <w:r>
        <w:rPr>
          <w:rFonts w:hint="eastAsia" w:ascii="仿宋_GB2312" w:hAnsi="仿宋_GB2312" w:eastAsia="仿宋_GB2312" w:cs="仿宋_GB2312"/>
          <w:color w:val="000000"/>
          <w:kern w:val="2"/>
          <w:sz w:val="32"/>
          <w:szCs w:val="32"/>
          <w:highlight w:val="none"/>
          <w:vertAlign w:val="baseline"/>
          <w:lang w:val="en-US" w:eastAsia="zh-CN"/>
        </w:rPr>
        <w:t>医疗服务体系，推进医保支付乡村全覆盖探索试点，系统提升卫生院中医诊疗服务能力，持续开展中医义诊服务，全面提升乡村医疗服务水平；</w:t>
      </w:r>
      <w:r>
        <w:rPr>
          <w:rFonts w:hint="eastAsia" w:ascii="仿宋_GB2312" w:hAnsi="仿宋_GB2312" w:eastAsia="仿宋_GB2312" w:cs="仿宋_GB2312"/>
          <w:b/>
          <w:bCs/>
          <w:color w:val="000000"/>
          <w:kern w:val="2"/>
          <w:sz w:val="32"/>
          <w:szCs w:val="32"/>
          <w:highlight w:val="none"/>
          <w:vertAlign w:val="baseline"/>
          <w:lang w:val="en-US" w:eastAsia="zh-CN"/>
        </w:rPr>
        <w:t>持续强化提升公共服务能力，</w:t>
      </w:r>
      <w:r>
        <w:rPr>
          <w:rFonts w:hint="eastAsia" w:ascii="仿宋_GB2312" w:hAnsi="仿宋_GB2312" w:eastAsia="仿宋_GB2312" w:cs="仿宋_GB2312"/>
          <w:b w:val="0"/>
          <w:bCs w:val="0"/>
          <w:color w:val="000000"/>
          <w:kern w:val="0"/>
          <w:sz w:val="32"/>
          <w:szCs w:val="32"/>
          <w:lang w:val="en-US" w:eastAsia="zh-CN"/>
        </w:rPr>
        <w:t>聚焦“一老一小”服务保障，积极探索农村养老服务新模式，系统开展65岁及以上老年人免费体检，全面落实育儿补贴政策，健全村级“儿童之家”服务管理机构，全面落实关心下一代责任机制，</w:t>
      </w:r>
      <w:r>
        <w:rPr>
          <w:rFonts w:hint="eastAsia" w:ascii="仿宋_GB2312" w:hAnsi="仿宋_GB2312" w:eastAsia="仿宋_GB2312" w:cs="仿宋_GB2312"/>
          <w:color w:val="000000"/>
          <w:kern w:val="0"/>
          <w:sz w:val="32"/>
          <w:szCs w:val="32"/>
          <w:lang w:val="en-US" w:eastAsia="zh-CN"/>
        </w:rPr>
        <w:t>常态化开展群众性体育文化活动，筹划举办共和乡第二届农民运动会、共和乡第二届农民艺术节，引进快递综合服务平台打通交通物流运输服务痛点难点，协助建立二滩快艇公交化模式运营机制，探索完善道路管养机制，全力推进县乡村社道路管养试点，完善落实“金通工程”服务运行模式，努力探索“交商邮”融合发展模式。</w:t>
      </w:r>
    </w:p>
    <w:p>
      <w:pPr>
        <w:keepNext w:val="0"/>
        <w:keepLines w:val="0"/>
        <w:pageBreakBefore w:val="0"/>
        <w:numPr>
          <w:ilvl w:val="0"/>
          <w:numId w:val="0"/>
        </w:numPr>
        <w:kinsoku/>
        <w:wordWrap/>
        <w:overflowPunct/>
        <w:topLinePunct w:val="0"/>
        <w:autoSpaceDE/>
        <w:autoSpaceDN/>
        <w:bidi w:val="0"/>
        <w:adjustRightInd/>
        <w:snapToGrid/>
        <w:spacing w:line="576" w:lineRule="exact"/>
        <w:textAlignment w:val="auto"/>
        <w:rPr>
          <w:rFonts w:hint="eastAsia" w:ascii="方正楷体_GBK" w:hAnsi="方正楷体_GBK" w:eastAsia="方正楷体_GBK" w:cs="方正楷体_GBK"/>
          <w:b/>
          <w:bCs/>
          <w:sz w:val="33"/>
          <w:szCs w:val="33"/>
          <w:lang w:val="en-US" w:eastAsia="zh-CN"/>
        </w:rPr>
      </w:pPr>
      <w:r>
        <w:rPr>
          <w:rFonts w:hint="eastAsia" w:ascii="方正楷体_GBK" w:hAnsi="方正楷体_GBK" w:eastAsia="方正楷体_GBK" w:cs="方正楷体_GBK"/>
          <w:b/>
          <w:bCs/>
          <w:sz w:val="33"/>
          <w:szCs w:val="33"/>
          <w:lang w:val="en-US" w:eastAsia="zh-CN"/>
        </w:rPr>
        <w:t>（四）坚持极限思维固底线，倾力推动守土有责、守土负责</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坚持人民至上、生命至上，坚持发展要安全的总体要求。</w:t>
      </w:r>
      <w:r>
        <w:rPr>
          <w:rFonts w:hint="eastAsia" w:ascii="仿宋_GB2312" w:hAnsi="仿宋_GB2312" w:eastAsia="仿宋_GB2312" w:cs="仿宋_GB2312"/>
          <w:b/>
          <w:bCs/>
          <w:color w:val="000000"/>
          <w:sz w:val="32"/>
          <w:szCs w:val="32"/>
          <w:lang w:val="en-US" w:eastAsia="zh-CN"/>
        </w:rPr>
        <w:t>整体推进安全责任落实</w:t>
      </w:r>
      <w:r>
        <w:rPr>
          <w:rFonts w:hint="eastAsia" w:ascii="仿宋_GB2312" w:hAnsi="仿宋_GB2312" w:eastAsia="仿宋_GB2312" w:cs="仿宋_GB2312"/>
          <w:color w:val="000000"/>
          <w:sz w:val="32"/>
          <w:szCs w:val="32"/>
          <w:lang w:val="en-US" w:eastAsia="zh-CN"/>
        </w:rPr>
        <w:t>，常</w:t>
      </w:r>
      <w:r>
        <w:rPr>
          <w:rFonts w:hint="eastAsia" w:ascii="仿宋_GB2312" w:hAnsi="仿宋_GB2312" w:eastAsia="仿宋_GB2312" w:cs="仿宋_GB2312"/>
          <w:color w:val="000000"/>
          <w:kern w:val="0"/>
          <w:sz w:val="32"/>
          <w:szCs w:val="32"/>
          <w:lang w:val="en-US" w:eastAsia="zh-CN"/>
        </w:rPr>
        <w:t>态化开展重点行业安全隐患排查整治，找准全乡安全隐患点、危险源，坚持清单化管理，实行动态化</w:t>
      </w:r>
      <w:r>
        <w:rPr>
          <w:rFonts w:hint="eastAsia" w:ascii="仿宋_GB2312" w:hAnsi="仿宋_GB2312" w:eastAsia="仿宋_GB2312" w:cs="仿宋_GB2312"/>
          <w:color w:val="000000"/>
          <w:sz w:val="32"/>
          <w:szCs w:val="32"/>
          <w:lang w:val="en-US" w:eastAsia="zh-CN"/>
        </w:rPr>
        <w:t>清零。</w:t>
      </w:r>
      <w:r>
        <w:rPr>
          <w:rFonts w:hint="eastAsia" w:ascii="仿宋_GB2312" w:hAnsi="仿宋_GB2312" w:eastAsia="仿宋_GB2312" w:cs="仿宋_GB2312"/>
          <w:b/>
          <w:bCs/>
          <w:color w:val="000000"/>
          <w:sz w:val="32"/>
          <w:szCs w:val="32"/>
          <w:lang w:val="en-US" w:eastAsia="zh-CN"/>
        </w:rPr>
        <w:t>严格执行管行业必须管安全要求</w:t>
      </w:r>
      <w:r>
        <w:rPr>
          <w:rFonts w:hint="eastAsia" w:ascii="仿宋_GB2312" w:hAnsi="仿宋_GB2312" w:eastAsia="仿宋_GB2312" w:cs="仿宋_GB2312"/>
          <w:color w:val="000000"/>
          <w:sz w:val="32"/>
          <w:szCs w:val="32"/>
          <w:lang w:val="en-US" w:eastAsia="zh-CN"/>
        </w:rPr>
        <w:t>，扎实落实各行各业安全生产责任，系统全覆盖推进经营性自建房安全鉴定；全面推进燃气安全排查整治，完善规范全乡燃气运输、储存、营销、使用机制；常态化开展道路交通安全劝导，明确完善交通劝导员责任职责，结合“畅通盐边 道交平安”综合治理专项行动，全力以赴消除道路安全隐患，系统性开展道路交通违法集中整治，加大对全乡群众和乘船人员的安全教育宣传，不定期对涉客船舶进行全覆盖安全检查，确保船舶适航、船员适任，全力预防水上交通事故的发生。</w:t>
      </w:r>
      <w:r>
        <w:rPr>
          <w:rFonts w:hint="eastAsia" w:ascii="仿宋_GB2312" w:hAnsi="仿宋_GB2312" w:eastAsia="仿宋_GB2312" w:cs="仿宋_GB2312"/>
          <w:b/>
          <w:bCs/>
          <w:color w:val="000000"/>
          <w:sz w:val="32"/>
          <w:szCs w:val="32"/>
          <w:lang w:val="en-US" w:eastAsia="zh-CN"/>
        </w:rPr>
        <w:t>重点推进做好底线工作</w:t>
      </w:r>
      <w:r>
        <w:rPr>
          <w:rFonts w:hint="eastAsia" w:ascii="仿宋_GB2312" w:hAnsi="仿宋_GB2312" w:eastAsia="仿宋_GB2312" w:cs="仿宋_GB2312"/>
          <w:color w:val="000000"/>
          <w:sz w:val="32"/>
          <w:szCs w:val="32"/>
          <w:lang w:val="en-US" w:eastAsia="zh-CN"/>
        </w:rPr>
        <w:t>，常态化</w:t>
      </w:r>
      <w:r>
        <w:rPr>
          <w:rFonts w:hint="eastAsia" w:ascii="仿宋_GB2312" w:hAnsi="仿宋_GB2312" w:eastAsia="仿宋_GB2312" w:cs="仿宋_GB2312"/>
          <w:color w:val="000000"/>
          <w:kern w:val="0"/>
          <w:sz w:val="32"/>
          <w:szCs w:val="32"/>
          <w:lang w:val="en-US" w:eastAsia="zh-CN"/>
        </w:rPr>
        <w:t>开展好防灾减灾救灾、地质灾害防治、森林草原防灭火、重大畜牧动物疫情防控等重点工作，守护人民群众生命财产安全。</w:t>
      </w:r>
      <w:r>
        <w:rPr>
          <w:rFonts w:hint="eastAsia" w:ascii="仿宋_GB2312" w:hAnsi="仿宋_GB2312" w:eastAsia="仿宋_GB2312" w:cs="仿宋_GB2312"/>
          <w:b/>
          <w:bCs/>
          <w:color w:val="000000"/>
          <w:sz w:val="32"/>
          <w:szCs w:val="32"/>
          <w:lang w:val="en-US" w:eastAsia="zh-CN"/>
        </w:rPr>
        <w:t>全面守牢耕地、生态两条红线，</w:t>
      </w:r>
      <w:r>
        <w:rPr>
          <w:rFonts w:hint="eastAsia" w:ascii="仿宋_GB2312" w:hAnsi="仿宋_GB2312" w:eastAsia="仿宋_GB2312" w:cs="仿宋_GB2312"/>
          <w:color w:val="000000"/>
          <w:sz w:val="32"/>
          <w:szCs w:val="32"/>
          <w:lang w:val="en-US" w:eastAsia="zh-CN"/>
        </w:rPr>
        <w:t>落实最严格耕地保护机制，系统完善全乡宅基地审批程序，强化督导检查，坚决杜绝乱占耕地建房问题；坚决扛起保护生态环境、筑牢长江上游生态安全屏障的政治责任，坚持从源头重视、案件打击、宣传教育入手，严守生态保护红线，积极探索发展与政策适配、环境友好的主流产业，推动形成人与自然和谐共生的绿色发展新格局。</w:t>
      </w:r>
    </w:p>
    <w:p>
      <w:pPr>
        <w:keepNext w:val="0"/>
        <w:keepLines w:val="0"/>
        <w:pageBreakBefore w:val="0"/>
        <w:numPr>
          <w:ilvl w:val="0"/>
          <w:numId w:val="0"/>
        </w:numPr>
        <w:kinsoku/>
        <w:wordWrap/>
        <w:overflowPunct/>
        <w:topLinePunct w:val="0"/>
        <w:autoSpaceDE/>
        <w:autoSpaceDN/>
        <w:bidi w:val="0"/>
        <w:adjustRightInd/>
        <w:snapToGrid/>
        <w:spacing w:line="576" w:lineRule="exact"/>
        <w:textAlignment w:val="auto"/>
        <w:rPr>
          <w:rFonts w:hint="eastAsia" w:ascii="方正楷体_GBK" w:hAnsi="方正楷体_GBK" w:eastAsia="方正楷体_GBK" w:cs="方正楷体_GBK"/>
          <w:b/>
          <w:bCs/>
          <w:sz w:val="33"/>
          <w:szCs w:val="33"/>
          <w:lang w:val="en-US" w:eastAsia="zh-CN"/>
        </w:rPr>
      </w:pPr>
      <w:r>
        <w:rPr>
          <w:rFonts w:hint="eastAsia" w:ascii="方正楷体_GBK" w:hAnsi="方正楷体_GBK" w:eastAsia="方正楷体_GBK" w:cs="方正楷体_GBK"/>
          <w:b/>
          <w:bCs/>
          <w:sz w:val="33"/>
          <w:szCs w:val="33"/>
          <w:lang w:val="en-US" w:eastAsia="zh-CN"/>
        </w:rPr>
        <w:t>（五）坚持主动作为化风险，倾力推动社会治理更加高效</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紧</w:t>
      </w:r>
      <w:r>
        <w:rPr>
          <w:rFonts w:hint="eastAsia" w:ascii="仿宋_GB2312" w:hAnsi="仿宋_GB2312" w:eastAsia="仿宋_GB2312" w:cs="仿宋_GB2312"/>
          <w:color w:val="000000"/>
          <w:kern w:val="0"/>
          <w:sz w:val="32"/>
          <w:szCs w:val="32"/>
          <w:lang w:val="en-US" w:eastAsia="zh-CN"/>
        </w:rPr>
        <w:t>盯关键环节、重点行业，重点群体，健全矛盾纠纷排查化解机制</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b/>
          <w:bCs/>
          <w:color w:val="000000"/>
          <w:sz w:val="32"/>
          <w:szCs w:val="32"/>
          <w:lang w:val="en-US" w:eastAsia="zh-CN"/>
        </w:rPr>
        <w:t>扎实开展普法宣传</w:t>
      </w:r>
      <w:r>
        <w:rPr>
          <w:rFonts w:hint="eastAsia" w:ascii="仿宋_GB2312" w:hAnsi="仿宋_GB2312" w:eastAsia="仿宋_GB2312" w:cs="仿宋_GB2312"/>
          <w:color w:val="000000"/>
          <w:sz w:val="32"/>
          <w:szCs w:val="32"/>
          <w:lang w:val="en-US" w:eastAsia="zh-CN"/>
        </w:rPr>
        <w:t>，加大《</w:t>
      </w:r>
      <w:r>
        <w:rPr>
          <w:rFonts w:hint="eastAsia" w:ascii="仿宋_GB2312" w:hAnsi="仿宋_GB2312" w:cs="仿宋_GB2312"/>
          <w:color w:val="000000"/>
          <w:sz w:val="32"/>
          <w:szCs w:val="32"/>
          <w:lang w:val="en-US" w:eastAsia="zh-CN"/>
        </w:rPr>
        <w:t>中华人民共和国</w:t>
      </w:r>
      <w:r>
        <w:rPr>
          <w:rFonts w:hint="eastAsia" w:ascii="仿宋_GB2312" w:hAnsi="仿宋_GB2312" w:eastAsia="仿宋_GB2312" w:cs="仿宋_GB2312"/>
          <w:color w:val="000000"/>
          <w:sz w:val="32"/>
          <w:szCs w:val="32"/>
          <w:lang w:val="en-US" w:eastAsia="zh-CN"/>
        </w:rPr>
        <w:t>民</w:t>
      </w:r>
      <w:r>
        <w:rPr>
          <w:rFonts w:hint="eastAsia" w:ascii="仿宋_GB2312" w:hAnsi="仿宋_GB2312" w:eastAsia="仿宋_GB2312" w:cs="仿宋_GB2312"/>
          <w:color w:val="000000"/>
          <w:kern w:val="0"/>
          <w:sz w:val="32"/>
          <w:szCs w:val="32"/>
          <w:lang w:val="en-US" w:eastAsia="zh-CN"/>
        </w:rPr>
        <w:t>法典》宣传力度，常态化开展好扫黑除恶、反邪防诈、禁毒缉枪等依法治乡工作，形成用法办事、依法办事的浓厚氛</w:t>
      </w:r>
      <w:r>
        <w:rPr>
          <w:rFonts w:hint="eastAsia" w:ascii="仿宋_GB2312" w:hAnsi="仿宋_GB2312" w:eastAsia="仿宋_GB2312" w:cs="仿宋_GB2312"/>
          <w:color w:val="000000"/>
          <w:sz w:val="32"/>
          <w:szCs w:val="32"/>
          <w:lang w:val="en-US" w:eastAsia="zh-CN"/>
        </w:rPr>
        <w:t>围；</w:t>
      </w:r>
      <w:r>
        <w:rPr>
          <w:rFonts w:hint="eastAsia" w:ascii="仿宋_GB2312" w:hAnsi="仿宋_GB2312" w:eastAsia="仿宋_GB2312" w:cs="仿宋_GB2312"/>
          <w:b/>
          <w:bCs/>
          <w:color w:val="000000"/>
          <w:sz w:val="32"/>
          <w:szCs w:val="32"/>
          <w:lang w:val="en-US" w:eastAsia="zh-CN"/>
        </w:rPr>
        <w:t>深入开展矛盾排查化解，</w:t>
      </w:r>
      <w:r>
        <w:rPr>
          <w:rFonts w:hint="eastAsia" w:ascii="仿宋_GB2312" w:hAnsi="仿宋_GB2312" w:eastAsia="仿宋_GB2312" w:cs="仿宋_GB2312"/>
          <w:b w:val="0"/>
          <w:bCs w:val="0"/>
          <w:color w:val="000000"/>
          <w:sz w:val="32"/>
          <w:szCs w:val="32"/>
          <w:lang w:val="en-US" w:eastAsia="zh-CN"/>
        </w:rPr>
        <w:t>全力推动</w:t>
      </w:r>
      <w:r>
        <w:rPr>
          <w:rFonts w:hint="eastAsia" w:ascii="仿宋_GB2312" w:hAnsi="仿宋_GB2312" w:eastAsia="仿宋_GB2312" w:cs="仿宋_GB2312"/>
          <w:color w:val="000000"/>
          <w:sz w:val="32"/>
          <w:szCs w:val="32"/>
          <w:lang w:val="en-US" w:eastAsia="zh-CN"/>
        </w:rPr>
        <w:t>历史遗留问题化解，用好乡矛盾纠纷多元化解专班，统筹司法第三方调解、法院诉前调解、公安矛盾调解等力量，及时把矛盾化解在乡内、化解在萌芽状态，确保小事不出村、大事不出乡；</w:t>
      </w:r>
      <w:r>
        <w:rPr>
          <w:rFonts w:hint="eastAsia" w:ascii="仿宋_GB2312" w:hAnsi="仿宋_GB2312" w:eastAsia="仿宋_GB2312" w:cs="仿宋_GB2312"/>
          <w:b/>
          <w:bCs/>
          <w:color w:val="000000"/>
          <w:sz w:val="32"/>
          <w:szCs w:val="32"/>
          <w:lang w:val="en-US" w:eastAsia="zh-CN"/>
        </w:rPr>
        <w:t>系统推进民族团结示范创建，</w:t>
      </w:r>
      <w:r>
        <w:rPr>
          <w:rFonts w:hint="eastAsia" w:ascii="仿宋_GB2312" w:hAnsi="仿宋_GB2312" w:eastAsia="仿宋_GB2312" w:cs="仿宋_GB2312"/>
          <w:color w:val="000000"/>
          <w:sz w:val="32"/>
          <w:szCs w:val="32"/>
          <w:lang w:val="en-US" w:eastAsia="zh-CN"/>
        </w:rPr>
        <w:t>强化典型案例剖析宣传教育，坚持以案</w:t>
      </w:r>
      <w:r>
        <w:rPr>
          <w:rFonts w:hint="eastAsia" w:ascii="仿宋_GB2312" w:hAnsi="仿宋_GB2312" w:eastAsia="仿宋_GB2312" w:cs="仿宋_GB2312"/>
          <w:color w:val="000000"/>
          <w:kern w:val="0"/>
          <w:sz w:val="32"/>
          <w:szCs w:val="32"/>
          <w:lang w:val="en-US" w:eastAsia="zh-CN"/>
        </w:rPr>
        <w:t>说法，引导多民族融合发展</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b/>
          <w:bCs/>
          <w:color w:val="000000"/>
          <w:sz w:val="32"/>
          <w:szCs w:val="32"/>
          <w:lang w:val="en-US" w:eastAsia="zh-CN"/>
        </w:rPr>
        <w:t>全面提升乡风文明助力和美乡村建设</w:t>
      </w:r>
      <w:r>
        <w:rPr>
          <w:rFonts w:hint="eastAsia" w:ascii="仿宋_GB2312" w:hAnsi="仿宋_GB2312" w:eastAsia="仿宋_GB2312" w:cs="仿宋_GB2312"/>
          <w:color w:val="000000"/>
          <w:sz w:val="32"/>
          <w:szCs w:val="32"/>
          <w:lang w:val="en-US" w:eastAsia="zh-CN"/>
        </w:rPr>
        <w:t>，全面推进移风易俗及高价彩礼整治，推进太田村“电力爱心超市”加快落地实施，示范引领各村进一步落实“红黑榜”制度及积分制度。</w:t>
      </w:r>
    </w:p>
    <w:p>
      <w:pPr>
        <w:keepNext w:val="0"/>
        <w:keepLines w:val="0"/>
        <w:pageBreakBefore w:val="0"/>
        <w:numPr>
          <w:ilvl w:val="0"/>
          <w:numId w:val="0"/>
        </w:numPr>
        <w:kinsoku/>
        <w:wordWrap/>
        <w:overflowPunct/>
        <w:topLinePunct w:val="0"/>
        <w:autoSpaceDE/>
        <w:autoSpaceDN/>
        <w:bidi w:val="0"/>
        <w:adjustRightInd/>
        <w:snapToGrid/>
        <w:spacing w:line="576" w:lineRule="exact"/>
        <w:textAlignment w:val="auto"/>
        <w:rPr>
          <w:rFonts w:hint="eastAsia" w:ascii="方正楷体_GBK" w:hAnsi="方正楷体_GBK" w:eastAsia="方正楷体_GBK" w:cs="方正楷体_GBK"/>
          <w:b/>
          <w:bCs/>
          <w:sz w:val="33"/>
          <w:szCs w:val="33"/>
          <w:lang w:val="en-US" w:eastAsia="zh-CN"/>
        </w:rPr>
      </w:pPr>
      <w:r>
        <w:rPr>
          <w:rFonts w:hint="eastAsia" w:ascii="方正楷体_GBK" w:hAnsi="方正楷体_GBK" w:eastAsia="方正楷体_GBK" w:cs="方正楷体_GBK"/>
          <w:b/>
          <w:bCs/>
          <w:sz w:val="33"/>
          <w:szCs w:val="33"/>
          <w:lang w:val="en-US" w:eastAsia="zh-CN"/>
        </w:rPr>
        <w:t>（六）坚持旗帜鲜明讲政治，倾力推动阳光政务高效落实</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000000"/>
          <w:sz w:val="32"/>
          <w:szCs w:val="32"/>
          <w:lang w:val="zh-CN" w:eastAsia="zh-CN"/>
        </w:rPr>
      </w:pPr>
      <w:r>
        <w:rPr>
          <w:rFonts w:hint="eastAsia" w:ascii="仿宋_GB2312" w:hAnsi="仿宋_GB2312" w:eastAsia="仿宋_GB2312" w:cs="仿宋_GB2312"/>
          <w:b/>
          <w:bCs/>
          <w:color w:val="000000"/>
          <w:sz w:val="32"/>
          <w:szCs w:val="32"/>
          <w:lang w:val="en-US" w:eastAsia="zh-CN"/>
        </w:rPr>
        <w:t>始终举旗定向，</w:t>
      </w:r>
      <w:r>
        <w:rPr>
          <w:rFonts w:hint="eastAsia" w:ascii="仿宋_GB2312" w:hAnsi="仿宋_GB2312" w:eastAsia="仿宋_GB2312" w:cs="仿宋_GB2312"/>
          <w:color w:val="000000"/>
          <w:sz w:val="32"/>
          <w:szCs w:val="32"/>
          <w:lang w:val="en-US" w:eastAsia="zh-CN"/>
        </w:rPr>
        <w:t>坚决拥护党的全面领导，主动增强“四个意识”，坚定“四个自信”，拥护“两个确立”，做到“两个维护”，不折不扣全面贯彻落实党中央国务院、省委</w:t>
      </w:r>
      <w:r>
        <w:rPr>
          <w:rFonts w:hint="eastAsia" w:ascii="仿宋_GB2312" w:hAnsi="仿宋_GB2312" w:cs="仿宋_GB2312"/>
          <w:color w:val="000000"/>
          <w:sz w:val="32"/>
          <w:szCs w:val="32"/>
          <w:lang w:val="en-US" w:eastAsia="zh-CN"/>
        </w:rPr>
        <w:t>、</w:t>
      </w:r>
      <w:r>
        <w:rPr>
          <w:rFonts w:hint="eastAsia" w:ascii="仿宋_GB2312" w:hAnsi="仿宋_GB2312" w:eastAsia="仿宋_GB2312" w:cs="仿宋_GB2312"/>
          <w:color w:val="000000"/>
          <w:sz w:val="32"/>
          <w:szCs w:val="32"/>
          <w:lang w:val="en-US" w:eastAsia="zh-CN"/>
        </w:rPr>
        <w:t>省政府、市委</w:t>
      </w:r>
      <w:r>
        <w:rPr>
          <w:rFonts w:hint="eastAsia" w:ascii="仿宋_GB2312" w:hAnsi="仿宋_GB2312" w:cs="仿宋_GB2312"/>
          <w:color w:val="000000"/>
          <w:sz w:val="32"/>
          <w:szCs w:val="32"/>
          <w:lang w:val="en-US" w:eastAsia="zh-CN"/>
        </w:rPr>
        <w:t>、</w:t>
      </w:r>
      <w:r>
        <w:rPr>
          <w:rFonts w:hint="eastAsia" w:ascii="仿宋_GB2312" w:hAnsi="仿宋_GB2312" w:eastAsia="仿宋_GB2312" w:cs="仿宋_GB2312"/>
          <w:color w:val="000000"/>
          <w:sz w:val="32"/>
          <w:szCs w:val="32"/>
          <w:lang w:val="en-US" w:eastAsia="zh-CN"/>
        </w:rPr>
        <w:t>市政府、县委</w:t>
      </w:r>
      <w:r>
        <w:rPr>
          <w:rFonts w:hint="eastAsia" w:ascii="仿宋_GB2312" w:hAnsi="仿宋_GB2312" w:cs="仿宋_GB2312"/>
          <w:color w:val="000000"/>
          <w:sz w:val="32"/>
          <w:szCs w:val="32"/>
          <w:lang w:val="en-US" w:eastAsia="zh-CN"/>
        </w:rPr>
        <w:t>、</w:t>
      </w:r>
      <w:r>
        <w:rPr>
          <w:rFonts w:hint="eastAsia" w:ascii="仿宋_GB2312" w:hAnsi="仿宋_GB2312" w:eastAsia="仿宋_GB2312" w:cs="仿宋_GB2312"/>
          <w:color w:val="000000"/>
          <w:sz w:val="32"/>
          <w:szCs w:val="32"/>
          <w:lang w:val="en-US" w:eastAsia="zh-CN"/>
        </w:rPr>
        <w:t>县政府和乡党委的决策部署，以踏石留印、抓铁有痕的决心推动各项工作高效落地实施；</w:t>
      </w:r>
      <w:r>
        <w:rPr>
          <w:rFonts w:hint="eastAsia" w:ascii="仿宋_GB2312" w:hAnsi="仿宋_GB2312" w:eastAsia="仿宋_GB2312" w:cs="仿宋_GB2312"/>
          <w:b/>
          <w:bCs/>
          <w:color w:val="000000"/>
          <w:sz w:val="32"/>
          <w:szCs w:val="32"/>
          <w:lang w:val="en-US" w:eastAsia="zh-CN"/>
        </w:rPr>
        <w:t>坚持为民服务，</w:t>
      </w:r>
      <w:r>
        <w:rPr>
          <w:rFonts w:hint="eastAsia" w:ascii="仿宋_GB2312" w:hAnsi="仿宋_GB2312" w:eastAsia="仿宋_GB2312" w:cs="仿宋_GB2312"/>
          <w:color w:val="000000"/>
          <w:sz w:val="32"/>
          <w:szCs w:val="32"/>
          <w:lang w:val="en-US" w:eastAsia="zh-CN"/>
        </w:rPr>
        <w:t>以坚定的政治自觉站稳人民立场，牢固树立宗旨意识、服务意识、为民意识，坚持施政为民，急群众所急、做群众所盼，</w:t>
      </w:r>
      <w:r>
        <w:rPr>
          <w:rFonts w:hint="eastAsia" w:ascii="仿宋_GB2312" w:hAnsi="仿宋_GB2312" w:eastAsia="仿宋_GB2312" w:cs="仿宋_GB2312"/>
          <w:color w:val="000000"/>
          <w:sz w:val="32"/>
          <w:szCs w:val="32"/>
          <w:lang w:val="zh-CN" w:eastAsia="zh-CN"/>
        </w:rPr>
        <w:t>以更接地气的工作成效书写更有温度的民生答卷。</w:t>
      </w:r>
      <w:r>
        <w:rPr>
          <w:rFonts w:hint="eastAsia" w:ascii="仿宋_GB2312" w:hAnsi="仿宋_GB2312" w:eastAsia="仿宋_GB2312" w:cs="仿宋_GB2312"/>
          <w:b/>
          <w:bCs/>
          <w:color w:val="000000"/>
          <w:sz w:val="32"/>
          <w:szCs w:val="32"/>
          <w:lang w:val="zh-CN" w:eastAsia="zh-CN"/>
        </w:rPr>
        <w:t>坚持依法行政，</w:t>
      </w:r>
      <w:r>
        <w:rPr>
          <w:rFonts w:hint="eastAsia" w:ascii="仿宋_GB2312" w:hAnsi="仿宋_GB2312" w:eastAsia="仿宋_GB2312" w:cs="仿宋_GB2312"/>
          <w:color w:val="000000"/>
          <w:sz w:val="32"/>
          <w:szCs w:val="32"/>
          <w:lang w:val="zh-CN" w:eastAsia="zh-CN"/>
        </w:rPr>
        <w:t>严格依法高效履职，自觉接受人大法律监督、工作监督，广泛接受社会公众、新闻舆论监督，高质量办好人大代表议案和建议。</w:t>
      </w:r>
      <w:r>
        <w:rPr>
          <w:rFonts w:hint="eastAsia" w:ascii="仿宋_GB2312" w:hAnsi="仿宋_GB2312" w:eastAsia="仿宋_GB2312" w:cs="仿宋_GB2312"/>
          <w:b/>
          <w:bCs/>
          <w:color w:val="000000"/>
          <w:sz w:val="32"/>
          <w:szCs w:val="32"/>
          <w:lang w:val="zh-CN" w:eastAsia="zh-CN"/>
        </w:rPr>
        <w:t>坚持廉洁从政，</w:t>
      </w:r>
      <w:r>
        <w:rPr>
          <w:rFonts w:hint="eastAsia" w:ascii="仿宋_GB2312" w:hAnsi="仿宋_GB2312" w:eastAsia="仿宋_GB2312" w:cs="仿宋_GB2312"/>
          <w:color w:val="000000"/>
          <w:sz w:val="32"/>
          <w:szCs w:val="32"/>
          <w:lang w:val="zh-CN" w:eastAsia="zh-CN"/>
        </w:rPr>
        <w:t>深入推进廉洁政府建设，深入开展纠治“四风”行动，紧盯关键环节、重点领域，加强监督管理，进一步严格控制“三公”经费支出，努力</w:t>
      </w:r>
      <w:r>
        <w:rPr>
          <w:rFonts w:hint="eastAsia" w:ascii="仿宋_GB2312" w:hAnsi="仿宋_GB2312" w:eastAsia="仿宋_GB2312" w:cs="仿宋_GB2312"/>
          <w:color w:val="000000"/>
          <w:sz w:val="32"/>
          <w:szCs w:val="32"/>
          <w:lang w:val="en-US" w:eastAsia="zh-CN"/>
        </w:rPr>
        <w:t>实现</w:t>
      </w:r>
      <w:r>
        <w:rPr>
          <w:rFonts w:hint="eastAsia" w:ascii="仿宋_GB2312" w:hAnsi="仿宋_GB2312" w:eastAsia="仿宋_GB2312" w:cs="仿宋_GB2312"/>
          <w:color w:val="000000"/>
          <w:sz w:val="32"/>
          <w:szCs w:val="32"/>
          <w:lang w:val="zh-CN" w:eastAsia="zh-CN"/>
        </w:rPr>
        <w:t>以政府的“紧日子”换取市场主体的“稳日子”和人民群众的“好日子”。</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eastAsia="黑体"/>
        </w:rPr>
      </w:pPr>
      <w:r>
        <w:rPr>
          <w:rFonts w:hint="eastAsia" w:eastAsia="黑体"/>
        </w:rPr>
        <w:t>三、单位构成情况</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盐边县</w:t>
      </w:r>
      <w:r>
        <w:rPr>
          <w:rFonts w:hint="eastAsia"/>
          <w:lang w:eastAsia="zh-CN"/>
        </w:rPr>
        <w:t>共和乡</w:t>
      </w:r>
      <w:r>
        <w:rPr>
          <w:rFonts w:hint="eastAsia"/>
        </w:rPr>
        <w:t>人民政府</w:t>
      </w:r>
      <w:r>
        <w:t>下属非独立核算单位</w:t>
      </w:r>
      <w:r>
        <w:rPr>
          <w:rFonts w:hint="eastAsia"/>
          <w:lang w:val="en-US" w:eastAsia="zh-CN"/>
        </w:rPr>
        <w:t>11</w:t>
      </w:r>
      <w:r>
        <w:t>个，其中行政单位</w:t>
      </w:r>
      <w:r>
        <w:rPr>
          <w:rFonts w:hint="eastAsia"/>
          <w:lang w:val="en-US" w:eastAsia="zh-CN"/>
        </w:rPr>
        <w:t>7</w:t>
      </w:r>
      <w:r>
        <w:t>个，事业单位</w:t>
      </w:r>
      <w:r>
        <w:rPr>
          <w:rFonts w:hint="eastAsia"/>
        </w:rPr>
        <w:t>4</w:t>
      </w:r>
      <w:r>
        <w:t>个。主要包括：</w:t>
      </w:r>
      <w:r>
        <w:rPr>
          <w:rFonts w:hint="eastAsia"/>
        </w:rPr>
        <w:t>党建办、党政办、经济发展办、综合执法办、社会治理办、财政所、应急管理办、</w:t>
      </w:r>
      <w:r>
        <w:rPr>
          <w:rFonts w:hint="eastAsia"/>
          <w:lang w:eastAsia="zh-CN"/>
        </w:rPr>
        <w:t>共和乡</w:t>
      </w:r>
      <w:r>
        <w:rPr>
          <w:rFonts w:hint="eastAsia"/>
        </w:rPr>
        <w:t>便民服务中心、</w:t>
      </w:r>
      <w:r>
        <w:rPr>
          <w:rFonts w:hint="eastAsia"/>
          <w:lang w:eastAsia="zh-CN"/>
        </w:rPr>
        <w:t>共和乡</w:t>
      </w:r>
      <w:r>
        <w:rPr>
          <w:rFonts w:hint="eastAsia"/>
        </w:rPr>
        <w:t>农业农村服务中心、村</w:t>
      </w:r>
      <w:r>
        <w:rPr>
          <w:rFonts w:hint="eastAsia"/>
          <w:lang w:eastAsia="zh-CN"/>
        </w:rPr>
        <w:t>乡</w:t>
      </w:r>
      <w:r>
        <w:rPr>
          <w:rFonts w:hint="eastAsia"/>
        </w:rPr>
        <w:t>建设服务中心、宣传文化中心</w:t>
      </w:r>
      <w:r>
        <w:t>。</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eastAsia="黑体"/>
        </w:rPr>
      </w:pPr>
      <w:r>
        <w:rPr>
          <w:rFonts w:hint="eastAsia" w:eastAsia="黑体"/>
        </w:rPr>
        <w:t>四</w:t>
      </w:r>
      <w:r>
        <w:rPr>
          <w:rFonts w:eastAsia="黑体"/>
        </w:rPr>
        <w:t>、收支预算情况说明</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按照综合预算的原则，盐边县</w:t>
      </w:r>
      <w:r>
        <w:rPr>
          <w:rFonts w:hint="eastAsia"/>
          <w:lang w:eastAsia="zh-CN"/>
        </w:rPr>
        <w:t>共和乡</w:t>
      </w:r>
      <w:r>
        <w:rPr>
          <w:rFonts w:hint="eastAsia"/>
        </w:rPr>
        <w:t>人民政府所有收入和支出均纳入部门预算管理。收入包括：一般公共预算拨款收入</w:t>
      </w:r>
      <w:r>
        <w:rPr>
          <w:rFonts w:hint="eastAsia"/>
          <w:lang w:val="en-US" w:eastAsia="zh-CN"/>
        </w:rPr>
        <w:t>1346.46</w:t>
      </w:r>
      <w:r>
        <w:rPr>
          <w:rFonts w:hint="eastAsia"/>
        </w:rPr>
        <w:t>万元（含上年财返0万元）、国有资本经营预算拨款收入0.0万元。支出包括：一般公共服务支出</w:t>
      </w:r>
      <w:r>
        <w:rPr>
          <w:rFonts w:hint="eastAsia"/>
          <w:lang w:val="en-US" w:eastAsia="zh-CN"/>
        </w:rPr>
        <w:t>435.95</w:t>
      </w:r>
      <w:r>
        <w:rPr>
          <w:rFonts w:hint="eastAsia"/>
        </w:rPr>
        <w:t>万元、文化旅游体育与传媒支出</w:t>
      </w:r>
      <w:r>
        <w:rPr>
          <w:rFonts w:hint="eastAsia"/>
          <w:lang w:val="en-US" w:eastAsia="zh-CN"/>
        </w:rPr>
        <w:t>70.29</w:t>
      </w:r>
      <w:r>
        <w:rPr>
          <w:rFonts w:hint="eastAsia"/>
        </w:rPr>
        <w:t>万元、社会保障与就业支出</w:t>
      </w:r>
      <w:r>
        <w:rPr>
          <w:rFonts w:hint="eastAsia"/>
          <w:lang w:val="en-US" w:eastAsia="zh-CN"/>
        </w:rPr>
        <w:t>242.51</w:t>
      </w:r>
      <w:r>
        <w:rPr>
          <w:rFonts w:hint="eastAsia"/>
        </w:rPr>
        <w:t>万元，卫生健康支出</w:t>
      </w:r>
      <w:r>
        <w:rPr>
          <w:rFonts w:hint="eastAsia"/>
          <w:lang w:val="en-US" w:eastAsia="zh-CN"/>
        </w:rPr>
        <w:t>77.79</w:t>
      </w:r>
      <w:r>
        <w:rPr>
          <w:rFonts w:hint="eastAsia"/>
        </w:rPr>
        <w:t>万元，农林水支出</w:t>
      </w:r>
      <w:r>
        <w:rPr>
          <w:rFonts w:hint="eastAsia"/>
          <w:lang w:val="en-US" w:eastAsia="zh-CN"/>
        </w:rPr>
        <w:t>447.2</w:t>
      </w:r>
      <w:r>
        <w:rPr>
          <w:rFonts w:hint="eastAsia"/>
        </w:rPr>
        <w:t>万元，住房保障支出</w:t>
      </w:r>
      <w:r>
        <w:rPr>
          <w:rFonts w:hint="eastAsia"/>
          <w:lang w:val="en-US" w:eastAsia="zh-CN"/>
        </w:rPr>
        <w:t>72.71</w:t>
      </w:r>
      <w:r>
        <w:rPr>
          <w:rFonts w:hint="eastAsia"/>
        </w:rPr>
        <w:t>万元，国有资本经营预算支出</w:t>
      </w:r>
      <w:r>
        <w:rPr>
          <w:rFonts w:hint="eastAsia"/>
          <w:lang w:val="en-US" w:eastAsia="zh-CN"/>
        </w:rPr>
        <w:t>0</w:t>
      </w:r>
      <w:r>
        <w:rPr>
          <w:rFonts w:hint="eastAsia"/>
        </w:rPr>
        <w:t>万元。盐边县</w:t>
      </w:r>
      <w:r>
        <w:rPr>
          <w:rFonts w:hint="eastAsia"/>
          <w:lang w:eastAsia="zh-CN"/>
        </w:rPr>
        <w:t>共和乡</w:t>
      </w:r>
      <w:r>
        <w:rPr>
          <w:rFonts w:hint="eastAsia"/>
        </w:rPr>
        <w:t>人民政府2023年收支总预算</w:t>
      </w:r>
      <w:r>
        <w:rPr>
          <w:rFonts w:hint="eastAsia"/>
          <w:lang w:val="en-US" w:eastAsia="zh-CN"/>
        </w:rPr>
        <w:t>1346.46</w:t>
      </w:r>
      <w:r>
        <w:rPr>
          <w:rFonts w:hint="eastAsia"/>
        </w:rPr>
        <w:t>万元，上年财返0万元。</w:t>
      </w:r>
    </w:p>
    <w:p>
      <w:pPr>
        <w:keepNext w:val="0"/>
        <w:keepLines w:val="0"/>
        <w:pageBreakBefore w:val="0"/>
        <w:numPr>
          <w:ilvl w:val="0"/>
          <w:numId w:val="0"/>
        </w:numPr>
        <w:kinsoku/>
        <w:wordWrap/>
        <w:overflowPunct/>
        <w:topLinePunct w:val="0"/>
        <w:autoSpaceDE/>
        <w:autoSpaceDN/>
        <w:bidi w:val="0"/>
        <w:adjustRightInd/>
        <w:snapToGrid/>
        <w:spacing w:line="576" w:lineRule="exact"/>
        <w:textAlignment w:val="auto"/>
        <w:rPr>
          <w:rFonts w:hint="eastAsia" w:ascii="方正楷体_GBK" w:hAnsi="方正楷体_GBK" w:eastAsia="方正楷体_GBK" w:cs="方正楷体_GBK"/>
          <w:b/>
          <w:bCs/>
          <w:sz w:val="33"/>
          <w:szCs w:val="33"/>
          <w:lang w:val="en-US" w:eastAsia="zh-CN"/>
        </w:rPr>
      </w:pPr>
      <w:r>
        <w:rPr>
          <w:rFonts w:hint="eastAsia" w:ascii="方正楷体_GBK" w:hAnsi="方正楷体_GBK" w:eastAsia="方正楷体_GBK" w:cs="方正楷体_GBK"/>
          <w:b/>
          <w:bCs/>
          <w:sz w:val="33"/>
          <w:szCs w:val="33"/>
          <w:lang w:val="en-US" w:eastAsia="zh-CN"/>
        </w:rPr>
        <w:t>（一）收入预算情况。</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盐边县</w:t>
      </w:r>
      <w:r>
        <w:rPr>
          <w:rFonts w:hint="eastAsia"/>
          <w:lang w:eastAsia="zh-CN"/>
        </w:rPr>
        <w:t>共和乡</w:t>
      </w:r>
      <w:r>
        <w:rPr>
          <w:rFonts w:hint="eastAsia"/>
        </w:rPr>
        <w:t>人民政府</w:t>
      </w:r>
      <w:r>
        <w:t>202</w:t>
      </w:r>
      <w:r>
        <w:rPr>
          <w:rFonts w:hint="eastAsia"/>
        </w:rPr>
        <w:t>3</w:t>
      </w:r>
      <w:r>
        <w:t>年收入预算</w:t>
      </w:r>
      <w:r>
        <w:rPr>
          <w:rFonts w:hint="eastAsia"/>
          <w:lang w:val="en-US" w:eastAsia="zh-CN"/>
        </w:rPr>
        <w:t>1346.46</w:t>
      </w:r>
      <w:r>
        <w:t>万元，其中</w:t>
      </w:r>
      <w:r>
        <w:rPr>
          <w:rFonts w:hint="eastAsia"/>
        </w:rPr>
        <w:t>：</w:t>
      </w:r>
      <w:r>
        <w:t>上年结转</w:t>
      </w:r>
      <w:r>
        <w:rPr>
          <w:rFonts w:hint="eastAsia"/>
        </w:rPr>
        <w:t>0</w:t>
      </w:r>
      <w:r>
        <w:t>万元</w:t>
      </w:r>
      <w:r>
        <w:rPr>
          <w:rFonts w:hint="eastAsia"/>
        </w:rPr>
        <w:t>，</w:t>
      </w:r>
      <w:r>
        <w:t>占</w:t>
      </w:r>
      <w:r>
        <w:rPr>
          <w:rFonts w:hint="eastAsia"/>
        </w:rPr>
        <w:t>0</w:t>
      </w:r>
      <w:r>
        <w:t>%</w:t>
      </w:r>
      <w:r>
        <w:rPr>
          <w:rFonts w:hint="eastAsia"/>
        </w:rPr>
        <w:t>；</w:t>
      </w:r>
      <w:r>
        <w:t>一般公共预算拨款收入</w:t>
      </w:r>
      <w:r>
        <w:rPr>
          <w:rFonts w:hint="eastAsia"/>
        </w:rPr>
        <w:t>1346.46</w:t>
      </w:r>
      <w:r>
        <w:t>万元，占</w:t>
      </w:r>
      <w:r>
        <w:rPr>
          <w:rFonts w:hint="eastAsia"/>
          <w:lang w:val="en-US" w:eastAsia="zh-CN"/>
        </w:rPr>
        <w:t>100</w:t>
      </w:r>
      <w:r>
        <w:t>%；政府性基金预算拨款收入</w:t>
      </w:r>
      <w:r>
        <w:rPr>
          <w:rFonts w:hint="eastAsia"/>
        </w:rPr>
        <w:t>0</w:t>
      </w:r>
      <w:r>
        <w:t>万元，占</w:t>
      </w:r>
      <w:r>
        <w:rPr>
          <w:rFonts w:hint="eastAsia"/>
        </w:rPr>
        <w:t>0</w:t>
      </w:r>
      <w:r>
        <w:t>%</w:t>
      </w:r>
      <w:r>
        <w:rPr>
          <w:rFonts w:hint="eastAsia"/>
        </w:rPr>
        <w:t>；国有资本经营预算收入0.0</w:t>
      </w:r>
      <w:r>
        <w:rPr>
          <w:rFonts w:hint="eastAsia"/>
          <w:lang w:val="en-US" w:eastAsia="zh-CN"/>
        </w:rPr>
        <w:t>0</w:t>
      </w:r>
      <w:r>
        <w:rPr>
          <w:rFonts w:hint="eastAsia"/>
        </w:rPr>
        <w:t>万元，占0.0</w:t>
      </w:r>
      <w:r>
        <w:rPr>
          <w:rFonts w:hint="eastAsia"/>
          <w:lang w:val="en-US" w:eastAsia="zh-CN"/>
        </w:rPr>
        <w:t>0</w:t>
      </w:r>
      <w:r>
        <w:rPr>
          <w:rFonts w:hint="eastAsia"/>
        </w:rPr>
        <w:t>%。</w:t>
      </w:r>
    </w:p>
    <w:p>
      <w:pPr>
        <w:keepNext w:val="0"/>
        <w:keepLines w:val="0"/>
        <w:pageBreakBefore w:val="0"/>
        <w:numPr>
          <w:ilvl w:val="0"/>
          <w:numId w:val="0"/>
        </w:numPr>
        <w:kinsoku/>
        <w:wordWrap/>
        <w:overflowPunct/>
        <w:topLinePunct w:val="0"/>
        <w:autoSpaceDE/>
        <w:autoSpaceDN/>
        <w:bidi w:val="0"/>
        <w:adjustRightInd/>
        <w:snapToGrid/>
        <w:spacing w:line="576" w:lineRule="exact"/>
        <w:textAlignment w:val="auto"/>
        <w:rPr>
          <w:rFonts w:hint="eastAsia" w:ascii="方正楷体_GBK" w:hAnsi="方正楷体_GBK" w:eastAsia="方正楷体_GBK" w:cs="方正楷体_GBK"/>
          <w:b/>
          <w:bCs/>
          <w:sz w:val="33"/>
          <w:szCs w:val="33"/>
          <w:lang w:val="en-US" w:eastAsia="zh-CN"/>
        </w:rPr>
      </w:pPr>
      <w:r>
        <w:rPr>
          <w:rFonts w:hint="eastAsia" w:ascii="方正楷体_GBK" w:hAnsi="方正楷体_GBK" w:eastAsia="方正楷体_GBK" w:cs="方正楷体_GBK"/>
          <w:b/>
          <w:bCs/>
          <w:sz w:val="33"/>
          <w:szCs w:val="33"/>
          <w:lang w:val="en-US" w:eastAsia="zh-CN"/>
        </w:rPr>
        <w:t>（二）支出预算情况。</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盐边县</w:t>
      </w:r>
      <w:r>
        <w:rPr>
          <w:rFonts w:hint="eastAsia"/>
          <w:lang w:eastAsia="zh-CN"/>
        </w:rPr>
        <w:t>共和乡</w:t>
      </w:r>
      <w:r>
        <w:rPr>
          <w:rFonts w:hint="eastAsia"/>
        </w:rPr>
        <w:t>人民政府</w:t>
      </w:r>
      <w:r>
        <w:t>202</w:t>
      </w:r>
      <w:r>
        <w:rPr>
          <w:rFonts w:hint="eastAsia"/>
        </w:rPr>
        <w:t>3</w:t>
      </w:r>
      <w:r>
        <w:t>年支出预算</w:t>
      </w:r>
      <w:r>
        <w:rPr>
          <w:rFonts w:hint="eastAsia"/>
        </w:rPr>
        <w:t>1346.46</w:t>
      </w:r>
      <w:r>
        <w:t>万元，其中：</w:t>
      </w:r>
      <w:r>
        <w:rPr>
          <w:rFonts w:hint="eastAsia"/>
        </w:rPr>
        <w:t>一般公共预算</w:t>
      </w:r>
      <w:r>
        <w:t>基本支出</w:t>
      </w:r>
      <w:r>
        <w:rPr>
          <w:rFonts w:hint="eastAsia"/>
          <w:lang w:val="en-US" w:eastAsia="zh-CN"/>
        </w:rPr>
        <w:t>1124.31</w:t>
      </w:r>
      <w:r>
        <w:t>万元，占</w:t>
      </w:r>
      <w:r>
        <w:rPr>
          <w:rFonts w:hint="eastAsia"/>
        </w:rPr>
        <w:t>8</w:t>
      </w:r>
      <w:r>
        <w:rPr>
          <w:rFonts w:hint="eastAsia"/>
          <w:lang w:val="en-US" w:eastAsia="zh-CN"/>
        </w:rPr>
        <w:t>0</w:t>
      </w:r>
      <w:r>
        <w:t>%；</w:t>
      </w:r>
      <w:r>
        <w:rPr>
          <w:rFonts w:hint="eastAsia"/>
        </w:rPr>
        <w:t>一般公共预算</w:t>
      </w:r>
      <w:r>
        <w:t>项目支出</w:t>
      </w:r>
      <w:r>
        <w:rPr>
          <w:rFonts w:hint="eastAsia"/>
          <w:lang w:val="en-US" w:eastAsia="zh-CN"/>
        </w:rPr>
        <w:t>221.43</w:t>
      </w:r>
      <w:r>
        <w:t>万元，占</w:t>
      </w:r>
      <w:r>
        <w:rPr>
          <w:rFonts w:hint="eastAsia"/>
          <w:lang w:val="en-US" w:eastAsia="zh-CN"/>
        </w:rPr>
        <w:t>20</w:t>
      </w:r>
      <w:r>
        <w:t>%</w:t>
      </w:r>
      <w:r>
        <w:rPr>
          <w:rFonts w:hint="eastAsia"/>
        </w:rPr>
        <w:t>；国有资本经营预算支出0.06万元，占0.01%。</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eastAsia="黑体"/>
        </w:rPr>
      </w:pPr>
      <w:r>
        <w:rPr>
          <w:rFonts w:hint="eastAsia" w:eastAsia="黑体"/>
        </w:rPr>
        <w:t>五</w:t>
      </w:r>
      <w:r>
        <w:rPr>
          <w:rFonts w:eastAsia="黑体"/>
        </w:rPr>
        <w:t>、财政拨款收支预算情况说明</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eastAsia="仿宋_GB2312"/>
          <w:lang w:eastAsia="zh-CN"/>
        </w:rPr>
      </w:pPr>
      <w:r>
        <w:rPr>
          <w:rFonts w:hint="eastAsia"/>
        </w:rPr>
        <w:t>盐边县</w:t>
      </w:r>
      <w:r>
        <w:rPr>
          <w:rFonts w:hint="eastAsia"/>
          <w:lang w:eastAsia="zh-CN"/>
        </w:rPr>
        <w:t>共和乡</w:t>
      </w:r>
      <w:r>
        <w:rPr>
          <w:rFonts w:hint="eastAsia"/>
        </w:rPr>
        <w:t>人民政府</w:t>
      </w:r>
      <w:r>
        <w:t>202</w:t>
      </w:r>
      <w:r>
        <w:rPr>
          <w:rFonts w:hint="eastAsia"/>
        </w:rPr>
        <w:t>3</w:t>
      </w:r>
      <w:r>
        <w:t>年财政拨款收支总预算</w:t>
      </w:r>
      <w:r>
        <w:rPr>
          <w:rFonts w:hint="eastAsia"/>
        </w:rPr>
        <w:t>1346.46</w:t>
      </w:r>
      <w:r>
        <w:t>万元。收入</w:t>
      </w:r>
      <w:r>
        <w:rPr>
          <w:rFonts w:hint="eastAsia"/>
        </w:rPr>
        <w:t>主要</w:t>
      </w:r>
      <w:r>
        <w:t>包括：本年一般公共预算拨款收入</w:t>
      </w:r>
      <w:r>
        <w:rPr>
          <w:rFonts w:hint="eastAsia"/>
        </w:rPr>
        <w:t>1346.46</w:t>
      </w:r>
      <w:r>
        <w:t>万元</w:t>
      </w:r>
      <w:r>
        <w:rPr>
          <w:rFonts w:hint="eastAsia"/>
        </w:rPr>
        <w:t>、国有资本经营预算收入0.0万元。</w:t>
      </w:r>
      <w:r>
        <w:t>支出包括：</w:t>
      </w:r>
      <w:r>
        <w:rPr>
          <w:rFonts w:hint="eastAsia"/>
        </w:rPr>
        <w:t>一般公共服务支出435.95万元、文化旅游体育与传媒支出70.29万元、社会保障与就业支出242.51万元，卫生健康支出77.79万元，农林水支出447.2万元，住房保障支出72.71万元</w:t>
      </w:r>
      <w:r>
        <w:rPr>
          <w:rFonts w:hint="eastAsia"/>
          <w:lang w:eastAsia="zh-CN"/>
        </w:rPr>
        <w:t>。</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eastAsia="黑体"/>
        </w:rPr>
      </w:pPr>
      <w:r>
        <w:rPr>
          <w:rFonts w:hint="eastAsia" w:eastAsia="黑体"/>
        </w:rPr>
        <w:t>六</w:t>
      </w:r>
      <w:r>
        <w:rPr>
          <w:rFonts w:eastAsia="黑体"/>
        </w:rPr>
        <w:t>、一般公共预算当年拨款情况说明</w:t>
      </w:r>
    </w:p>
    <w:p>
      <w:pPr>
        <w:keepNext w:val="0"/>
        <w:keepLines w:val="0"/>
        <w:pageBreakBefore w:val="0"/>
        <w:numPr>
          <w:ilvl w:val="0"/>
          <w:numId w:val="0"/>
        </w:numPr>
        <w:kinsoku/>
        <w:wordWrap/>
        <w:overflowPunct/>
        <w:topLinePunct w:val="0"/>
        <w:autoSpaceDE/>
        <w:autoSpaceDN/>
        <w:bidi w:val="0"/>
        <w:adjustRightInd/>
        <w:snapToGrid/>
        <w:spacing w:line="576" w:lineRule="exact"/>
        <w:textAlignment w:val="auto"/>
        <w:rPr>
          <w:rFonts w:hint="eastAsia" w:ascii="方正楷体_GBK" w:hAnsi="方正楷体_GBK" w:eastAsia="方正楷体_GBK" w:cs="方正楷体_GBK"/>
          <w:b/>
          <w:bCs/>
          <w:sz w:val="33"/>
          <w:szCs w:val="33"/>
          <w:lang w:val="en-US" w:eastAsia="zh-CN"/>
        </w:rPr>
      </w:pPr>
      <w:r>
        <w:rPr>
          <w:rFonts w:hint="eastAsia" w:ascii="方正楷体_GBK" w:hAnsi="方正楷体_GBK" w:eastAsia="方正楷体_GBK" w:cs="方正楷体_GBK"/>
          <w:b/>
          <w:bCs/>
          <w:sz w:val="33"/>
          <w:szCs w:val="33"/>
          <w:lang w:val="en-US" w:eastAsia="zh-CN"/>
        </w:rPr>
        <w:t>（一）一般公共预算当年拨款规模变化情况。</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盐边县</w:t>
      </w:r>
      <w:r>
        <w:rPr>
          <w:rFonts w:hint="eastAsia"/>
          <w:lang w:eastAsia="zh-CN"/>
        </w:rPr>
        <w:t>共和乡</w:t>
      </w:r>
      <w:r>
        <w:rPr>
          <w:rFonts w:hint="eastAsia"/>
        </w:rPr>
        <w:t>人民政府</w:t>
      </w:r>
      <w:r>
        <w:t>202</w:t>
      </w:r>
      <w:r>
        <w:rPr>
          <w:rFonts w:hint="eastAsia"/>
        </w:rPr>
        <w:t>3</w:t>
      </w:r>
      <w:r>
        <w:t>年一般公共预算当年拨款</w:t>
      </w:r>
      <w:r>
        <w:rPr>
          <w:rFonts w:hint="eastAsia"/>
        </w:rPr>
        <w:t>收入1346.46</w:t>
      </w:r>
      <w:r>
        <w:t>万元，</w:t>
      </w:r>
      <w:r>
        <w:rPr>
          <w:rFonts w:hint="eastAsia"/>
        </w:rPr>
        <w:t>较</w:t>
      </w:r>
      <w:r>
        <w:t>202</w:t>
      </w:r>
      <w:r>
        <w:rPr>
          <w:rFonts w:hint="eastAsia"/>
        </w:rPr>
        <w:t>2</w:t>
      </w:r>
      <w:r>
        <w:t>年预算数</w:t>
      </w:r>
      <w:r>
        <w:rPr>
          <w:rFonts w:hint="eastAsia"/>
          <w:lang w:val="en-US" w:eastAsia="zh-CN"/>
        </w:rPr>
        <w:t>824</w:t>
      </w:r>
      <w:r>
        <w:rPr>
          <w:rFonts w:hint="eastAsia"/>
        </w:rPr>
        <w:t>万元增加</w:t>
      </w:r>
      <w:r>
        <w:rPr>
          <w:rFonts w:hint="eastAsia"/>
          <w:lang w:val="en-US" w:eastAsia="zh-CN"/>
        </w:rPr>
        <w:t>522.46</w:t>
      </w:r>
      <w:r>
        <w:t>万元，</w:t>
      </w:r>
      <w:r>
        <w:rPr>
          <w:rFonts w:hint="eastAsia"/>
        </w:rPr>
        <w:t>上浮</w:t>
      </w:r>
      <w:r>
        <w:rPr>
          <w:rFonts w:hint="eastAsia"/>
          <w:lang w:val="en-US" w:eastAsia="zh-CN"/>
        </w:rPr>
        <w:t>38.8</w:t>
      </w:r>
      <w:r>
        <w:rPr>
          <w:rFonts w:hint="eastAsia"/>
        </w:rPr>
        <w:t>%，</w:t>
      </w:r>
      <w:r>
        <w:t>主要是</w:t>
      </w:r>
      <w:r>
        <w:rPr>
          <w:rFonts w:hint="eastAsia"/>
        </w:rPr>
        <w:t>本年度新招录人员增加、民生支出增加等因素</w:t>
      </w:r>
      <w:r>
        <w:t>。</w:t>
      </w:r>
    </w:p>
    <w:p>
      <w:pPr>
        <w:keepNext w:val="0"/>
        <w:keepLines w:val="0"/>
        <w:pageBreakBefore w:val="0"/>
        <w:numPr>
          <w:ilvl w:val="0"/>
          <w:numId w:val="0"/>
        </w:numPr>
        <w:kinsoku/>
        <w:wordWrap/>
        <w:overflowPunct/>
        <w:topLinePunct w:val="0"/>
        <w:autoSpaceDE/>
        <w:autoSpaceDN/>
        <w:bidi w:val="0"/>
        <w:adjustRightInd/>
        <w:snapToGrid/>
        <w:spacing w:line="576" w:lineRule="exact"/>
        <w:textAlignment w:val="auto"/>
        <w:rPr>
          <w:rFonts w:hint="eastAsia" w:ascii="方正楷体_GBK" w:hAnsi="方正楷体_GBK" w:eastAsia="方正楷体_GBK" w:cs="方正楷体_GBK"/>
          <w:b/>
          <w:bCs/>
          <w:sz w:val="33"/>
          <w:szCs w:val="33"/>
          <w:lang w:val="en-US" w:eastAsia="zh-CN"/>
        </w:rPr>
      </w:pPr>
      <w:r>
        <w:rPr>
          <w:rFonts w:hint="eastAsia" w:ascii="方正楷体_GBK" w:hAnsi="方正楷体_GBK" w:eastAsia="方正楷体_GBK" w:cs="方正楷体_GBK"/>
          <w:b/>
          <w:bCs/>
          <w:sz w:val="33"/>
          <w:szCs w:val="33"/>
          <w:lang w:val="en-US" w:eastAsia="zh-CN"/>
        </w:rPr>
        <w:t>（二）一般公共预算当年拨款结构情况。</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eastAsia="仿宋_GB2312"/>
          <w:lang w:val="en-US" w:eastAsia="zh-CN"/>
        </w:rPr>
      </w:pPr>
      <w:r>
        <w:rPr>
          <w:rFonts w:hint="eastAsia"/>
        </w:rPr>
        <w:t>一般公共服务支出435.95万元</w:t>
      </w:r>
      <w:r>
        <w:rPr>
          <w:rFonts w:hint="eastAsia"/>
          <w:lang w:eastAsia="zh-CN"/>
        </w:rPr>
        <w:t>，</w:t>
      </w:r>
      <w:r>
        <w:rPr>
          <w:rFonts w:hint="eastAsia"/>
          <w:lang w:val="en-US" w:eastAsia="zh-CN"/>
        </w:rPr>
        <w:t>占32 %；</w:t>
      </w:r>
      <w:r>
        <w:rPr>
          <w:rFonts w:hint="eastAsia"/>
        </w:rPr>
        <w:t>文化旅游体育与传媒支出70.29万元</w:t>
      </w:r>
      <w:r>
        <w:rPr>
          <w:rFonts w:hint="eastAsia"/>
          <w:lang w:eastAsia="zh-CN"/>
        </w:rPr>
        <w:t>，</w:t>
      </w:r>
      <w:r>
        <w:rPr>
          <w:rFonts w:hint="eastAsia"/>
          <w:lang w:val="en-US" w:eastAsia="zh-CN"/>
        </w:rPr>
        <w:t>占5.22 %；</w:t>
      </w:r>
      <w:r>
        <w:rPr>
          <w:rFonts w:hint="eastAsia"/>
        </w:rPr>
        <w:t>社会保障与就业支出242.51万元，</w:t>
      </w:r>
      <w:r>
        <w:rPr>
          <w:rFonts w:hint="eastAsia"/>
          <w:lang w:val="en-US" w:eastAsia="zh-CN"/>
        </w:rPr>
        <w:t>占18.01 %；</w:t>
      </w:r>
      <w:r>
        <w:rPr>
          <w:rFonts w:hint="eastAsia"/>
        </w:rPr>
        <w:t>卫生健康支出77.79万元，</w:t>
      </w:r>
      <w:r>
        <w:rPr>
          <w:rFonts w:hint="eastAsia"/>
          <w:lang w:val="en-US" w:eastAsia="zh-CN"/>
        </w:rPr>
        <w:t>占5.79 %；</w:t>
      </w:r>
      <w:r>
        <w:rPr>
          <w:rFonts w:hint="eastAsia"/>
        </w:rPr>
        <w:t>农林水支出447.2万元，</w:t>
      </w:r>
      <w:r>
        <w:rPr>
          <w:rFonts w:hint="eastAsia"/>
          <w:lang w:val="en-US" w:eastAsia="zh-CN"/>
        </w:rPr>
        <w:t>占 33.22%；</w:t>
      </w:r>
      <w:r>
        <w:rPr>
          <w:rFonts w:hint="eastAsia"/>
        </w:rPr>
        <w:t>住房保障支出72.71万元</w:t>
      </w:r>
      <w:r>
        <w:rPr>
          <w:rFonts w:hint="eastAsia"/>
          <w:lang w:eastAsia="zh-CN"/>
        </w:rPr>
        <w:t>，</w:t>
      </w:r>
      <w:r>
        <w:rPr>
          <w:rFonts w:hint="eastAsia"/>
          <w:lang w:val="en-US" w:eastAsia="zh-CN"/>
        </w:rPr>
        <w:t>占5.4 %；</w:t>
      </w:r>
    </w:p>
    <w:p>
      <w:pPr>
        <w:keepNext w:val="0"/>
        <w:keepLines w:val="0"/>
        <w:pageBreakBefore w:val="0"/>
        <w:numPr>
          <w:ilvl w:val="0"/>
          <w:numId w:val="0"/>
        </w:numPr>
        <w:kinsoku/>
        <w:wordWrap/>
        <w:overflowPunct/>
        <w:topLinePunct w:val="0"/>
        <w:autoSpaceDE/>
        <w:autoSpaceDN/>
        <w:bidi w:val="0"/>
        <w:adjustRightInd/>
        <w:snapToGrid/>
        <w:spacing w:line="576" w:lineRule="exact"/>
        <w:textAlignment w:val="auto"/>
        <w:rPr>
          <w:rFonts w:hint="eastAsia" w:ascii="方正楷体_GBK" w:hAnsi="方正楷体_GBK" w:eastAsia="方正楷体_GBK" w:cs="方正楷体_GBK"/>
          <w:b/>
          <w:bCs/>
          <w:sz w:val="33"/>
          <w:szCs w:val="33"/>
          <w:lang w:val="en-US" w:eastAsia="zh-CN"/>
        </w:rPr>
      </w:pPr>
      <w:r>
        <w:rPr>
          <w:rFonts w:hint="eastAsia" w:ascii="方正楷体_GBK" w:hAnsi="方正楷体_GBK" w:eastAsia="方正楷体_GBK" w:cs="方正楷体_GBK"/>
          <w:b/>
          <w:bCs/>
          <w:sz w:val="33"/>
          <w:szCs w:val="33"/>
          <w:lang w:val="en-US" w:eastAsia="zh-CN"/>
        </w:rPr>
        <w:t>（三）一般公共预算当年拨款具体使用情况。</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1.一般公共服务（201类）人大事务（01款）行政运行（01项）2023年预算数为</w:t>
      </w:r>
      <w:r>
        <w:rPr>
          <w:rFonts w:hint="eastAsia"/>
          <w:lang w:val="en-US" w:eastAsia="zh-CN"/>
        </w:rPr>
        <w:t>16.15</w:t>
      </w:r>
      <w:r>
        <w:rPr>
          <w:rFonts w:hint="eastAsia"/>
        </w:rPr>
        <w:t>万元，主要用于：人员工资保险十三月奖金等支出和经费运行。</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2.一般公共服务（201类）人大事务（01款）人大会议（04项）2023年预算数为</w:t>
      </w:r>
      <w:r>
        <w:rPr>
          <w:rFonts w:hint="eastAsia"/>
          <w:lang w:val="en-US" w:eastAsia="zh-CN"/>
        </w:rPr>
        <w:t>3.31</w:t>
      </w:r>
      <w:r>
        <w:rPr>
          <w:rFonts w:hint="eastAsia"/>
        </w:rPr>
        <w:t>万元，主要用于：人大会议费用支出。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3.一般公共服务（201类）政府办公厅（室）及相关机构事务（03款）行政运行（01项）2023年预算数为</w:t>
      </w:r>
      <w:r>
        <w:rPr>
          <w:rFonts w:hint="eastAsia"/>
          <w:lang w:val="en-US" w:eastAsia="zh-CN"/>
        </w:rPr>
        <w:t>325.41</w:t>
      </w:r>
      <w:r>
        <w:rPr>
          <w:rFonts w:hint="eastAsia"/>
        </w:rPr>
        <w:t>万元，主要用于：政府行政人员工资保险十三月奖金等支出和经费运行。</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4.一般公共服务（201类）政府办公厅（室）及相关机构事务（03款）一般行政管理事务（02项）2023年预算数为</w:t>
      </w:r>
      <w:r>
        <w:rPr>
          <w:rFonts w:hint="eastAsia"/>
          <w:lang w:val="en-US" w:eastAsia="zh-CN"/>
        </w:rPr>
        <w:t>6.21</w:t>
      </w:r>
      <w:r>
        <w:rPr>
          <w:rFonts w:hint="eastAsia"/>
        </w:rPr>
        <w:t>万元，主要用于：乡村治理补助支出。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5.一般公共服务（201类）政府办公厅（室）及相关机构事务（03款）事业运行（</w:t>
      </w:r>
      <w:r>
        <w:rPr>
          <w:rFonts w:hint="eastAsia"/>
          <w:lang w:val="en-US" w:eastAsia="zh-CN"/>
        </w:rPr>
        <w:t>50</w:t>
      </w:r>
      <w:r>
        <w:rPr>
          <w:rFonts w:hint="eastAsia"/>
        </w:rPr>
        <w:t>项）2023年预算数为</w:t>
      </w:r>
      <w:r>
        <w:rPr>
          <w:rFonts w:hint="eastAsia"/>
          <w:lang w:val="en-US" w:eastAsia="zh-CN"/>
        </w:rPr>
        <w:t>69.15</w:t>
      </w:r>
      <w:r>
        <w:rPr>
          <w:rFonts w:hint="eastAsia"/>
        </w:rPr>
        <w:t>万元，主要用于：村</w:t>
      </w:r>
      <w:r>
        <w:rPr>
          <w:rFonts w:hint="eastAsia"/>
          <w:lang w:eastAsia="zh-CN"/>
        </w:rPr>
        <w:t>乡</w:t>
      </w:r>
      <w:r>
        <w:rPr>
          <w:rFonts w:hint="eastAsia"/>
        </w:rPr>
        <w:t>建设服务中心人员工资保险十三月奖金等支出和经费运行。</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6.一般公共服务（201类）</w:t>
      </w:r>
      <w:r>
        <w:rPr>
          <w:rFonts w:hint="eastAsia"/>
          <w:lang w:val="en-US" w:eastAsia="zh-CN"/>
        </w:rPr>
        <w:t>纪委监察事务支出</w:t>
      </w:r>
      <w:r>
        <w:rPr>
          <w:rFonts w:hint="eastAsia"/>
        </w:rPr>
        <w:t>（</w:t>
      </w:r>
      <w:r>
        <w:rPr>
          <w:rFonts w:hint="eastAsia"/>
          <w:lang w:val="en-US" w:eastAsia="zh-CN"/>
        </w:rPr>
        <w:t>11</w:t>
      </w:r>
      <w:r>
        <w:rPr>
          <w:rFonts w:hint="eastAsia"/>
        </w:rPr>
        <w:t>款）</w:t>
      </w:r>
      <w:r>
        <w:rPr>
          <w:rFonts w:hint="eastAsia"/>
          <w:lang w:val="en-US" w:eastAsia="zh-CN"/>
        </w:rPr>
        <w:t>其他纪委监察事务支出</w:t>
      </w:r>
      <w:r>
        <w:rPr>
          <w:rFonts w:hint="eastAsia"/>
        </w:rPr>
        <w:t>（</w:t>
      </w:r>
      <w:r>
        <w:rPr>
          <w:rFonts w:hint="eastAsia"/>
          <w:lang w:val="en-US" w:eastAsia="zh-CN"/>
        </w:rPr>
        <w:t>99</w:t>
      </w:r>
      <w:r>
        <w:rPr>
          <w:rFonts w:hint="eastAsia"/>
        </w:rPr>
        <w:t>项）2023年预算数为</w:t>
      </w:r>
      <w:r>
        <w:rPr>
          <w:rFonts w:hint="eastAsia"/>
          <w:lang w:val="en-US" w:eastAsia="zh-CN"/>
        </w:rPr>
        <w:t>0.67</w:t>
      </w:r>
      <w:r>
        <w:rPr>
          <w:rFonts w:hint="eastAsia"/>
        </w:rPr>
        <w:t>万元，主要用于：</w:t>
      </w:r>
      <w:r>
        <w:rPr>
          <w:rFonts w:hint="eastAsia"/>
          <w:lang w:val="en-US" w:eastAsia="zh-CN"/>
        </w:rPr>
        <w:t>中央纪检监察转移支出</w:t>
      </w:r>
      <w:r>
        <w:rPr>
          <w:rFonts w:hint="eastAsia"/>
        </w:rPr>
        <w:t>。</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7.一般公共服务（201类）民族事务（23款）民族工作专项（04项）2023年预算数为2.36万元，主要用于：少数民族工作经费支出。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8.一般公共服务（201类）党委办公厅（室）及相关机构事务（31款）行政运行（01项）2023年预算数为</w:t>
      </w:r>
      <w:r>
        <w:rPr>
          <w:rFonts w:hint="eastAsia"/>
          <w:lang w:val="en-US" w:eastAsia="zh-CN"/>
        </w:rPr>
        <w:t>14.50</w:t>
      </w:r>
      <w:r>
        <w:rPr>
          <w:rFonts w:hint="eastAsia"/>
        </w:rPr>
        <w:t>万元，主要用于：人员工资保险十三月奖金等支出和经费运行。</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9.文化旅游体育与传媒（207类）文化和旅游（01款）群众文化（09项）2023年预算数为</w:t>
      </w:r>
      <w:r>
        <w:rPr>
          <w:rFonts w:hint="eastAsia"/>
          <w:lang w:val="en-US" w:eastAsia="zh-CN"/>
        </w:rPr>
        <w:t>67.29</w:t>
      </w:r>
      <w:r>
        <w:rPr>
          <w:rFonts w:hint="eastAsia"/>
        </w:rPr>
        <w:t>万元，主要用于：人员工资保险十三月奖金等支出和经费运行。</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lang w:val="en-US" w:eastAsia="zh-CN"/>
        </w:rPr>
        <w:t>10</w:t>
      </w:r>
      <w:r>
        <w:rPr>
          <w:rFonts w:hint="eastAsia"/>
        </w:rPr>
        <w:t>.文化旅游体育与传媒（207类）文化和旅游（01</w:t>
      </w:r>
      <w:r>
        <w:rPr>
          <w:rFonts w:hint="eastAsia"/>
          <w:lang w:eastAsia="zh-CN"/>
        </w:rPr>
        <w:t>）</w:t>
      </w:r>
      <w:r>
        <w:rPr>
          <w:rFonts w:hint="eastAsia"/>
        </w:rPr>
        <w:t>款</w:t>
      </w:r>
      <w:r>
        <w:rPr>
          <w:rFonts w:hint="eastAsia"/>
          <w:lang w:val="en-US" w:eastAsia="zh-CN"/>
        </w:rPr>
        <w:t>其他文化和旅游支出</w:t>
      </w:r>
      <w:r>
        <w:rPr>
          <w:rFonts w:hint="eastAsia"/>
        </w:rPr>
        <w:t>（</w:t>
      </w:r>
      <w:r>
        <w:rPr>
          <w:rFonts w:hint="eastAsia"/>
          <w:lang w:val="en-US" w:eastAsia="zh-CN"/>
        </w:rPr>
        <w:t>99</w:t>
      </w:r>
      <w:r>
        <w:rPr>
          <w:rFonts w:hint="eastAsia"/>
        </w:rPr>
        <w:t>项）2023年预算数为</w:t>
      </w:r>
      <w:r>
        <w:rPr>
          <w:rFonts w:hint="eastAsia"/>
          <w:lang w:val="en-US" w:eastAsia="zh-CN"/>
        </w:rPr>
        <w:t>3</w:t>
      </w:r>
      <w:r>
        <w:rPr>
          <w:rFonts w:hint="eastAsia"/>
        </w:rPr>
        <w:t>万元，主要用于：</w:t>
      </w:r>
      <w:r>
        <w:rPr>
          <w:rFonts w:hint="eastAsia"/>
          <w:lang w:val="en-US" w:eastAsia="zh-CN"/>
        </w:rPr>
        <w:t>公共文化体系服务建设补助支出</w:t>
      </w:r>
      <w:r>
        <w:rPr>
          <w:rFonts w:hint="eastAsia"/>
        </w:rPr>
        <w:t>。</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lang w:val="en-US" w:eastAsia="zh-CN"/>
        </w:rPr>
        <w:t>11</w:t>
      </w:r>
      <w:r>
        <w:rPr>
          <w:rFonts w:hint="eastAsia"/>
        </w:rPr>
        <w:t>.社会保障和就业支出（208类）人力资源和社会保障管理（01款）社会保险经办机构（09项）2023年预算数为</w:t>
      </w:r>
      <w:r>
        <w:rPr>
          <w:rFonts w:hint="eastAsia"/>
          <w:lang w:val="en-US" w:eastAsia="zh-CN"/>
        </w:rPr>
        <w:t>70.87</w:t>
      </w:r>
      <w:r>
        <w:rPr>
          <w:rFonts w:hint="eastAsia"/>
        </w:rPr>
        <w:t>万元，主要用于：人员工资保险十三月奖金支出和经费运行。</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1</w:t>
      </w:r>
      <w:r>
        <w:rPr>
          <w:rFonts w:hint="eastAsia"/>
          <w:lang w:val="en-US" w:eastAsia="zh-CN"/>
        </w:rPr>
        <w:t>2</w:t>
      </w:r>
      <w:r>
        <w:rPr>
          <w:rFonts w:hint="eastAsia"/>
        </w:rPr>
        <w:t>.社会保障和就业支出（208类）人力资源和社会保障管理（01款）其他人力资源和社会保障管理事务支出（99项）2023年预算为</w:t>
      </w:r>
      <w:r>
        <w:rPr>
          <w:rFonts w:hint="eastAsia"/>
          <w:lang w:val="en-US" w:eastAsia="zh-CN"/>
        </w:rPr>
        <w:t>27.52</w:t>
      </w:r>
      <w:r>
        <w:rPr>
          <w:rFonts w:hint="eastAsia"/>
        </w:rPr>
        <w:t>万元，主要用于：三支一扶、社工人员工资保险等。</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1</w:t>
      </w:r>
      <w:r>
        <w:rPr>
          <w:rFonts w:hint="eastAsia"/>
          <w:lang w:val="en-US" w:eastAsia="zh-CN"/>
        </w:rPr>
        <w:t>3</w:t>
      </w:r>
      <w:r>
        <w:rPr>
          <w:rFonts w:hint="eastAsia"/>
        </w:rPr>
        <w:t>.社会保障和就业支出（208类）民政管理事务（02款）基层政权建设和社区治理（08项）2023年预算数为</w:t>
      </w:r>
      <w:r>
        <w:rPr>
          <w:rFonts w:hint="eastAsia"/>
          <w:lang w:val="en-US" w:eastAsia="zh-CN"/>
        </w:rPr>
        <w:t>3</w:t>
      </w:r>
      <w:r>
        <w:rPr>
          <w:rFonts w:hint="eastAsia"/>
        </w:rPr>
        <w:t>万元，主要用于：社区人员工资保险绩效等支出和经费运行。</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1</w:t>
      </w:r>
      <w:r>
        <w:rPr>
          <w:rFonts w:hint="eastAsia"/>
          <w:lang w:val="en-US" w:eastAsia="zh-CN"/>
        </w:rPr>
        <w:t>4</w:t>
      </w:r>
      <w:r>
        <w:rPr>
          <w:rFonts w:hint="eastAsia"/>
        </w:rPr>
        <w:t>.社会保障和就业支出（208类）民政管理事务（02款）其他民政管理事务支出（99项）2023年预算数为</w:t>
      </w:r>
      <w:r>
        <w:rPr>
          <w:rFonts w:hint="eastAsia"/>
          <w:lang w:val="en-US" w:eastAsia="zh-CN"/>
        </w:rPr>
        <w:t>21.92</w:t>
      </w:r>
      <w:r>
        <w:rPr>
          <w:rFonts w:hint="eastAsia"/>
        </w:rPr>
        <w:t>万元，主要用于：敬老院人员工资保险绩效等支出和经费运行。</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1</w:t>
      </w:r>
      <w:r>
        <w:rPr>
          <w:rFonts w:hint="eastAsia"/>
          <w:lang w:val="en-US" w:eastAsia="zh-CN"/>
        </w:rPr>
        <w:t>5</w:t>
      </w:r>
      <w:r>
        <w:rPr>
          <w:rFonts w:hint="eastAsia"/>
        </w:rPr>
        <w:t>.社会保障和就业支出（208类）行政事业单位养老支出（05款）行政单位离退休（01项）2023年预算数为</w:t>
      </w:r>
      <w:r>
        <w:rPr>
          <w:rFonts w:hint="eastAsia"/>
          <w:lang w:val="en-US" w:eastAsia="zh-CN"/>
        </w:rPr>
        <w:t>6.54</w:t>
      </w:r>
      <w:r>
        <w:rPr>
          <w:rFonts w:hint="eastAsia"/>
        </w:rPr>
        <w:t>万元，主要用于：行政退休人员费用。</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1</w:t>
      </w:r>
      <w:r>
        <w:rPr>
          <w:rFonts w:hint="eastAsia"/>
          <w:lang w:val="en-US" w:eastAsia="zh-CN"/>
        </w:rPr>
        <w:t>6</w:t>
      </w:r>
      <w:r>
        <w:rPr>
          <w:rFonts w:hint="eastAsia"/>
        </w:rPr>
        <w:t>.社会保障和就业支出（208类）行政事业单位养老支出（05款）事业单位离退休（02项）2023年预算数为</w:t>
      </w:r>
      <w:r>
        <w:rPr>
          <w:rFonts w:hint="eastAsia"/>
          <w:lang w:val="en-US" w:eastAsia="zh-CN"/>
        </w:rPr>
        <w:t>3.65</w:t>
      </w:r>
      <w:r>
        <w:rPr>
          <w:rFonts w:hint="eastAsia"/>
        </w:rPr>
        <w:t>万元，主要用于：事业退休人员费用。</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1</w:t>
      </w:r>
      <w:r>
        <w:rPr>
          <w:rFonts w:hint="eastAsia"/>
          <w:lang w:val="en-US" w:eastAsia="zh-CN"/>
        </w:rPr>
        <w:t>7</w:t>
      </w:r>
      <w:r>
        <w:rPr>
          <w:rFonts w:hint="eastAsia"/>
        </w:rPr>
        <w:t>.社会保障和就业支出（208类）行政事业单位养老支出（05款）机关事业单位基本养老保险缴费支出（05项）2023年预算数为</w:t>
      </w:r>
      <w:r>
        <w:rPr>
          <w:rFonts w:hint="eastAsia"/>
          <w:lang w:val="en-US" w:eastAsia="zh-CN"/>
        </w:rPr>
        <w:t>83.28</w:t>
      </w:r>
      <w:r>
        <w:rPr>
          <w:rFonts w:hint="eastAsia"/>
        </w:rPr>
        <w:t>万元，主要用于：职工养老保险支出。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1</w:t>
      </w:r>
      <w:r>
        <w:rPr>
          <w:rFonts w:hint="eastAsia"/>
          <w:lang w:val="en-US" w:eastAsia="zh-CN"/>
        </w:rPr>
        <w:t>8</w:t>
      </w:r>
      <w:r>
        <w:rPr>
          <w:rFonts w:hint="eastAsia"/>
        </w:rPr>
        <w:t>.社会保障和就业支出（208类）特困人员救助供养（21款）农村特困人员救助供养支出（02项）2023年预算数为</w:t>
      </w:r>
      <w:r>
        <w:rPr>
          <w:rFonts w:hint="eastAsia"/>
          <w:lang w:val="en-US" w:eastAsia="zh-CN"/>
        </w:rPr>
        <w:t>25.7</w:t>
      </w:r>
      <w:r>
        <w:rPr>
          <w:rFonts w:hint="eastAsia"/>
        </w:rPr>
        <w:t>万元，主要用于：五保户生活费及丧葬费。</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1</w:t>
      </w:r>
      <w:r>
        <w:rPr>
          <w:rFonts w:hint="eastAsia"/>
          <w:lang w:val="en-US" w:eastAsia="zh-CN"/>
        </w:rPr>
        <w:t>9</w:t>
      </w:r>
      <w:r>
        <w:rPr>
          <w:rFonts w:hint="eastAsia"/>
        </w:rPr>
        <w:t>.卫生健康支出（210类）卫生健康管理事务（0</w:t>
      </w:r>
      <w:r>
        <w:rPr>
          <w:rFonts w:hint="eastAsia"/>
          <w:lang w:val="en-US" w:eastAsia="zh-CN"/>
        </w:rPr>
        <w:t>4</w:t>
      </w:r>
      <w:r>
        <w:rPr>
          <w:rFonts w:hint="eastAsia"/>
        </w:rPr>
        <w:t>款）其他</w:t>
      </w:r>
      <w:r>
        <w:rPr>
          <w:rFonts w:hint="eastAsia"/>
          <w:lang w:val="en-US" w:eastAsia="zh-CN"/>
        </w:rPr>
        <w:t>公共卫生</w:t>
      </w:r>
      <w:r>
        <w:rPr>
          <w:rFonts w:hint="eastAsia"/>
        </w:rPr>
        <w:t>支出（99项）2023年预算数为</w:t>
      </w:r>
      <w:r>
        <w:rPr>
          <w:rFonts w:hint="eastAsia"/>
          <w:lang w:val="en-US" w:eastAsia="zh-CN"/>
        </w:rPr>
        <w:t>3.42</w:t>
      </w:r>
      <w:r>
        <w:rPr>
          <w:rFonts w:hint="eastAsia"/>
        </w:rPr>
        <w:t>万元，主要用于：公共卫生支出。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lang w:val="en-US" w:eastAsia="zh-CN"/>
        </w:rPr>
        <w:t>20</w:t>
      </w:r>
      <w:r>
        <w:rPr>
          <w:rFonts w:hint="eastAsia"/>
        </w:rPr>
        <w:t>.卫生健康支出（210类）行政事业单位医疗（11款）行政单位医疗（01项）2023年预算数为</w:t>
      </w:r>
      <w:r>
        <w:rPr>
          <w:rFonts w:hint="eastAsia"/>
          <w:lang w:val="en-US" w:eastAsia="zh-CN"/>
        </w:rPr>
        <w:t>22.19</w:t>
      </w:r>
      <w:r>
        <w:rPr>
          <w:rFonts w:hint="eastAsia"/>
        </w:rPr>
        <w:t>万元，主要用于：职工医疗保险支出。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lang w:val="en-US" w:eastAsia="zh-CN"/>
        </w:rPr>
        <w:t>21</w:t>
      </w:r>
      <w:r>
        <w:rPr>
          <w:rFonts w:hint="eastAsia"/>
        </w:rPr>
        <w:t>.卫生健康支出（201类）行政事业单位医疗（11款）事业单位医疗（02项）2023年预算数为</w:t>
      </w:r>
      <w:r>
        <w:rPr>
          <w:rFonts w:hint="eastAsia"/>
          <w:lang w:val="en-US" w:eastAsia="zh-CN"/>
        </w:rPr>
        <w:t>25.29</w:t>
      </w:r>
      <w:r>
        <w:rPr>
          <w:rFonts w:hint="eastAsia"/>
        </w:rPr>
        <w:t>万元，主要用于：职工医疗保险支出。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lang w:val="en-US" w:eastAsia="zh-CN"/>
        </w:rPr>
        <w:t>22</w:t>
      </w:r>
      <w:r>
        <w:rPr>
          <w:rFonts w:hint="eastAsia"/>
        </w:rPr>
        <w:t>.卫生健康支出（210类）行政事业单位医疗（11款）公务员医疗补助（03项）2023年预算数为</w:t>
      </w:r>
      <w:r>
        <w:rPr>
          <w:rFonts w:hint="eastAsia"/>
          <w:lang w:val="en-US" w:eastAsia="zh-CN"/>
        </w:rPr>
        <w:t>1.76</w:t>
      </w:r>
      <w:r>
        <w:rPr>
          <w:rFonts w:hint="eastAsia"/>
        </w:rPr>
        <w:t>万元，主要用于：职工大病医疗保险支出。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lang w:val="en-US" w:eastAsia="zh-CN"/>
        </w:rPr>
        <w:t>23</w:t>
      </w:r>
      <w:r>
        <w:rPr>
          <w:rFonts w:hint="eastAsia"/>
        </w:rPr>
        <w:t>.卫生健康支出（210类）（11款）其他行政事业单位医疗支出（99项）2023年预算数为</w:t>
      </w:r>
      <w:r>
        <w:rPr>
          <w:rFonts w:hint="eastAsia"/>
          <w:lang w:val="en-US" w:eastAsia="zh-CN"/>
        </w:rPr>
        <w:t>25.50</w:t>
      </w:r>
      <w:r>
        <w:rPr>
          <w:rFonts w:hint="eastAsia"/>
        </w:rPr>
        <w:t>万元，主要用于：职工大病医疗保险支出。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lang w:val="en-US" w:eastAsia="zh-CN"/>
        </w:rPr>
        <w:t>24</w:t>
      </w:r>
      <w:r>
        <w:rPr>
          <w:rFonts w:hint="eastAsia"/>
        </w:rPr>
        <w:t>.农林水支出（213类）农业农村（01款）事业运行（04项）2023年预算数为</w:t>
      </w:r>
      <w:r>
        <w:rPr>
          <w:rFonts w:hint="eastAsia"/>
          <w:lang w:val="en-US" w:eastAsia="zh-CN"/>
        </w:rPr>
        <w:t>97.96</w:t>
      </w:r>
      <w:r>
        <w:rPr>
          <w:rFonts w:hint="eastAsia"/>
        </w:rPr>
        <w:t>万元，主要用于：人员工资保险绩效等支出和经费运行。</w:t>
      </w:r>
    </w:p>
    <w:p>
      <w:pPr>
        <w:pStyle w:val="2"/>
        <w:keepNext w:val="0"/>
        <w:keepLines w:val="0"/>
        <w:pageBreakBefore w:val="0"/>
        <w:kinsoku/>
        <w:wordWrap/>
        <w:overflowPunct/>
        <w:topLinePunct w:val="0"/>
        <w:autoSpaceDE/>
        <w:autoSpaceDN/>
        <w:bidi w:val="0"/>
        <w:adjustRightInd/>
        <w:snapToGrid/>
        <w:spacing w:beforeLines="0" w:line="576" w:lineRule="exact"/>
        <w:ind w:firstLine="640" w:firstLineChars="200"/>
        <w:textAlignment w:val="auto"/>
        <w:rPr>
          <w:rFonts w:ascii="Times New Roman"/>
          <w:sz w:val="32"/>
        </w:rPr>
      </w:pPr>
      <w:r>
        <w:rPr>
          <w:rFonts w:hint="eastAsia" w:ascii="Times New Roman"/>
          <w:sz w:val="32"/>
        </w:rPr>
        <w:t>2</w:t>
      </w:r>
      <w:r>
        <w:rPr>
          <w:rFonts w:hint="eastAsia" w:ascii="Times New Roman"/>
          <w:sz w:val="32"/>
          <w:lang w:val="en-US" w:eastAsia="zh-CN"/>
        </w:rPr>
        <w:t>5</w:t>
      </w:r>
      <w:r>
        <w:rPr>
          <w:rFonts w:hint="eastAsia" w:ascii="Times New Roman"/>
          <w:sz w:val="32"/>
        </w:rPr>
        <w:t>.农林水支出（213类）林业和草原（02款）林业草原防灾减灾（34项）2023年预算数为</w:t>
      </w:r>
      <w:r>
        <w:rPr>
          <w:rFonts w:hint="eastAsia" w:ascii="Times New Roman"/>
          <w:sz w:val="32"/>
          <w:lang w:val="en-US" w:eastAsia="zh-CN"/>
        </w:rPr>
        <w:t>18</w:t>
      </w:r>
      <w:r>
        <w:rPr>
          <w:rFonts w:hint="eastAsia" w:ascii="Times New Roman"/>
          <w:sz w:val="32"/>
        </w:rPr>
        <w:t>万元，主要用于森林草原防灭火支出。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2</w:t>
      </w:r>
      <w:r>
        <w:rPr>
          <w:rFonts w:hint="eastAsia"/>
          <w:lang w:val="en-US" w:eastAsia="zh-CN"/>
        </w:rPr>
        <w:t>6</w:t>
      </w:r>
      <w:r>
        <w:rPr>
          <w:rFonts w:hint="eastAsia"/>
        </w:rPr>
        <w:t>.农林水支出（213类）农村综合改革（07款）对村民委员会和党支部的补助（05项）2023年预算数为</w:t>
      </w:r>
      <w:r>
        <w:rPr>
          <w:rFonts w:hint="eastAsia"/>
          <w:lang w:val="en-US" w:eastAsia="zh-CN"/>
        </w:rPr>
        <w:t>290.50</w:t>
      </w:r>
      <w:r>
        <w:rPr>
          <w:rFonts w:hint="eastAsia"/>
        </w:rPr>
        <w:t>万元，主要用于：村干部人员工资、绩效等支出和公共运行维护费。</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2</w:t>
      </w:r>
      <w:r>
        <w:rPr>
          <w:rFonts w:hint="eastAsia"/>
          <w:lang w:val="en-US" w:eastAsia="zh-CN"/>
        </w:rPr>
        <w:t>7</w:t>
      </w:r>
      <w:r>
        <w:rPr>
          <w:rFonts w:hint="eastAsia"/>
        </w:rPr>
        <w:t>.农林水支出（213类）</w:t>
      </w:r>
      <w:r>
        <w:rPr>
          <w:rFonts w:hint="eastAsia"/>
          <w:lang w:val="en-US" w:eastAsia="zh-CN"/>
        </w:rPr>
        <w:t>其他农林水支出</w:t>
      </w:r>
      <w:r>
        <w:rPr>
          <w:rFonts w:hint="eastAsia"/>
        </w:rPr>
        <w:t>（</w:t>
      </w:r>
      <w:r>
        <w:rPr>
          <w:rFonts w:hint="eastAsia"/>
          <w:lang w:val="en-US" w:eastAsia="zh-CN"/>
        </w:rPr>
        <w:t>99</w:t>
      </w:r>
      <w:r>
        <w:rPr>
          <w:rFonts w:hint="eastAsia"/>
        </w:rPr>
        <w:t>款）</w:t>
      </w:r>
      <w:r>
        <w:rPr>
          <w:rFonts w:hint="eastAsia"/>
          <w:lang w:val="en-US" w:eastAsia="zh-CN"/>
        </w:rPr>
        <w:t>其他农林水支出</w:t>
      </w:r>
      <w:r>
        <w:rPr>
          <w:rFonts w:hint="eastAsia"/>
        </w:rPr>
        <w:t>（</w:t>
      </w:r>
      <w:r>
        <w:rPr>
          <w:rFonts w:hint="eastAsia"/>
          <w:lang w:val="en-US" w:eastAsia="zh-CN"/>
        </w:rPr>
        <w:t>99</w:t>
      </w:r>
      <w:r>
        <w:rPr>
          <w:rFonts w:hint="eastAsia"/>
        </w:rPr>
        <w:t>项）2023年预算数为</w:t>
      </w:r>
      <w:r>
        <w:rPr>
          <w:rFonts w:hint="eastAsia"/>
          <w:lang w:val="en-US" w:eastAsia="zh-CN"/>
        </w:rPr>
        <w:t>40.74</w:t>
      </w:r>
      <w:r>
        <w:rPr>
          <w:rFonts w:hint="eastAsia"/>
        </w:rPr>
        <w:t>万元，主要用于：村干部人员工资、绩效等支出和公共运行维护费。</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2</w:t>
      </w:r>
      <w:r>
        <w:rPr>
          <w:rFonts w:hint="eastAsia"/>
          <w:lang w:val="en-US" w:eastAsia="zh-CN"/>
        </w:rPr>
        <w:t>8</w:t>
      </w:r>
      <w:r>
        <w:rPr>
          <w:rFonts w:hint="eastAsia"/>
        </w:rPr>
        <w:t>.住房保障支出（221类）住房改革支出（02款）住房公积金（01项）2023年预算数为</w:t>
      </w:r>
      <w:r>
        <w:rPr>
          <w:rFonts w:hint="eastAsia"/>
          <w:lang w:val="en-US" w:eastAsia="zh-CN"/>
        </w:rPr>
        <w:t>72.71</w:t>
      </w:r>
      <w:r>
        <w:rPr>
          <w:rFonts w:hint="eastAsia"/>
        </w:rPr>
        <w:t>万元，主要用于：人员住房公积金支出。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eastAsia="黑体"/>
        </w:rPr>
      </w:pPr>
      <w:r>
        <w:rPr>
          <w:rFonts w:hint="eastAsia" w:eastAsia="黑体"/>
        </w:rPr>
        <w:t>七</w:t>
      </w:r>
      <w:r>
        <w:rPr>
          <w:rFonts w:eastAsia="黑体"/>
        </w:rPr>
        <w:t>、一般公共预算基本支出情况说明</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盐边县</w:t>
      </w:r>
      <w:r>
        <w:rPr>
          <w:rFonts w:hint="eastAsia"/>
          <w:lang w:eastAsia="zh-CN"/>
        </w:rPr>
        <w:t>共和乡</w:t>
      </w:r>
      <w:r>
        <w:rPr>
          <w:rFonts w:hint="eastAsia"/>
        </w:rPr>
        <w:t>人民政府</w:t>
      </w:r>
      <w:r>
        <w:t>202</w:t>
      </w:r>
      <w:r>
        <w:rPr>
          <w:rFonts w:hint="eastAsia"/>
        </w:rPr>
        <w:t>3</w:t>
      </w:r>
      <w:r>
        <w:t>年一般公共预算基本支出</w:t>
      </w:r>
      <w:r>
        <w:rPr>
          <w:rFonts w:hint="eastAsia"/>
          <w:lang w:val="en-US" w:eastAsia="zh-CN"/>
        </w:rPr>
        <w:t>1346.46</w:t>
      </w:r>
      <w:r>
        <w:t>万元，其中：人员经费</w:t>
      </w:r>
      <w:r>
        <w:rPr>
          <w:rFonts w:hint="eastAsia"/>
          <w:lang w:val="en-US" w:eastAsia="zh-CN"/>
        </w:rPr>
        <w:t>819.39</w:t>
      </w:r>
      <w:r>
        <w:t>万元，主要包括：基本工资</w:t>
      </w:r>
      <w:r>
        <w:rPr>
          <w:rFonts w:hint="eastAsia"/>
          <w:lang w:val="en-US" w:eastAsia="zh-CN"/>
        </w:rPr>
        <w:t>180.31</w:t>
      </w:r>
      <w:r>
        <w:rPr>
          <w:rFonts w:hint="eastAsia"/>
        </w:rPr>
        <w:t>万元</w:t>
      </w:r>
      <w:r>
        <w:t>、津贴补贴</w:t>
      </w:r>
      <w:r>
        <w:rPr>
          <w:rFonts w:hint="eastAsia"/>
          <w:lang w:val="en-US" w:eastAsia="zh-CN"/>
        </w:rPr>
        <w:t>117.06</w:t>
      </w:r>
      <w:r>
        <w:rPr>
          <w:rFonts w:hint="eastAsia"/>
        </w:rPr>
        <w:t>万元</w:t>
      </w:r>
      <w:r>
        <w:t>、奖金</w:t>
      </w:r>
      <w:r>
        <w:rPr>
          <w:rFonts w:hint="eastAsia"/>
          <w:lang w:val="en-US" w:eastAsia="zh-CN"/>
        </w:rPr>
        <w:t>82.18</w:t>
      </w:r>
      <w:r>
        <w:rPr>
          <w:rFonts w:hint="eastAsia"/>
        </w:rPr>
        <w:t>万</w:t>
      </w:r>
      <w:r>
        <w:rPr>
          <w:rFonts w:hint="eastAsia"/>
          <w:lang w:val="en-US" w:eastAsia="zh-CN"/>
        </w:rPr>
        <w:t>元</w:t>
      </w:r>
      <w:r>
        <w:t>、</w:t>
      </w:r>
      <w:r>
        <w:rPr>
          <w:rFonts w:hint="eastAsia"/>
        </w:rPr>
        <w:t>绩效工资</w:t>
      </w:r>
      <w:r>
        <w:rPr>
          <w:rFonts w:hint="eastAsia"/>
          <w:lang w:val="en-US" w:eastAsia="zh-CN"/>
        </w:rPr>
        <w:t>164.55</w:t>
      </w:r>
      <w:r>
        <w:rPr>
          <w:rFonts w:hint="eastAsia"/>
        </w:rPr>
        <w:t>万元、机关事业单位基本养老保险缴费</w:t>
      </w:r>
      <w:r>
        <w:rPr>
          <w:rFonts w:hint="eastAsia"/>
          <w:lang w:val="en-US" w:eastAsia="zh-CN"/>
        </w:rPr>
        <w:t>83.28</w:t>
      </w:r>
      <w:r>
        <w:rPr>
          <w:rFonts w:hint="eastAsia"/>
        </w:rPr>
        <w:t>万元、职工基本医疗保险缴费</w:t>
      </w:r>
      <w:r>
        <w:rPr>
          <w:rFonts w:hint="eastAsia"/>
          <w:lang w:val="en-US" w:eastAsia="zh-CN"/>
        </w:rPr>
        <w:t>47.49</w:t>
      </w:r>
      <w:r>
        <w:rPr>
          <w:rFonts w:hint="eastAsia"/>
        </w:rPr>
        <w:t>万元、公务员医疗补助</w:t>
      </w:r>
      <w:r>
        <w:rPr>
          <w:rFonts w:hint="eastAsia"/>
          <w:lang w:val="en-US" w:eastAsia="zh-CN"/>
        </w:rPr>
        <w:t>25.34</w:t>
      </w:r>
      <w:r>
        <w:rPr>
          <w:rFonts w:hint="eastAsia"/>
        </w:rPr>
        <w:t>万</w:t>
      </w:r>
      <w:r>
        <w:rPr>
          <w:rFonts w:hint="eastAsia"/>
          <w:lang w:val="en-US" w:eastAsia="zh-CN"/>
        </w:rPr>
        <w:t>元</w:t>
      </w:r>
      <w:r>
        <w:rPr>
          <w:rFonts w:hint="eastAsia"/>
        </w:rPr>
        <w:t>、其他保险缴费</w:t>
      </w:r>
      <w:r>
        <w:rPr>
          <w:rFonts w:hint="eastAsia"/>
          <w:lang w:val="en-US" w:eastAsia="zh-CN"/>
        </w:rPr>
        <w:t>3.43</w:t>
      </w:r>
      <w:r>
        <w:rPr>
          <w:rFonts w:hint="eastAsia"/>
        </w:rPr>
        <w:t>万元、住房公积金</w:t>
      </w:r>
      <w:r>
        <w:rPr>
          <w:rFonts w:hint="eastAsia"/>
          <w:lang w:val="en-US" w:eastAsia="zh-CN"/>
        </w:rPr>
        <w:t>72.71</w:t>
      </w:r>
      <w:r>
        <w:rPr>
          <w:rFonts w:hint="eastAsia"/>
        </w:rPr>
        <w:t>万元、医疗费</w:t>
      </w:r>
      <w:r>
        <w:rPr>
          <w:rFonts w:hint="eastAsia"/>
          <w:lang w:val="en-US" w:eastAsia="zh-CN"/>
        </w:rPr>
        <w:t>1.92</w:t>
      </w:r>
      <w:r>
        <w:rPr>
          <w:rFonts w:hint="eastAsia"/>
        </w:rPr>
        <w:t>万元、其他工资福利支出</w:t>
      </w:r>
      <w:r>
        <w:rPr>
          <w:rFonts w:hint="eastAsia"/>
          <w:lang w:val="en-US" w:eastAsia="zh-CN"/>
        </w:rPr>
        <w:t>41.12</w:t>
      </w:r>
      <w:r>
        <w:rPr>
          <w:rFonts w:hint="eastAsia"/>
        </w:rPr>
        <w:t>万元。</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t>公用经费</w:t>
      </w:r>
      <w:r>
        <w:rPr>
          <w:rFonts w:hint="eastAsia"/>
          <w:lang w:val="en-US" w:eastAsia="zh-CN"/>
        </w:rPr>
        <w:t>287.57</w:t>
      </w:r>
      <w:r>
        <w:t>万元，主要包括：办公费</w:t>
      </w:r>
      <w:r>
        <w:rPr>
          <w:rFonts w:hint="eastAsia"/>
          <w:lang w:val="en-US" w:eastAsia="zh-CN"/>
        </w:rPr>
        <w:t>41.1</w:t>
      </w:r>
      <w:r>
        <w:rPr>
          <w:rFonts w:hint="eastAsia"/>
        </w:rPr>
        <w:t>万元</w:t>
      </w:r>
      <w:r>
        <w:t>、</w:t>
      </w:r>
      <w:r>
        <w:rPr>
          <w:rFonts w:hint="eastAsia"/>
          <w:lang w:val="en-US" w:eastAsia="zh-CN"/>
        </w:rPr>
        <w:t>咨询费2万元、</w:t>
      </w:r>
      <w:r>
        <w:rPr>
          <w:rFonts w:hint="eastAsia"/>
        </w:rPr>
        <w:t>水费</w:t>
      </w:r>
      <w:r>
        <w:rPr>
          <w:rFonts w:hint="eastAsia"/>
          <w:lang w:val="en-US" w:eastAsia="zh-CN"/>
        </w:rPr>
        <w:t>1.84</w:t>
      </w:r>
      <w:r>
        <w:rPr>
          <w:rFonts w:hint="eastAsia"/>
        </w:rPr>
        <w:t>万元、电费</w:t>
      </w:r>
      <w:r>
        <w:rPr>
          <w:rFonts w:hint="eastAsia"/>
          <w:lang w:val="en-US" w:eastAsia="zh-CN"/>
        </w:rPr>
        <w:t>2.76</w:t>
      </w:r>
      <w:r>
        <w:rPr>
          <w:rFonts w:hint="eastAsia"/>
        </w:rPr>
        <w:t>万元、邮电费</w:t>
      </w:r>
      <w:r>
        <w:rPr>
          <w:rFonts w:hint="eastAsia"/>
          <w:lang w:val="en-US" w:eastAsia="zh-CN"/>
        </w:rPr>
        <w:t>1.84</w:t>
      </w:r>
      <w:r>
        <w:rPr>
          <w:rFonts w:hint="eastAsia"/>
        </w:rPr>
        <w:t>万元、</w:t>
      </w:r>
      <w:bookmarkStart w:id="0" w:name="_GoBack"/>
      <w:r>
        <w:rPr>
          <w:rFonts w:hint="eastAsia"/>
        </w:rPr>
        <w:t>差旅费</w:t>
      </w:r>
      <w:r>
        <w:rPr>
          <w:rFonts w:hint="eastAsia"/>
          <w:lang w:val="en-US" w:eastAsia="zh-CN"/>
        </w:rPr>
        <w:t>13.8</w:t>
      </w:r>
      <w:r>
        <w:rPr>
          <w:rFonts w:hint="eastAsia"/>
        </w:rPr>
        <w:t>万元、维修（护）费</w:t>
      </w:r>
      <w:r>
        <w:rPr>
          <w:rFonts w:hint="eastAsia"/>
          <w:lang w:val="en-US" w:eastAsia="zh-CN"/>
        </w:rPr>
        <w:t>2.93</w:t>
      </w:r>
      <w:r>
        <w:rPr>
          <w:rFonts w:hint="eastAsia"/>
        </w:rPr>
        <w:t>万元、会议费</w:t>
      </w:r>
      <w:r>
        <w:rPr>
          <w:rFonts w:hint="eastAsia"/>
          <w:lang w:val="en-US" w:eastAsia="zh-CN"/>
        </w:rPr>
        <w:t>4.36</w:t>
      </w:r>
      <w:r>
        <w:rPr>
          <w:rFonts w:hint="eastAsia"/>
        </w:rPr>
        <w:t>万元、</w:t>
      </w:r>
      <w:bookmarkEnd w:id="0"/>
      <w:r>
        <w:rPr>
          <w:rFonts w:hint="eastAsia"/>
        </w:rPr>
        <w:t>公务接待费0.</w:t>
      </w:r>
      <w:r>
        <w:rPr>
          <w:rFonts w:hint="eastAsia"/>
          <w:lang w:val="en-US" w:eastAsia="zh-CN"/>
        </w:rPr>
        <w:t>59</w:t>
      </w:r>
      <w:r>
        <w:rPr>
          <w:rFonts w:hint="eastAsia"/>
        </w:rPr>
        <w:t>万</w:t>
      </w:r>
      <w:r>
        <w:rPr>
          <w:rFonts w:hint="eastAsia"/>
          <w:lang w:val="en-US" w:eastAsia="zh-CN"/>
        </w:rPr>
        <w:t>元</w:t>
      </w:r>
      <w:r>
        <w:rPr>
          <w:rFonts w:hint="eastAsia"/>
        </w:rPr>
        <w:t>、劳务费</w:t>
      </w:r>
      <w:r>
        <w:rPr>
          <w:rFonts w:hint="eastAsia"/>
          <w:lang w:val="en-US" w:eastAsia="zh-CN"/>
        </w:rPr>
        <w:t>5.52</w:t>
      </w:r>
      <w:r>
        <w:rPr>
          <w:rFonts w:hint="eastAsia"/>
        </w:rPr>
        <w:t>万元、工会经费</w:t>
      </w:r>
      <w:r>
        <w:rPr>
          <w:rFonts w:hint="eastAsia"/>
          <w:lang w:val="en-US" w:eastAsia="zh-CN"/>
        </w:rPr>
        <w:t>10.76</w:t>
      </w:r>
      <w:r>
        <w:rPr>
          <w:rFonts w:hint="eastAsia"/>
        </w:rPr>
        <w:t>万元、福利费</w:t>
      </w:r>
      <w:r>
        <w:rPr>
          <w:rFonts w:hint="eastAsia"/>
          <w:lang w:val="en-US" w:eastAsia="zh-CN"/>
        </w:rPr>
        <w:t>5.07</w:t>
      </w:r>
      <w:r>
        <w:rPr>
          <w:rFonts w:hint="eastAsia"/>
        </w:rPr>
        <w:t>万元、公务用车运行维护费</w:t>
      </w:r>
      <w:r>
        <w:rPr>
          <w:rFonts w:hint="eastAsia"/>
          <w:lang w:val="en-US" w:eastAsia="zh-CN"/>
        </w:rPr>
        <w:t>4.45</w:t>
      </w:r>
      <w:r>
        <w:rPr>
          <w:rFonts w:hint="eastAsia"/>
        </w:rPr>
        <w:t>万元、其他交通费用</w:t>
      </w:r>
      <w:r>
        <w:rPr>
          <w:rFonts w:hint="eastAsia"/>
          <w:lang w:val="en-US" w:eastAsia="zh-CN"/>
        </w:rPr>
        <w:t>22.96</w:t>
      </w:r>
      <w:r>
        <w:rPr>
          <w:rFonts w:hint="eastAsia"/>
        </w:rPr>
        <w:t>万元、其他商品和服务支出</w:t>
      </w:r>
      <w:r>
        <w:rPr>
          <w:rFonts w:hint="eastAsia"/>
          <w:lang w:val="en-US" w:eastAsia="zh-CN"/>
        </w:rPr>
        <w:t>167.6</w:t>
      </w:r>
      <w:r>
        <w:rPr>
          <w:rFonts w:hint="eastAsia"/>
        </w:rPr>
        <w:t>万元。</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rPr>
      </w:pPr>
      <w:r>
        <w:rPr>
          <w:rFonts w:hint="eastAsia"/>
        </w:rPr>
        <w:t>对个人和家庭的补助</w:t>
      </w:r>
      <w:r>
        <w:rPr>
          <w:rFonts w:hint="eastAsia"/>
          <w:lang w:val="en-US" w:eastAsia="zh-CN"/>
        </w:rPr>
        <w:t>234</w:t>
      </w:r>
      <w:r>
        <w:rPr>
          <w:rFonts w:hint="eastAsia"/>
        </w:rPr>
        <w:t>万元，主要包括生活补助</w:t>
      </w:r>
      <w:r>
        <w:rPr>
          <w:rFonts w:hint="eastAsia"/>
          <w:lang w:val="en-US" w:eastAsia="zh-CN"/>
        </w:rPr>
        <w:t>225.81</w:t>
      </w:r>
      <w:r>
        <w:rPr>
          <w:rFonts w:hint="eastAsia"/>
        </w:rPr>
        <w:t>万元、医疗费补助</w:t>
      </w:r>
      <w:r>
        <w:rPr>
          <w:rFonts w:hint="eastAsia"/>
          <w:lang w:val="en-US" w:eastAsia="zh-CN"/>
        </w:rPr>
        <w:t>8.19</w:t>
      </w:r>
      <w:r>
        <w:rPr>
          <w:rFonts w:hint="eastAsia"/>
        </w:rPr>
        <w:t>万元。</w:t>
      </w:r>
    </w:p>
    <w:p>
      <w:pPr>
        <w:pStyle w:val="2"/>
        <w:keepNext w:val="0"/>
        <w:keepLines w:val="0"/>
        <w:pageBreakBefore w:val="0"/>
        <w:kinsoku/>
        <w:wordWrap/>
        <w:overflowPunct/>
        <w:topLinePunct w:val="0"/>
        <w:autoSpaceDE/>
        <w:autoSpaceDN/>
        <w:bidi w:val="0"/>
        <w:adjustRightInd/>
        <w:snapToGrid/>
        <w:spacing w:beforeLines="0" w:line="576" w:lineRule="exact"/>
        <w:ind w:firstLine="600" w:firstLineChars="200"/>
        <w:textAlignment w:val="auto"/>
        <w:rPr>
          <w:rFonts w:hint="eastAsia" w:eastAsia="仿宋_GB2312"/>
          <w:lang w:eastAsia="zh-CN"/>
        </w:rPr>
      </w:pPr>
      <w:r>
        <w:rPr>
          <w:rFonts w:hint="eastAsia"/>
          <w:lang w:val="en-US" w:eastAsia="zh-CN"/>
        </w:rPr>
        <w:t>其他支出5.5</w:t>
      </w:r>
      <w:r>
        <w:rPr>
          <w:rFonts w:hint="eastAsia"/>
        </w:rPr>
        <w:t>万元。</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eastAsia="黑体"/>
        </w:rPr>
      </w:pPr>
      <w:r>
        <w:rPr>
          <w:rFonts w:hint="eastAsia" w:eastAsia="黑体"/>
        </w:rPr>
        <w:t>八</w:t>
      </w:r>
      <w:r>
        <w:rPr>
          <w:rFonts w:eastAsia="黑体"/>
        </w:rPr>
        <w:t>、“三公”经费财政拨款预算安排情况说明</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盐边县</w:t>
      </w:r>
      <w:r>
        <w:rPr>
          <w:rFonts w:hint="eastAsia"/>
          <w:lang w:eastAsia="zh-CN"/>
        </w:rPr>
        <w:t>共和乡</w:t>
      </w:r>
      <w:r>
        <w:rPr>
          <w:rFonts w:hint="eastAsia"/>
        </w:rPr>
        <w:t>人民政府</w:t>
      </w:r>
      <w:r>
        <w:t>202</w:t>
      </w:r>
      <w:r>
        <w:rPr>
          <w:rFonts w:hint="eastAsia"/>
        </w:rPr>
        <w:t>3</w:t>
      </w:r>
      <w:r>
        <w:t>年“三公”经费财政拨款预算数</w:t>
      </w:r>
      <w:r>
        <w:rPr>
          <w:rFonts w:hint="eastAsia"/>
          <w:lang w:val="en-US" w:eastAsia="zh-CN"/>
        </w:rPr>
        <w:t>5.04</w:t>
      </w:r>
      <w:r>
        <w:t>万元，其中：因公出国（境）经费</w:t>
      </w:r>
      <w:r>
        <w:rPr>
          <w:rFonts w:hint="eastAsia"/>
        </w:rPr>
        <w:t>0</w:t>
      </w:r>
      <w:r>
        <w:t>万元，公务接待费</w:t>
      </w:r>
      <w:r>
        <w:rPr>
          <w:rFonts w:hint="eastAsia"/>
          <w:lang w:val="en-US" w:eastAsia="zh-CN"/>
        </w:rPr>
        <w:t>0.59</w:t>
      </w:r>
      <w:r>
        <w:t>万元，公务用车购置及运行维护费</w:t>
      </w:r>
      <w:r>
        <w:rPr>
          <w:rFonts w:hint="eastAsia"/>
          <w:lang w:val="en-US" w:eastAsia="zh-CN"/>
        </w:rPr>
        <w:t>4.45</w:t>
      </w:r>
      <w:r>
        <w:t>万元。</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t>（一）因公出国（境）经费较202</w:t>
      </w:r>
      <w:r>
        <w:rPr>
          <w:rFonts w:hint="eastAsia"/>
        </w:rPr>
        <w:t>3</w:t>
      </w:r>
      <w:r>
        <w:t>年预</w:t>
      </w:r>
      <w:r>
        <w:rPr>
          <w:rFonts w:hint="eastAsia"/>
        </w:rPr>
        <w:t>算与2022年持平。</w:t>
      </w:r>
      <w:r>
        <w:t>根据市外事侨务办（台办）批准的202</w:t>
      </w:r>
      <w:r>
        <w:rPr>
          <w:rFonts w:hint="eastAsia"/>
        </w:rPr>
        <w:t>2</w:t>
      </w:r>
      <w:r>
        <w:t>年因公临时出国（境）安排，拟安排出国（境）团组</w:t>
      </w:r>
      <w:r>
        <w:rPr>
          <w:rFonts w:hint="eastAsia"/>
        </w:rPr>
        <w:t>0</w:t>
      </w:r>
      <w:r>
        <w:t>次</w:t>
      </w:r>
      <w:r>
        <w:rPr>
          <w:rFonts w:hint="eastAsia"/>
        </w:rPr>
        <w:t>、0</w:t>
      </w:r>
      <w:r>
        <w:t>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t>（二）公务接待费</w:t>
      </w:r>
      <w:r>
        <w:rPr>
          <w:rFonts w:hint="eastAsia"/>
        </w:rPr>
        <w:t>与2022年</w:t>
      </w:r>
      <w:r>
        <w:rPr>
          <w:rFonts w:hint="eastAsia"/>
          <w:lang w:val="en-US" w:eastAsia="zh-CN"/>
        </w:rPr>
        <w:t>0.59</w:t>
      </w:r>
      <w:r>
        <w:rPr>
          <w:rFonts w:hint="eastAsia"/>
        </w:rPr>
        <w:t>万元持平。</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t>（三）公务用车购置及运行维护费较202</w:t>
      </w:r>
      <w:r>
        <w:rPr>
          <w:rFonts w:hint="eastAsia"/>
        </w:rPr>
        <w:t>2</w:t>
      </w:r>
      <w:r>
        <w:t>年预算</w:t>
      </w:r>
      <w:r>
        <w:rPr>
          <w:rFonts w:hint="eastAsia"/>
          <w:lang w:val="en-US" w:eastAsia="zh-CN"/>
        </w:rPr>
        <w:t>2.6</w:t>
      </w:r>
      <w:r>
        <w:rPr>
          <w:rFonts w:hint="eastAsia"/>
        </w:rPr>
        <w:t>万元增长</w:t>
      </w:r>
      <w:r>
        <w:rPr>
          <w:rFonts w:hint="eastAsia"/>
          <w:lang w:val="en-US" w:eastAsia="zh-CN"/>
        </w:rPr>
        <w:t>2.85</w:t>
      </w:r>
      <w:r>
        <w:rPr>
          <w:rFonts w:hint="eastAsia"/>
        </w:rPr>
        <w:t>万元，上浮</w:t>
      </w:r>
      <w:r>
        <w:rPr>
          <w:rFonts w:hint="eastAsia"/>
          <w:lang w:val="en-US" w:eastAsia="zh-CN"/>
        </w:rPr>
        <w:t>10</w:t>
      </w:r>
      <w:r>
        <w:t>%</w:t>
      </w:r>
      <w:r>
        <w:rPr>
          <w:rFonts w:hint="eastAsia"/>
        </w:rPr>
        <w:t>，主要原因为原油价格上涨，车辆老化维修费用高。</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盐边县</w:t>
      </w:r>
      <w:r>
        <w:rPr>
          <w:rFonts w:hint="eastAsia"/>
          <w:lang w:eastAsia="zh-CN"/>
        </w:rPr>
        <w:t>共和乡</w:t>
      </w:r>
      <w:r>
        <w:rPr>
          <w:rFonts w:hint="eastAsia"/>
        </w:rPr>
        <w:t>人民政府目前</w:t>
      </w:r>
      <w:r>
        <w:t>现有公务用车</w:t>
      </w:r>
      <w:r>
        <w:rPr>
          <w:rFonts w:hint="eastAsia"/>
          <w:lang w:val="en-US" w:eastAsia="zh-CN"/>
        </w:rPr>
        <w:t>1</w:t>
      </w:r>
      <w:r>
        <w:t>辆，其中：轿车</w:t>
      </w:r>
      <w:r>
        <w:rPr>
          <w:rFonts w:hint="eastAsia"/>
          <w:lang w:val="en-US" w:eastAsia="zh-CN"/>
        </w:rPr>
        <w:t>0</w:t>
      </w:r>
      <w:r>
        <w:t>辆，7座以上</w:t>
      </w:r>
      <w:r>
        <w:rPr>
          <w:rFonts w:hint="eastAsia"/>
          <w:lang w:val="en-US" w:eastAsia="zh-CN"/>
        </w:rPr>
        <w:t>0</w:t>
      </w:r>
      <w:r>
        <w:t>座（含19座）以下客车</w:t>
      </w:r>
      <w:r>
        <w:rPr>
          <w:rFonts w:hint="eastAsia"/>
        </w:rPr>
        <w:t>0</w:t>
      </w:r>
      <w:r>
        <w:t>辆，越野车</w:t>
      </w:r>
      <w:r>
        <w:rPr>
          <w:rFonts w:hint="eastAsia"/>
        </w:rPr>
        <w:t>1</w:t>
      </w:r>
      <w:r>
        <w:t>辆，</w:t>
      </w:r>
      <w:r>
        <w:rPr>
          <w:rFonts w:hint="eastAsia"/>
        </w:rPr>
        <w:t>特种作业车</w:t>
      </w:r>
      <w:r>
        <w:rPr>
          <w:rFonts w:hint="eastAsia"/>
          <w:lang w:val="en-US" w:eastAsia="zh-CN"/>
        </w:rPr>
        <w:t>0</w:t>
      </w:r>
      <w:r>
        <w:rPr>
          <w:rFonts w:hint="eastAsia"/>
        </w:rPr>
        <w:t>辆。</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t>202</w:t>
      </w:r>
      <w:r>
        <w:rPr>
          <w:rFonts w:hint="eastAsia"/>
        </w:rPr>
        <w:t>3</w:t>
      </w:r>
      <w:r>
        <w:t>年安排公务用车购置费</w:t>
      </w:r>
      <w:r>
        <w:rPr>
          <w:rFonts w:hint="eastAsia"/>
        </w:rPr>
        <w:t>0.00</w:t>
      </w:r>
      <w:r>
        <w:t>万元，购置公务用车</w:t>
      </w:r>
      <w:r>
        <w:rPr>
          <w:rFonts w:hint="eastAsia"/>
        </w:rPr>
        <w:t>0</w:t>
      </w:r>
      <w:r>
        <w:t>辆，其中：轿车（含7座以下商务车、城市越野车）</w:t>
      </w:r>
      <w:r>
        <w:rPr>
          <w:rFonts w:hint="eastAsia"/>
        </w:rPr>
        <w:t>0</w:t>
      </w:r>
      <w:r>
        <w:t>辆。</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t>202</w:t>
      </w:r>
      <w:r>
        <w:rPr>
          <w:rFonts w:hint="eastAsia"/>
        </w:rPr>
        <w:t>3</w:t>
      </w:r>
      <w:r>
        <w:t>年安排公务用车运行维护费</w:t>
      </w:r>
      <w:r>
        <w:rPr>
          <w:rFonts w:hint="eastAsia"/>
          <w:lang w:val="en-US" w:eastAsia="zh-CN"/>
        </w:rPr>
        <w:t>4.45</w:t>
      </w:r>
      <w:r>
        <w:t>万元，用于</w:t>
      </w:r>
      <w:r>
        <w:rPr>
          <w:rFonts w:hint="eastAsia"/>
        </w:rPr>
        <w:t>5</w:t>
      </w:r>
      <w:r>
        <w:t>辆公务用车</w:t>
      </w:r>
      <w:r>
        <w:rPr>
          <w:rFonts w:hint="eastAsia"/>
        </w:rPr>
        <w:t>油费、维修费、保险费</w:t>
      </w:r>
      <w:r>
        <w:t>等方面支出，主要保障</w:t>
      </w:r>
      <w:r>
        <w:rPr>
          <w:rFonts w:hint="eastAsia"/>
        </w:rPr>
        <w:t>公务用车正常使用。</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eastAsia="黑体"/>
        </w:rPr>
      </w:pPr>
      <w:r>
        <w:rPr>
          <w:rFonts w:hint="eastAsia" w:eastAsia="黑体"/>
        </w:rPr>
        <w:t>九</w:t>
      </w:r>
      <w:r>
        <w:rPr>
          <w:rFonts w:eastAsia="黑体"/>
        </w:rPr>
        <w:t>、政府性基金预算支出情况说明</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盐边县</w:t>
      </w:r>
      <w:r>
        <w:rPr>
          <w:rFonts w:hint="eastAsia"/>
          <w:lang w:eastAsia="zh-CN"/>
        </w:rPr>
        <w:t>共和乡</w:t>
      </w:r>
      <w:r>
        <w:rPr>
          <w:rFonts w:hint="eastAsia"/>
        </w:rPr>
        <w:t>人民政府</w:t>
      </w:r>
      <w:r>
        <w:t>202</w:t>
      </w:r>
      <w:r>
        <w:rPr>
          <w:rFonts w:hint="eastAsia"/>
        </w:rPr>
        <w:t>3</w:t>
      </w:r>
      <w:r>
        <w:t>年政府性基金预算支出</w:t>
      </w:r>
      <w:r>
        <w:rPr>
          <w:rFonts w:hint="eastAsia"/>
        </w:rPr>
        <w:t>0</w:t>
      </w:r>
      <w:r>
        <w:t>万元，其中：基本支出</w:t>
      </w:r>
      <w:r>
        <w:rPr>
          <w:rFonts w:hint="eastAsia"/>
        </w:rPr>
        <w:t>0</w:t>
      </w:r>
      <w:r>
        <w:t>万元，项目支出</w:t>
      </w:r>
      <w:r>
        <w:rPr>
          <w:rFonts w:hint="eastAsia"/>
        </w:rPr>
        <w:t>0</w:t>
      </w:r>
      <w:r>
        <w:t>万元。</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eastAsia="黑体"/>
        </w:rPr>
      </w:pPr>
      <w:r>
        <w:rPr>
          <w:rFonts w:hint="eastAsia" w:eastAsia="黑体"/>
        </w:rPr>
        <w:t>十</w:t>
      </w:r>
      <w:r>
        <w:rPr>
          <w:rFonts w:eastAsia="黑体"/>
        </w:rPr>
        <w:t>、其他重要事项的情况说明</w:t>
      </w:r>
    </w:p>
    <w:p>
      <w:pPr>
        <w:keepNext w:val="0"/>
        <w:keepLines w:val="0"/>
        <w:pageBreakBefore w:val="0"/>
        <w:numPr>
          <w:ilvl w:val="0"/>
          <w:numId w:val="0"/>
        </w:numPr>
        <w:kinsoku/>
        <w:wordWrap/>
        <w:overflowPunct/>
        <w:topLinePunct w:val="0"/>
        <w:autoSpaceDE/>
        <w:autoSpaceDN/>
        <w:bidi w:val="0"/>
        <w:adjustRightInd/>
        <w:snapToGrid/>
        <w:spacing w:line="576" w:lineRule="exact"/>
        <w:textAlignment w:val="auto"/>
        <w:rPr>
          <w:rFonts w:hint="eastAsia" w:ascii="方正楷体_GBK" w:hAnsi="方正楷体_GBK" w:eastAsia="方正楷体_GBK" w:cs="方正楷体_GBK"/>
          <w:b/>
          <w:bCs/>
          <w:sz w:val="33"/>
          <w:szCs w:val="33"/>
          <w:lang w:val="en-US" w:eastAsia="zh-CN"/>
        </w:rPr>
      </w:pPr>
      <w:r>
        <w:rPr>
          <w:rFonts w:hint="eastAsia" w:ascii="方正楷体_GBK" w:hAnsi="方正楷体_GBK" w:eastAsia="方正楷体_GBK" w:cs="方正楷体_GBK"/>
          <w:b/>
          <w:bCs/>
          <w:sz w:val="33"/>
          <w:szCs w:val="33"/>
          <w:lang w:val="en-US" w:eastAsia="zh-CN"/>
        </w:rPr>
        <w:t>（一）业务运行经费。</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t>202</w:t>
      </w:r>
      <w:r>
        <w:rPr>
          <w:rFonts w:hint="eastAsia"/>
        </w:rPr>
        <w:t>3</w:t>
      </w:r>
      <w:r>
        <w:t>年，</w:t>
      </w:r>
      <w:r>
        <w:rPr>
          <w:rFonts w:hint="eastAsia"/>
        </w:rPr>
        <w:t>盐边县</w:t>
      </w:r>
      <w:r>
        <w:rPr>
          <w:rFonts w:hint="eastAsia"/>
          <w:lang w:eastAsia="zh-CN"/>
        </w:rPr>
        <w:t>共和乡</w:t>
      </w:r>
      <w:r>
        <w:rPr>
          <w:rFonts w:hint="eastAsia"/>
        </w:rPr>
        <w:t>人民政府</w:t>
      </w:r>
      <w:r>
        <w:t>机关运行经费财政拨款预算为</w:t>
      </w:r>
      <w:r>
        <w:rPr>
          <w:rFonts w:hint="eastAsia"/>
          <w:lang w:val="en-US" w:eastAsia="zh-CN"/>
        </w:rPr>
        <w:t>117.26</w:t>
      </w:r>
      <w:r>
        <w:t>万元，</w:t>
      </w:r>
      <w:r>
        <w:rPr>
          <w:rFonts w:hint="eastAsia"/>
        </w:rPr>
        <w:t>较2022</w:t>
      </w:r>
      <w:r>
        <w:t>年预算</w:t>
      </w:r>
      <w:r>
        <w:rPr>
          <w:rFonts w:hint="eastAsia"/>
          <w:lang w:val="en-US" w:eastAsia="zh-CN"/>
        </w:rPr>
        <w:t>115.67</w:t>
      </w:r>
      <w:r>
        <w:rPr>
          <w:rFonts w:hint="eastAsia"/>
        </w:rPr>
        <w:t>万元增加</w:t>
      </w:r>
      <w:r>
        <w:rPr>
          <w:rFonts w:hint="eastAsia"/>
          <w:lang w:val="en-US" w:eastAsia="zh-CN"/>
        </w:rPr>
        <w:t>1.53</w:t>
      </w:r>
      <w:r>
        <w:rPr>
          <w:rFonts w:hint="eastAsia"/>
        </w:rPr>
        <w:t>万元，上浮</w:t>
      </w:r>
      <w:r>
        <w:rPr>
          <w:rFonts w:hint="eastAsia"/>
          <w:lang w:val="en-US" w:eastAsia="zh-CN"/>
        </w:rPr>
        <w:t>1.30</w:t>
      </w:r>
      <w:r>
        <w:t>%。</w:t>
      </w:r>
      <w:r>
        <w:rPr>
          <w:rFonts w:hint="eastAsia"/>
        </w:rPr>
        <w:t>主要用于办公及印刷费、邮电费、差旅费、会议费、福利费、日常维修费、专用材料及一般设备购置费、办公用房水电费、公务用车运行维护费以及其他费用等。</w:t>
      </w:r>
    </w:p>
    <w:p>
      <w:pPr>
        <w:keepNext w:val="0"/>
        <w:keepLines w:val="0"/>
        <w:pageBreakBefore w:val="0"/>
        <w:numPr>
          <w:ilvl w:val="0"/>
          <w:numId w:val="0"/>
        </w:numPr>
        <w:kinsoku/>
        <w:wordWrap/>
        <w:overflowPunct/>
        <w:topLinePunct w:val="0"/>
        <w:autoSpaceDE/>
        <w:autoSpaceDN/>
        <w:bidi w:val="0"/>
        <w:adjustRightInd/>
        <w:snapToGrid/>
        <w:spacing w:line="576" w:lineRule="exact"/>
        <w:textAlignment w:val="auto"/>
        <w:rPr>
          <w:rFonts w:hint="eastAsia" w:ascii="方正楷体_GBK" w:hAnsi="方正楷体_GBK" w:eastAsia="方正楷体_GBK" w:cs="方正楷体_GBK"/>
          <w:b/>
          <w:bCs/>
          <w:sz w:val="33"/>
          <w:szCs w:val="33"/>
          <w:lang w:val="en-US" w:eastAsia="zh-CN"/>
        </w:rPr>
      </w:pPr>
      <w:r>
        <w:rPr>
          <w:rFonts w:hint="eastAsia" w:ascii="方正楷体_GBK" w:hAnsi="方正楷体_GBK" w:eastAsia="方正楷体_GBK" w:cs="方正楷体_GBK"/>
          <w:b/>
          <w:bCs/>
          <w:sz w:val="33"/>
          <w:szCs w:val="33"/>
          <w:lang w:val="en-US" w:eastAsia="zh-CN"/>
        </w:rPr>
        <w:t>（二）国有资产占有使用情况。</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t>截至202</w:t>
      </w:r>
      <w:r>
        <w:rPr>
          <w:rFonts w:hint="eastAsia"/>
        </w:rPr>
        <w:t>2</w:t>
      </w:r>
      <w:r>
        <w:t>年底，</w:t>
      </w:r>
      <w:r>
        <w:rPr>
          <w:rFonts w:hint="eastAsia"/>
        </w:rPr>
        <w:t>盐边县</w:t>
      </w:r>
      <w:r>
        <w:rPr>
          <w:rFonts w:hint="eastAsia"/>
          <w:lang w:eastAsia="zh-CN"/>
        </w:rPr>
        <w:t>共和乡</w:t>
      </w:r>
      <w:r>
        <w:rPr>
          <w:rFonts w:hint="eastAsia"/>
        </w:rPr>
        <w:t>人民政府</w:t>
      </w:r>
      <w:r>
        <w:t>及所属的非独立核算单位共有车辆</w:t>
      </w:r>
      <w:r>
        <w:rPr>
          <w:rFonts w:hint="eastAsia"/>
        </w:rPr>
        <w:t>0</w:t>
      </w:r>
      <w:r>
        <w:t>辆，其中，执法执勤用车</w:t>
      </w:r>
      <w:r>
        <w:rPr>
          <w:rFonts w:hint="eastAsia"/>
        </w:rPr>
        <w:t>0</w:t>
      </w:r>
      <w:r>
        <w:t>辆。单位价值200万元以上大型设备</w:t>
      </w:r>
      <w:r>
        <w:rPr>
          <w:rFonts w:hint="eastAsia"/>
        </w:rPr>
        <w:t>0</w:t>
      </w:r>
      <w:r>
        <w:t>台。</w:t>
      </w:r>
      <w:r>
        <w:rPr>
          <w:rFonts w:hint="eastAsia"/>
        </w:rPr>
        <w:t>我</w:t>
      </w:r>
      <w:r>
        <w:rPr>
          <w:rFonts w:hint="eastAsia"/>
          <w:lang w:eastAsia="zh-CN"/>
        </w:rPr>
        <w:t>乡</w:t>
      </w:r>
      <w:r>
        <w:rPr>
          <w:rFonts w:hint="eastAsia"/>
        </w:rPr>
        <w:t>2023年年年初固定资产数为</w:t>
      </w:r>
      <w:r>
        <w:rPr>
          <w:rFonts w:hint="eastAsia"/>
          <w:lang w:val="en-US" w:eastAsia="zh-CN"/>
        </w:rPr>
        <w:t>730.48</w:t>
      </w:r>
      <w:r>
        <w:rPr>
          <w:rFonts w:hint="eastAsia"/>
        </w:rPr>
        <w:t>万元.</w:t>
      </w:r>
    </w:p>
    <w:p>
      <w:pPr>
        <w:keepNext w:val="0"/>
        <w:keepLines w:val="0"/>
        <w:pageBreakBefore w:val="0"/>
        <w:numPr>
          <w:ilvl w:val="0"/>
          <w:numId w:val="0"/>
        </w:numPr>
        <w:kinsoku/>
        <w:wordWrap/>
        <w:overflowPunct/>
        <w:topLinePunct w:val="0"/>
        <w:autoSpaceDE/>
        <w:autoSpaceDN/>
        <w:bidi w:val="0"/>
        <w:adjustRightInd/>
        <w:snapToGrid/>
        <w:spacing w:line="576" w:lineRule="exact"/>
        <w:textAlignment w:val="auto"/>
        <w:rPr>
          <w:rFonts w:hint="eastAsia" w:ascii="方正楷体_GBK" w:hAnsi="方正楷体_GBK" w:eastAsia="方正楷体_GBK" w:cs="方正楷体_GBK"/>
          <w:b/>
          <w:bCs/>
          <w:sz w:val="33"/>
          <w:szCs w:val="33"/>
          <w:lang w:val="en-US" w:eastAsia="zh-CN"/>
        </w:rPr>
      </w:pPr>
      <w:r>
        <w:rPr>
          <w:rFonts w:hint="eastAsia" w:ascii="方正楷体_GBK" w:hAnsi="方正楷体_GBK" w:eastAsia="方正楷体_GBK" w:cs="方正楷体_GBK"/>
          <w:b/>
          <w:bCs/>
          <w:sz w:val="33"/>
          <w:szCs w:val="33"/>
          <w:lang w:val="en-US" w:eastAsia="zh-CN"/>
        </w:rPr>
        <w:t>（三）项目预算绩效管理。</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eastAsia="楷体_GB2312"/>
        </w:rPr>
      </w:pPr>
      <w:r>
        <w:t>202</w:t>
      </w:r>
      <w:r>
        <w:rPr>
          <w:rFonts w:hint="eastAsia"/>
        </w:rPr>
        <w:t>3</w:t>
      </w:r>
      <w:r>
        <w:t>年</w:t>
      </w:r>
      <w:r>
        <w:rPr>
          <w:rFonts w:hint="eastAsia"/>
        </w:rPr>
        <w:t>盐边县</w:t>
      </w:r>
      <w:r>
        <w:rPr>
          <w:rFonts w:hint="eastAsia"/>
          <w:lang w:eastAsia="zh-CN"/>
        </w:rPr>
        <w:t>共和乡</w:t>
      </w:r>
      <w:r>
        <w:rPr>
          <w:rFonts w:hint="eastAsia"/>
        </w:rPr>
        <w:t>人民政府</w:t>
      </w:r>
      <w:r>
        <w:t>部门</w:t>
      </w:r>
      <w:r>
        <w:rPr>
          <w:rFonts w:hint="eastAsia"/>
        </w:rPr>
        <w:t>预算</w:t>
      </w:r>
      <w:r>
        <w:t>项目</w:t>
      </w:r>
      <w:r>
        <w:rPr>
          <w:rFonts w:hint="eastAsia"/>
        </w:rPr>
        <w:t>共计1</w:t>
      </w:r>
      <w:r>
        <w:rPr>
          <w:rFonts w:hint="eastAsia"/>
          <w:lang w:val="en-US" w:eastAsia="zh-CN"/>
        </w:rPr>
        <w:t>5</w:t>
      </w:r>
      <w:r>
        <w:rPr>
          <w:rFonts w:hint="eastAsia"/>
        </w:rPr>
        <w:t>个，</w:t>
      </w:r>
      <w:r>
        <w:t>均按要求实行绩效目标管理，涉及一般公共预算当年拨款</w:t>
      </w:r>
      <w:r>
        <w:rPr>
          <w:rFonts w:hint="eastAsia"/>
        </w:rPr>
        <w:t>项目</w:t>
      </w:r>
      <w:r>
        <w:rPr>
          <w:rFonts w:hint="eastAsia"/>
          <w:lang w:val="en-US" w:eastAsia="zh-CN"/>
        </w:rPr>
        <w:t>222.14</w:t>
      </w:r>
      <w:r>
        <w:t>万元</w:t>
      </w:r>
      <w:r>
        <w:rPr>
          <w:rFonts w:hint="eastAsia"/>
        </w:rPr>
        <w:t>，国有资本经营预算项目</w:t>
      </w:r>
      <w:r>
        <w:rPr>
          <w:rFonts w:hint="eastAsia"/>
          <w:lang w:val="en-US" w:eastAsia="zh-CN"/>
        </w:rPr>
        <w:t>0</w:t>
      </w:r>
      <w:r>
        <w:rPr>
          <w:rFonts w:hint="eastAsia"/>
        </w:rPr>
        <w:t>万元。分别为：（1）</w:t>
      </w:r>
      <w:r>
        <w:rPr>
          <w:rFonts w:hint="eastAsia"/>
          <w:lang w:eastAsia="zh-CN"/>
        </w:rPr>
        <w:t>共和乡</w:t>
      </w:r>
      <w:r>
        <w:rPr>
          <w:rFonts w:hint="eastAsia"/>
        </w:rPr>
        <w:t>2023年人大代表活动经费及人大会议费</w:t>
      </w:r>
      <w:r>
        <w:rPr>
          <w:rFonts w:hint="eastAsia"/>
          <w:lang w:val="en-US" w:eastAsia="zh-CN"/>
        </w:rPr>
        <w:t>3.15</w:t>
      </w:r>
      <w:r>
        <w:rPr>
          <w:rFonts w:hint="eastAsia"/>
        </w:rPr>
        <w:t>万元、（2）乡村治理补助</w:t>
      </w:r>
      <w:r>
        <w:rPr>
          <w:rFonts w:hint="eastAsia"/>
          <w:lang w:val="en-US" w:eastAsia="zh-CN"/>
        </w:rPr>
        <w:t>1.22</w:t>
      </w:r>
      <w:r>
        <w:rPr>
          <w:rFonts w:hint="eastAsia"/>
        </w:rPr>
        <w:t>万元、（3）少数民族工作经费</w:t>
      </w:r>
      <w:r>
        <w:rPr>
          <w:rFonts w:hint="eastAsia"/>
          <w:lang w:val="en-US" w:eastAsia="zh-CN"/>
        </w:rPr>
        <w:t>0.59</w:t>
      </w:r>
      <w:r>
        <w:rPr>
          <w:rFonts w:hint="eastAsia"/>
        </w:rPr>
        <w:t>万元、（4）基本公共卫生服务经费</w:t>
      </w:r>
      <w:r>
        <w:rPr>
          <w:rFonts w:hint="eastAsia"/>
          <w:lang w:val="en-US" w:eastAsia="zh-CN"/>
        </w:rPr>
        <w:t>3.04</w:t>
      </w:r>
      <w:r>
        <w:rPr>
          <w:rFonts w:hint="eastAsia"/>
        </w:rPr>
        <w:t>万元、（5）敬老院人员经费</w:t>
      </w:r>
      <w:r>
        <w:rPr>
          <w:rFonts w:hint="eastAsia"/>
          <w:lang w:val="en-US" w:eastAsia="zh-CN"/>
        </w:rPr>
        <w:t>20.62</w:t>
      </w:r>
      <w:r>
        <w:rPr>
          <w:rFonts w:hint="eastAsia"/>
        </w:rPr>
        <w:t>万元、（6）敬老院工作经费</w:t>
      </w:r>
      <w:r>
        <w:rPr>
          <w:rFonts w:hint="eastAsia"/>
          <w:lang w:val="en-US" w:eastAsia="zh-CN"/>
        </w:rPr>
        <w:t>1.3</w:t>
      </w:r>
      <w:r>
        <w:rPr>
          <w:rFonts w:hint="eastAsia"/>
        </w:rPr>
        <w:t>万元、（7）农村特困人员经费</w:t>
      </w:r>
      <w:r>
        <w:rPr>
          <w:rFonts w:hint="eastAsia"/>
          <w:lang w:val="en-US" w:eastAsia="zh-CN"/>
        </w:rPr>
        <w:t>25.7</w:t>
      </w:r>
      <w:r>
        <w:rPr>
          <w:rFonts w:hint="eastAsia"/>
        </w:rPr>
        <w:t>万元、（8）</w:t>
      </w:r>
      <w:r>
        <w:rPr>
          <w:rFonts w:hint="eastAsia"/>
          <w:lang w:eastAsia="zh-CN"/>
        </w:rPr>
        <w:t>乡</w:t>
      </w:r>
      <w:r>
        <w:rPr>
          <w:rFonts w:hint="eastAsia"/>
        </w:rPr>
        <w:t>社工服务站经费3万元、（9）盐财资建〔2022〕226号文件关于下达2022年全省村（社区）森林防灭火奖补资金</w:t>
      </w:r>
      <w:r>
        <w:rPr>
          <w:rFonts w:hint="eastAsia"/>
          <w:lang w:val="en-US" w:eastAsia="zh-CN"/>
        </w:rPr>
        <w:t>18</w:t>
      </w:r>
      <w:r>
        <w:rPr>
          <w:rFonts w:hint="eastAsia"/>
        </w:rPr>
        <w:t>万元、（10）盐财资预〔2022〕124号2022年市县级基层组织活动和公共服务运行经费</w:t>
      </w:r>
      <w:r>
        <w:rPr>
          <w:rFonts w:hint="eastAsia"/>
          <w:lang w:val="en-US" w:eastAsia="zh-CN"/>
        </w:rPr>
        <w:t>17</w:t>
      </w:r>
      <w:r>
        <w:rPr>
          <w:rFonts w:hint="eastAsia"/>
        </w:rPr>
        <w:t>万元、（11）盐财资预【2023】5号关于下达2023年基层组织活动和公共服务运行经费的（省县级）</w:t>
      </w:r>
      <w:r>
        <w:rPr>
          <w:rFonts w:hint="eastAsia"/>
          <w:lang w:val="en-US" w:eastAsia="zh-CN"/>
        </w:rPr>
        <w:t>79</w:t>
      </w:r>
      <w:r>
        <w:rPr>
          <w:rFonts w:hint="eastAsia"/>
        </w:rPr>
        <w:t>万元、（12）根据盐财资行【2022】125号关于下达2022年省级农村综合改革转移支付资金（省级资金）资金</w:t>
      </w:r>
      <w:r>
        <w:rPr>
          <w:rFonts w:hint="eastAsia"/>
          <w:lang w:val="en-US" w:eastAsia="zh-CN"/>
        </w:rPr>
        <w:t>40.74</w:t>
      </w:r>
      <w:r>
        <w:rPr>
          <w:rFonts w:hint="eastAsia"/>
        </w:rPr>
        <w:t>万元、（1</w:t>
      </w:r>
      <w:r>
        <w:rPr>
          <w:rFonts w:hint="eastAsia"/>
          <w:lang w:val="en-US" w:eastAsia="zh-CN"/>
        </w:rPr>
        <w:t>3</w:t>
      </w:r>
      <w:r>
        <w:rPr>
          <w:rFonts w:hint="eastAsia"/>
        </w:rPr>
        <w:t>）根据盐财资行【2022】508号关于下达乡镇便民服务中心“三化”建设经费（共和乡）资金</w:t>
      </w:r>
      <w:r>
        <w:rPr>
          <w:rFonts w:hint="eastAsia"/>
          <w:lang w:val="en-US" w:eastAsia="zh-CN"/>
        </w:rPr>
        <w:t>5</w:t>
      </w:r>
      <w:r>
        <w:rPr>
          <w:rFonts w:hint="eastAsia"/>
        </w:rPr>
        <w:t>万元、（1</w:t>
      </w:r>
      <w:r>
        <w:rPr>
          <w:rFonts w:hint="eastAsia"/>
          <w:lang w:val="en-US" w:eastAsia="zh-CN"/>
        </w:rPr>
        <w:t>4</w:t>
      </w:r>
      <w:r>
        <w:rPr>
          <w:rFonts w:hint="eastAsia"/>
        </w:rPr>
        <w:t>）根据盐财资行【2022】524号下达2022年中央支持地方公共文化服务体系建设补助资金共和乡资金</w:t>
      </w:r>
      <w:r>
        <w:rPr>
          <w:rFonts w:hint="eastAsia"/>
          <w:lang w:val="en-US" w:eastAsia="zh-CN"/>
        </w:rPr>
        <w:t>3</w:t>
      </w:r>
      <w:r>
        <w:rPr>
          <w:rFonts w:hint="eastAsia"/>
        </w:rPr>
        <w:t>万元、（1</w:t>
      </w:r>
      <w:r>
        <w:rPr>
          <w:rFonts w:hint="eastAsia"/>
          <w:lang w:val="en-US" w:eastAsia="zh-CN"/>
        </w:rPr>
        <w:t>5</w:t>
      </w:r>
      <w:r>
        <w:rPr>
          <w:rFonts w:hint="eastAsia"/>
        </w:rPr>
        <w:t>）根据盐财资行〔2022〕363号关于下达2022年中央纪检监察转移支付资金0.</w:t>
      </w:r>
      <w:r>
        <w:rPr>
          <w:rFonts w:hint="eastAsia"/>
          <w:lang w:val="en-US" w:eastAsia="zh-CN"/>
        </w:rPr>
        <w:t>61</w:t>
      </w:r>
      <w:r>
        <w:rPr>
          <w:rFonts w:hint="eastAsia"/>
        </w:rPr>
        <w:t>万元</w:t>
      </w:r>
      <w:r>
        <w:rPr>
          <w:rFonts w:hint="eastAsia"/>
          <w:lang w:eastAsia="zh-CN"/>
        </w:rPr>
        <w:t>。</w:t>
      </w:r>
      <w:r>
        <w:rPr>
          <w:rFonts w:hint="eastAsia" w:ascii="方正楷体_GBK" w:hAnsi="方正楷体_GBK" w:eastAsia="方正楷体_GBK" w:cs="方正楷体_GBK"/>
          <w:b/>
          <w:bCs/>
          <w:sz w:val="33"/>
          <w:szCs w:val="33"/>
          <w:lang w:val="en-US" w:eastAsia="zh-CN"/>
        </w:rPr>
        <w:t>（四）政府采购安排情况</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pPr>
      <w:r>
        <w:rPr>
          <w:rFonts w:hint="eastAsia"/>
        </w:rPr>
        <w:t>盐边县</w:t>
      </w:r>
      <w:r>
        <w:rPr>
          <w:rFonts w:hint="eastAsia"/>
          <w:lang w:eastAsia="zh-CN"/>
        </w:rPr>
        <w:t>共和乡</w:t>
      </w:r>
      <w:r>
        <w:rPr>
          <w:rFonts w:hint="eastAsia"/>
        </w:rPr>
        <w:t>人民政府2023年未安排政府采购。</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eastAsia="黑体"/>
        </w:rPr>
      </w:pPr>
      <w:r>
        <w:rPr>
          <w:rFonts w:eastAsia="黑体"/>
        </w:rPr>
        <w:t>十</w:t>
      </w:r>
      <w:r>
        <w:rPr>
          <w:rFonts w:hint="eastAsia" w:eastAsia="黑体"/>
        </w:rPr>
        <w:t>一</w:t>
      </w:r>
      <w:r>
        <w:rPr>
          <w:rFonts w:eastAsia="黑体"/>
        </w:rPr>
        <w:t>、名词解释</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b/>
        </w:rPr>
        <w:t>1.一般公共预算拨款收入：</w:t>
      </w:r>
      <w:r>
        <w:t>指县级财政当年拨付的资金。</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rPr>
        <w:t>2.一般公共服务（201类）人大事务（01款）行政运行（01项）：</w:t>
      </w:r>
      <w:r>
        <w:rPr>
          <w:rFonts w:hint="eastAsia"/>
        </w:rPr>
        <w:t>指反映行政单位（包括实行公务员管理的事业单位）的基本支出。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rPr>
        <w:t>3.一般公共服务（201类）人大事务（01款）人大会议（04项）：</w:t>
      </w:r>
      <w:r>
        <w:rPr>
          <w:rFonts w:hint="eastAsia"/>
        </w:rPr>
        <w:t>指反映各级人大召开人民代表大会等专门会议的支出。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rPr>
        <w:t>4.一般公共服务（201类）政府办公厅（室）及相关机构事务（03款）行政运行（01项）：</w:t>
      </w:r>
      <w:r>
        <w:rPr>
          <w:rFonts w:hint="eastAsia"/>
        </w:rPr>
        <w:t>指反映行政单位（包括实行公务员管理的事业单位）的基本支出。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rPr>
        <w:t>5.一般公共服务（201类）政府办公厅（室）及相关机构事务（03款）一般行政管理事务（02项）：</w:t>
      </w:r>
      <w:r>
        <w:rPr>
          <w:rFonts w:hint="eastAsia"/>
        </w:rPr>
        <w:t>指反映行政单位（包括实行公务员管理的事业单位）未单独设置项级科目的其他项目支出。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rPr>
        <w:t>6.一般公共服务（201类）政府办公厅（室）及相关机构事务（03款）事业运行（</w:t>
      </w:r>
      <w:r>
        <w:rPr>
          <w:rFonts w:hint="eastAsia"/>
          <w:b/>
          <w:bCs/>
          <w:lang w:val="en-US" w:eastAsia="zh-CN"/>
        </w:rPr>
        <w:t>50</w:t>
      </w:r>
      <w:r>
        <w:rPr>
          <w:rFonts w:hint="eastAsia"/>
          <w:b/>
          <w:bCs/>
        </w:rPr>
        <w:t>项）：</w:t>
      </w:r>
      <w:r>
        <w:rPr>
          <w:rFonts w:hint="eastAsia"/>
        </w:rPr>
        <w:t>指反映事业单位的基本支出，不包括行政单位（包括实行公务员管理的事业单位）后勤服务中心，医务室等附属事业单位。</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rPr>
      </w:pPr>
      <w:r>
        <w:rPr>
          <w:rFonts w:hint="eastAsia"/>
          <w:b/>
          <w:bCs/>
        </w:rPr>
        <w:t>7.一般公共服务（201类）财政事务（</w:t>
      </w:r>
      <w:r>
        <w:rPr>
          <w:rFonts w:hint="eastAsia"/>
          <w:b/>
          <w:bCs/>
          <w:lang w:val="en-US" w:eastAsia="zh-CN"/>
        </w:rPr>
        <w:t>11</w:t>
      </w:r>
      <w:r>
        <w:rPr>
          <w:rFonts w:hint="eastAsia"/>
          <w:b/>
          <w:bCs/>
        </w:rPr>
        <w:t>款）行政运行（01项）：</w:t>
      </w:r>
      <w:r>
        <w:rPr>
          <w:rFonts w:hint="eastAsia"/>
        </w:rPr>
        <w:t>指反映行政单位（包括实行公务员管理的事业单位）的基本支出。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8</w:t>
      </w:r>
      <w:r>
        <w:rPr>
          <w:rFonts w:hint="eastAsia"/>
          <w:b/>
          <w:bCs/>
        </w:rPr>
        <w:t>.一般公共服务（201类纪委监察事务支出（11款）其他纪委监察事务支出（99项）：</w:t>
      </w:r>
      <w:r>
        <w:rPr>
          <w:rFonts w:hint="eastAsia"/>
          <w:lang w:val="en-US" w:eastAsia="zh-CN"/>
        </w:rPr>
        <w:t>指反映除上述项目以外其他纪委监察事务方面支出</w:t>
      </w:r>
      <w:r>
        <w:rPr>
          <w:rFonts w:hint="eastAsia"/>
        </w:rPr>
        <w:t>。</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9</w:t>
      </w:r>
      <w:r>
        <w:rPr>
          <w:rFonts w:hint="eastAsia"/>
          <w:b/>
          <w:bCs/>
        </w:rPr>
        <w:t>.一般公共服务（201类）民族事务（23款）民族工作专项（0</w:t>
      </w:r>
      <w:r>
        <w:rPr>
          <w:rFonts w:hint="eastAsia"/>
          <w:b/>
          <w:bCs/>
          <w:lang w:val="en-US" w:eastAsia="zh-CN"/>
        </w:rPr>
        <w:t>1</w:t>
      </w:r>
      <w:r>
        <w:rPr>
          <w:rFonts w:hint="eastAsia"/>
          <w:b/>
          <w:bCs/>
        </w:rPr>
        <w:t>项）：</w:t>
      </w:r>
      <w:r>
        <w:rPr>
          <w:rFonts w:hint="eastAsia"/>
        </w:rPr>
        <w:t>指反映用于民族事业管理方面的专项支出。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10</w:t>
      </w:r>
      <w:r>
        <w:rPr>
          <w:rFonts w:hint="eastAsia"/>
          <w:b/>
          <w:bCs/>
        </w:rPr>
        <w:t>.一般公共服务（201类）党委办公厅（室）及相关机构事务（31款）行政运行（01项）：</w:t>
      </w:r>
      <w:r>
        <w:rPr>
          <w:rFonts w:hint="eastAsia"/>
        </w:rPr>
        <w:t>指反映行政单位（包括实行公务员管理的事业单位）的基本支出。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rPr>
      </w:pPr>
      <w:r>
        <w:rPr>
          <w:rFonts w:hint="eastAsia"/>
          <w:b/>
          <w:bCs/>
          <w:lang w:val="en-US" w:eastAsia="zh-CN"/>
        </w:rPr>
        <w:t>11</w:t>
      </w:r>
      <w:r>
        <w:rPr>
          <w:rFonts w:hint="eastAsia"/>
          <w:b/>
          <w:bCs/>
        </w:rPr>
        <w:t>.文化旅游体育与传媒（207类）文化和旅游（01款）群众文化（09项）：</w:t>
      </w:r>
      <w:r>
        <w:rPr>
          <w:rFonts w:hint="eastAsia"/>
        </w:rPr>
        <w:t>指反映群众文化方面的支出，包括基层文化馆（站）、群众艺术馆支出等。</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lang w:eastAsia="zh-CN"/>
        </w:rPr>
      </w:pPr>
      <w:r>
        <w:rPr>
          <w:rFonts w:hint="eastAsia"/>
          <w:b/>
          <w:bCs/>
          <w:lang w:val="en-US" w:eastAsia="zh-CN"/>
        </w:rPr>
        <w:t>12</w:t>
      </w:r>
      <w:r>
        <w:rPr>
          <w:rFonts w:hint="eastAsia"/>
          <w:b/>
          <w:bCs/>
        </w:rPr>
        <w:t>.文化旅游体育与传媒（207类）文化和旅游（01款）</w:t>
      </w:r>
      <w:r>
        <w:rPr>
          <w:rFonts w:hint="eastAsia"/>
          <w:b/>
          <w:bCs/>
          <w:lang w:val="en-US" w:eastAsia="zh-CN"/>
        </w:rPr>
        <w:t>其他</w:t>
      </w:r>
      <w:r>
        <w:rPr>
          <w:rFonts w:hint="eastAsia"/>
          <w:b/>
          <w:bCs/>
        </w:rPr>
        <w:t>群众文化（</w:t>
      </w:r>
      <w:r>
        <w:rPr>
          <w:rFonts w:hint="eastAsia"/>
          <w:b/>
          <w:bCs/>
          <w:lang w:val="en-US" w:eastAsia="zh-CN"/>
        </w:rPr>
        <w:t>99</w:t>
      </w:r>
      <w:r>
        <w:rPr>
          <w:rFonts w:hint="eastAsia"/>
          <w:b/>
          <w:bCs/>
        </w:rPr>
        <w:t>项）：</w:t>
      </w:r>
      <w:r>
        <w:rPr>
          <w:rFonts w:hint="eastAsia"/>
        </w:rPr>
        <w:t>指反映除上述项目以外其他群众文化事务方面支出</w:t>
      </w:r>
      <w:r>
        <w:rPr>
          <w:rFonts w:hint="eastAsia"/>
          <w:lang w:eastAsia="zh-CN"/>
        </w:rPr>
        <w:t>。</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13</w:t>
      </w:r>
      <w:r>
        <w:rPr>
          <w:rFonts w:hint="eastAsia"/>
          <w:b/>
          <w:bCs/>
        </w:rPr>
        <w:t>.社会保障和就业支出（208类）人力资源和社会保障管理（01款）社会保险经办机构（09项）：</w:t>
      </w:r>
      <w:r>
        <w:rPr>
          <w:rFonts w:hint="eastAsia"/>
        </w:rPr>
        <w:t>指反映社会保险经办机构开展业务工作的支出。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14</w:t>
      </w:r>
      <w:r>
        <w:rPr>
          <w:rFonts w:hint="eastAsia"/>
          <w:b/>
          <w:bCs/>
        </w:rPr>
        <w:t>.社会保障和就业支出（208类）人力资源和社会保障管理（01款）其他人力资源和社会保障管理事务支出（99项）：</w:t>
      </w:r>
      <w:r>
        <w:rPr>
          <w:rFonts w:hint="eastAsia"/>
        </w:rPr>
        <w:t>指反映除上述项目以外其他用于人力资源和社会保障管理事务方面的支出。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15</w:t>
      </w:r>
      <w:r>
        <w:rPr>
          <w:rFonts w:hint="eastAsia"/>
          <w:b/>
          <w:bCs/>
        </w:rPr>
        <w:t>.社会保障和就业支出（208类）民政管理事务（02款）基层政权建设和社区治理（08项）：</w:t>
      </w:r>
      <w:r>
        <w:rPr>
          <w:rFonts w:hint="eastAsia"/>
        </w:rPr>
        <w:t>指反映开展城乡社区治理、城乡社区服务（乡村便民服务）、村（居）民自治、村（居）务公开、</w:t>
      </w:r>
      <w:r>
        <w:rPr>
          <w:rFonts w:hint="eastAsia"/>
          <w:lang w:eastAsia="zh-CN"/>
        </w:rPr>
        <w:t>乡</w:t>
      </w:r>
      <w:r>
        <w:rPr>
          <w:rFonts w:hint="eastAsia"/>
        </w:rPr>
        <w:t>（街道）服务能力建设等基层政权建设和社区治理工作的支出。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16</w:t>
      </w:r>
      <w:r>
        <w:rPr>
          <w:rFonts w:hint="eastAsia"/>
          <w:b/>
          <w:bCs/>
        </w:rPr>
        <w:t>.社会保障和就业支出（208类）民政管理事务（02款）其他民政管理事务支出（99项）：</w:t>
      </w:r>
      <w:r>
        <w:rPr>
          <w:rFonts w:hint="eastAsia"/>
        </w:rPr>
        <w:t>指反映除上述项目以外其他用于民政管理事务的支出。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17</w:t>
      </w:r>
      <w:r>
        <w:rPr>
          <w:rFonts w:hint="eastAsia"/>
          <w:b/>
          <w:bCs/>
        </w:rPr>
        <w:t>.社会保障和就业支出（208类）行政事业单位养老支出（05款）行政单位离退休（01项）：</w:t>
      </w:r>
      <w:r>
        <w:rPr>
          <w:rFonts w:hint="eastAsia"/>
        </w:rPr>
        <w:t>指反映行政单位（包括实行公务员管理的事业单位）开支的离退休经费。</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18</w:t>
      </w:r>
      <w:r>
        <w:rPr>
          <w:rFonts w:hint="eastAsia"/>
          <w:b/>
          <w:bCs/>
        </w:rPr>
        <w:t>.社会保障和就业支出（208类）行政事业单位养老支出（05款）事业单位离退休（02项）：</w:t>
      </w:r>
      <w:r>
        <w:rPr>
          <w:rFonts w:hint="eastAsia"/>
        </w:rPr>
        <w:t>指反映事业单位开支的离退休经费。</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19</w:t>
      </w:r>
      <w:r>
        <w:rPr>
          <w:rFonts w:hint="eastAsia"/>
          <w:b/>
          <w:bCs/>
        </w:rPr>
        <w:t>.社会保障和就业支出（208类）行政事业单位养老支出（05款）机关事业单位基本养老保险缴费支出（05项）：</w:t>
      </w:r>
      <w:r>
        <w:rPr>
          <w:rFonts w:hint="eastAsia"/>
        </w:rPr>
        <w:t>指反映机关事业单位实施养老保险制度由单位缴纳的基本养老保险费支出。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20</w:t>
      </w:r>
      <w:r>
        <w:rPr>
          <w:rFonts w:hint="eastAsia"/>
          <w:b/>
          <w:bCs/>
        </w:rPr>
        <w:t>.社会保障和就业支出（208类）特困人员救助供养（21款）农村特困人员救助供养支出（02项）：</w:t>
      </w:r>
      <w:r>
        <w:rPr>
          <w:rFonts w:hint="eastAsia"/>
        </w:rPr>
        <w:t>指反映农村特困人员救助供养支出。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21</w:t>
      </w:r>
      <w:r>
        <w:rPr>
          <w:rFonts w:hint="eastAsia"/>
          <w:b/>
          <w:bCs/>
        </w:rPr>
        <w:t>.卫生健康支出（210类）</w:t>
      </w:r>
      <w:r>
        <w:rPr>
          <w:rFonts w:hint="eastAsia"/>
          <w:b/>
          <w:bCs/>
          <w:lang w:val="en-US" w:eastAsia="zh-CN"/>
        </w:rPr>
        <w:t>公共卫生</w:t>
      </w:r>
      <w:r>
        <w:rPr>
          <w:rFonts w:hint="eastAsia"/>
          <w:b/>
          <w:bCs/>
        </w:rPr>
        <w:t>（0</w:t>
      </w:r>
      <w:r>
        <w:rPr>
          <w:rFonts w:hint="eastAsia"/>
          <w:b/>
          <w:bCs/>
          <w:lang w:val="en-US" w:eastAsia="zh-CN"/>
        </w:rPr>
        <w:t>4</w:t>
      </w:r>
      <w:r>
        <w:rPr>
          <w:rFonts w:hint="eastAsia"/>
          <w:b/>
          <w:bCs/>
        </w:rPr>
        <w:t>款）</w:t>
      </w:r>
      <w:r>
        <w:rPr>
          <w:rFonts w:hint="eastAsia"/>
          <w:b/>
          <w:bCs/>
          <w:lang w:val="en-US" w:eastAsia="zh-CN"/>
        </w:rPr>
        <w:t>其他公共卫生</w:t>
      </w:r>
      <w:r>
        <w:rPr>
          <w:rFonts w:hint="eastAsia"/>
          <w:b/>
          <w:bCs/>
        </w:rPr>
        <w:t>支出（99项）：</w:t>
      </w:r>
      <w:r>
        <w:rPr>
          <w:rFonts w:hint="eastAsia"/>
        </w:rPr>
        <w:t>反映除上述项目以外其他公共卫生支出事务方面支出。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22</w:t>
      </w:r>
      <w:r>
        <w:rPr>
          <w:rFonts w:hint="eastAsia"/>
          <w:b/>
          <w:bCs/>
        </w:rPr>
        <w:t>.卫生健康支出（210类）行政事业单位医疗（11款）行政单位医疗（01项）：</w:t>
      </w:r>
      <w:r>
        <w:rPr>
          <w:rFonts w:hint="eastAsia"/>
        </w:rPr>
        <w:t>指反映财政部门安排的行政单位（包括实行公务员管理的事业单位，下同）基本医疗保险缴费经费，未参加医疗保险的行政单位的公费医疗经费，按国家规定享受离退休人员、红军老战士待遇人员的医疗经费。</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23</w:t>
      </w:r>
      <w:r>
        <w:rPr>
          <w:rFonts w:hint="eastAsia"/>
          <w:b/>
          <w:bCs/>
        </w:rPr>
        <w:t>.卫生健康支出（201类）行政事业单位医疗（11款）事业单位医疗（02项）：</w:t>
      </w:r>
      <w:r>
        <w:rPr>
          <w:rFonts w:hint="eastAsia"/>
        </w:rPr>
        <w:t>指反映财政部门安排的事业单位基本医疗保险缴费经费，未参加医疗保险的行政单位的公费医疗经费，按国家规定享受离退休人员、红军老战士待遇人员的医疗经费。</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24</w:t>
      </w:r>
      <w:r>
        <w:rPr>
          <w:rFonts w:hint="eastAsia"/>
          <w:b/>
          <w:bCs/>
        </w:rPr>
        <w:t>.卫生健康支出（210类）行政事业单位医疗（11款）公务员医疗补助（03项）：</w:t>
      </w:r>
      <w:r>
        <w:rPr>
          <w:rFonts w:hint="eastAsia"/>
        </w:rPr>
        <w:t>指反映财政部门安排的公务员医疗补助经费。</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25</w:t>
      </w:r>
      <w:r>
        <w:rPr>
          <w:rFonts w:hint="eastAsia"/>
          <w:b/>
          <w:bCs/>
        </w:rPr>
        <w:t>.卫生健康支出（210类）行政事业单位医疗（11款）其他行政事业单位医疗支出（99项）：</w:t>
      </w:r>
      <w:r>
        <w:rPr>
          <w:rFonts w:hint="eastAsia"/>
        </w:rPr>
        <w:t>指反映除上述项目以外的其他用于行政事业单位医疗方面的支出。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26</w:t>
      </w:r>
      <w:r>
        <w:rPr>
          <w:rFonts w:hint="eastAsia"/>
          <w:b/>
          <w:bCs/>
        </w:rPr>
        <w:t>.农林水支出（213类）农业农村（01款）事业运行（04项）：</w:t>
      </w:r>
      <w:r>
        <w:rPr>
          <w:rFonts w:hint="eastAsia"/>
        </w:rPr>
        <w:t>指反映用于农业事业单位的基本支出，事业单位设施、系统运行与资产维护等方面的支出。</w:t>
      </w:r>
    </w:p>
    <w:p>
      <w:pPr>
        <w:pStyle w:val="2"/>
        <w:keepNext w:val="0"/>
        <w:keepLines w:val="0"/>
        <w:pageBreakBefore w:val="0"/>
        <w:kinsoku/>
        <w:wordWrap/>
        <w:overflowPunct/>
        <w:topLinePunct w:val="0"/>
        <w:autoSpaceDE/>
        <w:autoSpaceDN/>
        <w:bidi w:val="0"/>
        <w:adjustRightInd/>
        <w:snapToGrid/>
        <w:spacing w:beforeLines="0" w:line="576" w:lineRule="exact"/>
        <w:ind w:firstLine="643" w:firstLineChars="200"/>
        <w:textAlignment w:val="auto"/>
        <w:rPr>
          <w:rFonts w:ascii="Times New Roman"/>
          <w:sz w:val="32"/>
        </w:rPr>
      </w:pPr>
      <w:r>
        <w:rPr>
          <w:rFonts w:hint="eastAsia" w:ascii="Times New Roman"/>
          <w:b/>
          <w:bCs/>
          <w:sz w:val="32"/>
          <w:lang w:val="en-US" w:eastAsia="zh-CN"/>
        </w:rPr>
        <w:t>27</w:t>
      </w:r>
      <w:r>
        <w:rPr>
          <w:rFonts w:hint="eastAsia" w:ascii="Times New Roman"/>
          <w:b/>
          <w:bCs/>
          <w:sz w:val="32"/>
        </w:rPr>
        <w:t>.农林水支出（213类）林业和草原（02款）林业草原防灾减灾（34项）：</w:t>
      </w:r>
      <w:r>
        <w:rPr>
          <w:rFonts w:hint="eastAsia" w:ascii="Times New Roman"/>
          <w:sz w:val="32"/>
        </w:rPr>
        <w:t>指反映用于病虫害等有害生物灾害、森林草原防灭火、野生动物疫病灾害等方面的支出。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rPr>
      </w:pPr>
      <w:r>
        <w:rPr>
          <w:rFonts w:hint="eastAsia"/>
          <w:b/>
          <w:bCs/>
          <w:lang w:val="en-US" w:eastAsia="zh-CN"/>
        </w:rPr>
        <w:t>28</w:t>
      </w:r>
      <w:r>
        <w:rPr>
          <w:rFonts w:hint="eastAsia"/>
          <w:b/>
          <w:bCs/>
        </w:rPr>
        <w:t>.农林水支出（213类）农村综合改革（07款）对村民委员会和党支部的补助（05项）：</w:t>
      </w:r>
      <w:r>
        <w:rPr>
          <w:rFonts w:hint="eastAsia"/>
        </w:rPr>
        <w:t>指反映各级财政对村民委员会和村党支部的补助支出，以及支持建立县级基本财力保障机制安排的村级组织运转奖补资金。</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29</w:t>
      </w:r>
      <w:r>
        <w:rPr>
          <w:rFonts w:hint="eastAsia"/>
          <w:b/>
          <w:bCs/>
        </w:rPr>
        <w:t>.农林水支出（213类）</w:t>
      </w:r>
      <w:r>
        <w:rPr>
          <w:rFonts w:hint="eastAsia"/>
          <w:b/>
          <w:bCs/>
          <w:lang w:val="en-US" w:eastAsia="zh-CN"/>
        </w:rPr>
        <w:t>其他农林水支出</w:t>
      </w:r>
      <w:r>
        <w:rPr>
          <w:rFonts w:hint="eastAsia"/>
          <w:b/>
          <w:bCs/>
        </w:rPr>
        <w:t>（</w:t>
      </w:r>
      <w:r>
        <w:rPr>
          <w:rFonts w:hint="eastAsia"/>
          <w:b/>
          <w:bCs/>
          <w:lang w:val="en-US" w:eastAsia="zh-CN"/>
        </w:rPr>
        <w:t>99</w:t>
      </w:r>
      <w:r>
        <w:rPr>
          <w:rFonts w:hint="eastAsia"/>
          <w:b/>
          <w:bCs/>
        </w:rPr>
        <w:t>款）</w:t>
      </w:r>
      <w:r>
        <w:rPr>
          <w:rFonts w:hint="eastAsia"/>
          <w:b/>
          <w:bCs/>
          <w:lang w:val="en-US" w:eastAsia="zh-CN"/>
        </w:rPr>
        <w:t>其他农林水支出</w:t>
      </w:r>
      <w:r>
        <w:rPr>
          <w:rFonts w:hint="eastAsia"/>
          <w:b/>
          <w:bCs/>
        </w:rPr>
        <w:t>（</w:t>
      </w:r>
      <w:r>
        <w:rPr>
          <w:rFonts w:hint="eastAsia"/>
          <w:b/>
          <w:bCs/>
          <w:lang w:val="en-US" w:eastAsia="zh-CN"/>
        </w:rPr>
        <w:t>99</w:t>
      </w:r>
      <w:r>
        <w:rPr>
          <w:rFonts w:hint="eastAsia"/>
          <w:b/>
          <w:bCs/>
        </w:rPr>
        <w:t>项）：</w:t>
      </w:r>
      <w:r>
        <w:rPr>
          <w:rFonts w:hint="eastAsia"/>
        </w:rPr>
        <w:t>反映除上述项目以外其他农林水支出事务方面支出。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bCs/>
          <w:lang w:val="en-US" w:eastAsia="zh-CN"/>
        </w:rPr>
        <w:t>30</w:t>
      </w:r>
      <w:r>
        <w:rPr>
          <w:rFonts w:hint="eastAsia"/>
          <w:b/>
          <w:bCs/>
        </w:rPr>
        <w:t>.住房保障支出（221类）住房改革支出（02款）住房公积金（01项）：</w:t>
      </w:r>
      <w:r>
        <w:rPr>
          <w:rFonts w:hint="eastAsia"/>
        </w:rPr>
        <w:t>指反映行政事业单位按人力资源和社会保障部、财政部规定的基本工资和津贴补贴以及规定比例为职工缴纳的住房公积金。</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lang w:val="en-US" w:eastAsia="zh-CN"/>
        </w:rPr>
        <w:t>31</w:t>
      </w:r>
      <w:r>
        <w:rPr>
          <w:b/>
        </w:rPr>
        <w:t>.基本支出：</w:t>
      </w:r>
      <w:r>
        <w:t>指为保证机构正常运转，完成日常工作任务而发生的人员支出和公用支出。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lang w:val="en-US" w:eastAsia="zh-CN"/>
        </w:rPr>
        <w:t>32</w:t>
      </w:r>
      <w:r>
        <w:rPr>
          <w:b/>
        </w:rPr>
        <w:t>.项目支出：</w:t>
      </w:r>
      <w:r>
        <w:t>指在基本支出之外为完成特定行政任务和事业发展目标所发生的支出。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lang w:val="en-US" w:eastAsia="zh-CN"/>
        </w:rPr>
        <w:t>33</w:t>
      </w:r>
      <w:r>
        <w:rPr>
          <w:b/>
        </w:rPr>
        <w:t>.“三公”经费：</w:t>
      </w:r>
      <w:r>
        <w:t>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pPr>
      <w:r>
        <w:rPr>
          <w:rFonts w:hint="eastAsia"/>
          <w:b/>
          <w:lang w:val="en-US" w:eastAsia="zh-CN"/>
        </w:rPr>
        <w:t>34</w:t>
      </w:r>
      <w:r>
        <w:rPr>
          <w:b/>
        </w:rPr>
        <w:t>.业务运行经费：</w:t>
      </w:r>
      <w:r>
        <w:t>为保障行政单位（包含参照公务员法管理的事业单位）运行用于购买货物和服务的各项资金。包括办公及办公费、水费、电费、印刷费、邮电费、差旅费、会议费等费用开支。</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40" w:firstLineChars="200"/>
        <w:jc w:val="left"/>
        <w:textAlignment w:val="auto"/>
        <w:rPr>
          <w:color w:val="000000"/>
        </w:rPr>
      </w:pP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bCs/>
        </w:rPr>
      </w:pPr>
      <w:r>
        <w:rPr>
          <w:bCs/>
        </w:rPr>
        <w:t>附件：</w:t>
      </w:r>
      <w:r>
        <w:rPr>
          <w:rFonts w:hint="eastAsia"/>
          <w:bCs/>
        </w:rPr>
        <w:t>表</w:t>
      </w:r>
      <w:r>
        <w:rPr>
          <w:bCs/>
        </w:rPr>
        <w:t>1</w:t>
      </w:r>
      <w:r>
        <w:rPr>
          <w:rFonts w:hint="eastAsia"/>
          <w:bCs/>
        </w:rPr>
        <w:t>.</w:t>
      </w:r>
      <w:r>
        <w:rPr>
          <w:bCs/>
        </w:rPr>
        <w:t>部门收支总表</w:t>
      </w:r>
    </w:p>
    <w:p>
      <w:pPr>
        <w:keepNext w:val="0"/>
        <w:keepLines w:val="0"/>
        <w:pageBreakBefore w:val="0"/>
        <w:kinsoku/>
        <w:wordWrap/>
        <w:overflowPunct/>
        <w:topLinePunct w:val="0"/>
        <w:autoSpaceDE/>
        <w:autoSpaceDN/>
        <w:bidi w:val="0"/>
        <w:adjustRightInd/>
        <w:snapToGrid/>
        <w:spacing w:line="576" w:lineRule="exact"/>
        <w:ind w:firstLine="1600" w:firstLineChars="500"/>
        <w:textAlignment w:val="auto"/>
        <w:rPr>
          <w:bCs/>
        </w:rPr>
      </w:pPr>
      <w:r>
        <w:rPr>
          <w:rFonts w:hint="eastAsia"/>
          <w:bCs/>
        </w:rPr>
        <w:t>表1-1.</w:t>
      </w:r>
      <w:r>
        <w:rPr>
          <w:bCs/>
        </w:rPr>
        <w:t>部门收入总表</w:t>
      </w:r>
    </w:p>
    <w:p>
      <w:pPr>
        <w:keepNext w:val="0"/>
        <w:keepLines w:val="0"/>
        <w:pageBreakBefore w:val="0"/>
        <w:kinsoku/>
        <w:wordWrap/>
        <w:overflowPunct/>
        <w:topLinePunct w:val="0"/>
        <w:autoSpaceDE/>
        <w:autoSpaceDN/>
        <w:bidi w:val="0"/>
        <w:adjustRightInd/>
        <w:snapToGrid/>
        <w:spacing w:line="576" w:lineRule="exact"/>
        <w:ind w:firstLine="1600" w:firstLineChars="500"/>
        <w:textAlignment w:val="auto"/>
        <w:rPr>
          <w:bCs/>
        </w:rPr>
      </w:pPr>
      <w:r>
        <w:rPr>
          <w:rFonts w:hint="eastAsia"/>
          <w:bCs/>
        </w:rPr>
        <w:t>表1-2.</w:t>
      </w:r>
      <w:r>
        <w:rPr>
          <w:bCs/>
        </w:rPr>
        <w:t>部门支出总表</w:t>
      </w:r>
    </w:p>
    <w:p>
      <w:pPr>
        <w:keepNext w:val="0"/>
        <w:keepLines w:val="0"/>
        <w:pageBreakBefore w:val="0"/>
        <w:kinsoku/>
        <w:wordWrap/>
        <w:overflowPunct/>
        <w:topLinePunct w:val="0"/>
        <w:autoSpaceDE/>
        <w:autoSpaceDN/>
        <w:bidi w:val="0"/>
        <w:adjustRightInd/>
        <w:snapToGrid/>
        <w:spacing w:line="576" w:lineRule="exact"/>
        <w:ind w:firstLine="1600" w:firstLineChars="500"/>
        <w:textAlignment w:val="auto"/>
        <w:rPr>
          <w:bCs/>
        </w:rPr>
      </w:pPr>
      <w:r>
        <w:rPr>
          <w:rFonts w:hint="eastAsia"/>
          <w:bCs/>
        </w:rPr>
        <w:t>表2.</w:t>
      </w:r>
      <w:r>
        <w:rPr>
          <w:bCs/>
        </w:rPr>
        <w:t>财政拨款收支预算总表</w:t>
      </w:r>
    </w:p>
    <w:p>
      <w:pPr>
        <w:keepNext w:val="0"/>
        <w:keepLines w:val="0"/>
        <w:pageBreakBefore w:val="0"/>
        <w:kinsoku/>
        <w:wordWrap/>
        <w:overflowPunct/>
        <w:topLinePunct w:val="0"/>
        <w:autoSpaceDE/>
        <w:autoSpaceDN/>
        <w:bidi w:val="0"/>
        <w:adjustRightInd/>
        <w:snapToGrid/>
        <w:spacing w:line="576" w:lineRule="exact"/>
        <w:ind w:firstLine="1600" w:firstLineChars="500"/>
        <w:textAlignment w:val="auto"/>
        <w:rPr>
          <w:bCs/>
          <w:strike/>
        </w:rPr>
      </w:pPr>
      <w:r>
        <w:rPr>
          <w:rFonts w:hint="eastAsia"/>
          <w:bCs/>
        </w:rPr>
        <w:t>表2-1.财政拨款支出预算表（部门经济分类科目）</w:t>
      </w:r>
    </w:p>
    <w:p>
      <w:pPr>
        <w:keepNext w:val="0"/>
        <w:keepLines w:val="0"/>
        <w:pageBreakBefore w:val="0"/>
        <w:kinsoku/>
        <w:wordWrap/>
        <w:overflowPunct/>
        <w:topLinePunct w:val="0"/>
        <w:autoSpaceDE/>
        <w:autoSpaceDN/>
        <w:bidi w:val="0"/>
        <w:adjustRightInd/>
        <w:snapToGrid/>
        <w:spacing w:line="576" w:lineRule="exact"/>
        <w:ind w:firstLine="1600" w:firstLineChars="500"/>
        <w:textAlignment w:val="auto"/>
        <w:rPr>
          <w:bCs/>
        </w:rPr>
      </w:pPr>
      <w:r>
        <w:rPr>
          <w:rFonts w:hint="eastAsia"/>
          <w:bCs/>
        </w:rPr>
        <w:t>表3.</w:t>
      </w:r>
      <w:r>
        <w:rPr>
          <w:bCs/>
        </w:rPr>
        <w:t>一般公共预算支出预算表</w:t>
      </w:r>
    </w:p>
    <w:p>
      <w:pPr>
        <w:keepNext w:val="0"/>
        <w:keepLines w:val="0"/>
        <w:pageBreakBefore w:val="0"/>
        <w:kinsoku/>
        <w:wordWrap/>
        <w:overflowPunct/>
        <w:topLinePunct w:val="0"/>
        <w:autoSpaceDE/>
        <w:autoSpaceDN/>
        <w:bidi w:val="0"/>
        <w:adjustRightInd/>
        <w:snapToGrid/>
        <w:spacing w:line="576" w:lineRule="exact"/>
        <w:ind w:firstLine="1600" w:firstLineChars="500"/>
        <w:textAlignment w:val="auto"/>
        <w:rPr>
          <w:bCs/>
        </w:rPr>
      </w:pPr>
      <w:r>
        <w:rPr>
          <w:rFonts w:hint="eastAsia"/>
          <w:bCs/>
        </w:rPr>
        <w:t>表3-1.</w:t>
      </w:r>
      <w:r>
        <w:rPr>
          <w:bCs/>
        </w:rPr>
        <w:t>一般公共预算基本支出预算表</w:t>
      </w:r>
    </w:p>
    <w:p>
      <w:pPr>
        <w:keepNext w:val="0"/>
        <w:keepLines w:val="0"/>
        <w:pageBreakBefore w:val="0"/>
        <w:kinsoku/>
        <w:wordWrap/>
        <w:overflowPunct/>
        <w:topLinePunct w:val="0"/>
        <w:autoSpaceDE/>
        <w:autoSpaceDN/>
        <w:bidi w:val="0"/>
        <w:adjustRightInd/>
        <w:snapToGrid/>
        <w:spacing w:line="576" w:lineRule="exact"/>
        <w:ind w:firstLine="1600" w:firstLineChars="500"/>
        <w:textAlignment w:val="auto"/>
        <w:rPr>
          <w:bCs/>
        </w:rPr>
      </w:pPr>
      <w:r>
        <w:rPr>
          <w:rFonts w:hint="eastAsia"/>
          <w:bCs/>
        </w:rPr>
        <w:t>表3-2.</w:t>
      </w:r>
      <w:r>
        <w:rPr>
          <w:bCs/>
        </w:rPr>
        <w:t>一般公共预算项目支出预算表</w:t>
      </w:r>
    </w:p>
    <w:p>
      <w:pPr>
        <w:keepNext w:val="0"/>
        <w:keepLines w:val="0"/>
        <w:pageBreakBefore w:val="0"/>
        <w:kinsoku/>
        <w:wordWrap/>
        <w:overflowPunct/>
        <w:topLinePunct w:val="0"/>
        <w:autoSpaceDE/>
        <w:autoSpaceDN/>
        <w:bidi w:val="0"/>
        <w:adjustRightInd/>
        <w:snapToGrid/>
        <w:spacing w:line="576" w:lineRule="exact"/>
        <w:ind w:firstLine="1600" w:firstLineChars="500"/>
        <w:textAlignment w:val="auto"/>
        <w:rPr>
          <w:bCs/>
        </w:rPr>
      </w:pPr>
      <w:r>
        <w:rPr>
          <w:rFonts w:hint="eastAsia"/>
          <w:bCs/>
        </w:rPr>
        <w:t>表3-3.</w:t>
      </w:r>
      <w:r>
        <w:rPr>
          <w:bCs/>
        </w:rPr>
        <w:t>一般公共预算“三公”经费支出预算表</w:t>
      </w:r>
    </w:p>
    <w:p>
      <w:pPr>
        <w:keepNext w:val="0"/>
        <w:keepLines w:val="0"/>
        <w:pageBreakBefore w:val="0"/>
        <w:kinsoku/>
        <w:wordWrap/>
        <w:overflowPunct/>
        <w:topLinePunct w:val="0"/>
        <w:autoSpaceDE/>
        <w:autoSpaceDN/>
        <w:bidi w:val="0"/>
        <w:adjustRightInd/>
        <w:snapToGrid/>
        <w:spacing w:line="576" w:lineRule="exact"/>
        <w:ind w:firstLine="1600" w:firstLineChars="500"/>
        <w:textAlignment w:val="auto"/>
        <w:rPr>
          <w:bCs/>
        </w:rPr>
      </w:pPr>
      <w:r>
        <w:rPr>
          <w:rFonts w:hint="eastAsia"/>
          <w:bCs/>
        </w:rPr>
        <w:t>表4.</w:t>
      </w:r>
      <w:r>
        <w:rPr>
          <w:bCs/>
        </w:rPr>
        <w:t>政府性基金支出预算表</w:t>
      </w:r>
    </w:p>
    <w:p>
      <w:pPr>
        <w:keepNext w:val="0"/>
        <w:keepLines w:val="0"/>
        <w:pageBreakBefore w:val="0"/>
        <w:kinsoku/>
        <w:wordWrap/>
        <w:overflowPunct/>
        <w:topLinePunct w:val="0"/>
        <w:autoSpaceDE/>
        <w:autoSpaceDN/>
        <w:bidi w:val="0"/>
        <w:adjustRightInd/>
        <w:snapToGrid/>
        <w:spacing w:line="576" w:lineRule="exact"/>
        <w:ind w:firstLine="1600" w:firstLineChars="500"/>
        <w:textAlignment w:val="auto"/>
        <w:rPr>
          <w:bCs/>
        </w:rPr>
      </w:pPr>
      <w:r>
        <w:rPr>
          <w:rFonts w:hint="eastAsia"/>
          <w:bCs/>
        </w:rPr>
        <w:t>表4-1.</w:t>
      </w:r>
      <w:r>
        <w:rPr>
          <w:bCs/>
        </w:rPr>
        <w:t>政府性基金预算“三公”经费支出预算表</w:t>
      </w:r>
    </w:p>
    <w:p>
      <w:pPr>
        <w:keepNext w:val="0"/>
        <w:keepLines w:val="0"/>
        <w:pageBreakBefore w:val="0"/>
        <w:kinsoku/>
        <w:wordWrap/>
        <w:overflowPunct/>
        <w:topLinePunct w:val="0"/>
        <w:autoSpaceDE/>
        <w:autoSpaceDN/>
        <w:bidi w:val="0"/>
        <w:adjustRightInd/>
        <w:snapToGrid/>
        <w:spacing w:line="576" w:lineRule="exact"/>
        <w:ind w:firstLine="1600" w:firstLineChars="500"/>
        <w:textAlignment w:val="auto"/>
        <w:rPr>
          <w:bCs/>
        </w:rPr>
      </w:pPr>
      <w:r>
        <w:rPr>
          <w:rFonts w:hint="eastAsia"/>
          <w:bCs/>
        </w:rPr>
        <w:t>表5.</w:t>
      </w:r>
      <w:r>
        <w:rPr>
          <w:bCs/>
        </w:rPr>
        <w:t>国有资本经营预算支出预算表</w:t>
      </w:r>
    </w:p>
    <w:p>
      <w:pPr>
        <w:keepNext w:val="0"/>
        <w:keepLines w:val="0"/>
        <w:pageBreakBefore w:val="0"/>
        <w:kinsoku/>
        <w:wordWrap/>
        <w:overflowPunct/>
        <w:topLinePunct w:val="0"/>
        <w:autoSpaceDE/>
        <w:autoSpaceDN/>
        <w:bidi w:val="0"/>
        <w:adjustRightInd/>
        <w:snapToGrid/>
        <w:spacing w:line="576" w:lineRule="exact"/>
        <w:ind w:firstLine="1600" w:firstLineChars="500"/>
        <w:textAlignment w:val="auto"/>
      </w:pPr>
      <w:r>
        <w:rPr>
          <w:rFonts w:hint="eastAsia"/>
        </w:rPr>
        <w:t>表6表.部门预算项目支出绩效目标表</w:t>
      </w:r>
    </w:p>
    <w:p>
      <w:pPr>
        <w:keepNext w:val="0"/>
        <w:keepLines w:val="0"/>
        <w:pageBreakBefore w:val="0"/>
        <w:kinsoku/>
        <w:wordWrap/>
        <w:overflowPunct/>
        <w:topLinePunct w:val="0"/>
        <w:autoSpaceDE/>
        <w:autoSpaceDN/>
        <w:bidi w:val="0"/>
        <w:adjustRightInd/>
        <w:snapToGrid/>
        <w:spacing w:line="576" w:lineRule="exact"/>
        <w:ind w:firstLine="1600" w:firstLineChars="500"/>
        <w:textAlignment w:val="auto"/>
        <w:rPr>
          <w:bCs/>
        </w:rPr>
      </w:pPr>
      <w:r>
        <w:rPr>
          <w:rFonts w:hint="eastAsia"/>
          <w:bCs/>
        </w:rPr>
        <w:t>表7.部门整体支出绩效目标表</w:t>
      </w:r>
    </w:p>
    <w:sectPr>
      <w:footerReference r:id="rId3" w:type="default"/>
      <w:footerReference r:id="rId4" w:type="even"/>
      <w:pgSz w:w="11906" w:h="16838"/>
      <w:pgMar w:top="2098" w:right="1474" w:bottom="1984" w:left="1587"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A00002BF" w:usb1="38CF7CFA" w:usb2="00082016" w:usb3="00000000" w:csb0="00040001" w:csb1="00000000"/>
  </w:font>
  <w:font w:name="方正黑体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Style w:val="9"/>
                              <w:rFonts w:ascii="宋体" w:hAnsi="宋体"/>
                              <w:sz w:val="30"/>
                              <w:szCs w:val="30"/>
                            </w:rPr>
                          </w:pPr>
                          <w:r>
                            <w:rPr>
                              <w:rFonts w:ascii="宋体" w:hAnsi="宋体"/>
                              <w:sz w:val="30"/>
                              <w:szCs w:val="30"/>
                            </w:rPr>
                            <w:fldChar w:fldCharType="begin"/>
                          </w:r>
                          <w:r>
                            <w:rPr>
                              <w:rStyle w:val="9"/>
                              <w:rFonts w:ascii="宋体" w:hAnsi="宋体"/>
                              <w:sz w:val="30"/>
                              <w:szCs w:val="30"/>
                            </w:rPr>
                            <w:instrText xml:space="preserve">PAGE  </w:instrText>
                          </w:r>
                          <w:r>
                            <w:rPr>
                              <w:rFonts w:ascii="宋体" w:hAnsi="宋体"/>
                              <w:sz w:val="30"/>
                              <w:szCs w:val="30"/>
                            </w:rPr>
                            <w:fldChar w:fldCharType="separate"/>
                          </w:r>
                          <w:r>
                            <w:rPr>
                              <w:rStyle w:val="9"/>
                              <w:rFonts w:ascii="宋体" w:hAnsi="宋体"/>
                              <w:sz w:val="30"/>
                              <w:szCs w:val="30"/>
                            </w:rPr>
                            <w:t>- 16 -</w:t>
                          </w:r>
                          <w:r>
                            <w:rPr>
                              <w:rFonts w:ascii="宋体" w:hAnsi="宋体"/>
                              <w:sz w:val="30"/>
                              <w:szCs w:val="30"/>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4"/>
                      <w:rPr>
                        <w:rStyle w:val="9"/>
                        <w:rFonts w:ascii="宋体" w:hAnsi="宋体"/>
                        <w:sz w:val="30"/>
                        <w:szCs w:val="30"/>
                      </w:rPr>
                    </w:pPr>
                    <w:r>
                      <w:rPr>
                        <w:rFonts w:ascii="宋体" w:hAnsi="宋体"/>
                        <w:sz w:val="30"/>
                        <w:szCs w:val="30"/>
                      </w:rPr>
                      <w:fldChar w:fldCharType="begin"/>
                    </w:r>
                    <w:r>
                      <w:rPr>
                        <w:rStyle w:val="9"/>
                        <w:rFonts w:ascii="宋体" w:hAnsi="宋体"/>
                        <w:sz w:val="30"/>
                        <w:szCs w:val="30"/>
                      </w:rPr>
                      <w:instrText xml:space="preserve">PAGE  </w:instrText>
                    </w:r>
                    <w:r>
                      <w:rPr>
                        <w:rFonts w:ascii="宋体" w:hAnsi="宋体"/>
                        <w:sz w:val="30"/>
                        <w:szCs w:val="30"/>
                      </w:rPr>
                      <w:fldChar w:fldCharType="separate"/>
                    </w:r>
                    <w:r>
                      <w:rPr>
                        <w:rStyle w:val="9"/>
                        <w:rFonts w:ascii="宋体" w:hAnsi="宋体"/>
                        <w:sz w:val="30"/>
                        <w:szCs w:val="30"/>
                      </w:rPr>
                      <w:t>- 16 -</w:t>
                    </w:r>
                    <w:r>
                      <w:rPr>
                        <w:rFonts w:ascii="宋体" w:hAnsi="宋体"/>
                        <w:sz w:val="30"/>
                        <w:szCs w:val="3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7F85F9"/>
    <w:multiLevelType w:val="singleLevel"/>
    <w:tmpl w:val="717F85F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noPunctuationKerning w:val="1"/>
  <w:characterSpacingControl w:val="compressPunctuation"/>
  <w:doNotValidateAgainstSchema/>
  <w:doNotDemarcateInvalidXml/>
  <w:hdrShapeDefaults>
    <o:shapelayout v:ext="edit">
      <o:idmap v:ext="edit" data="3"/>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lMzc4NWMyZGUxOGE1YTQyNGQ1ODA0OWZiZjllMmMifQ=="/>
  </w:docVars>
  <w:rsids>
    <w:rsidRoot w:val="00172A27"/>
    <w:rsid w:val="000163BE"/>
    <w:rsid w:val="00032196"/>
    <w:rsid w:val="0003616A"/>
    <w:rsid w:val="00045A89"/>
    <w:rsid w:val="00053146"/>
    <w:rsid w:val="000541C2"/>
    <w:rsid w:val="00055861"/>
    <w:rsid w:val="00073657"/>
    <w:rsid w:val="00084CD6"/>
    <w:rsid w:val="0008615A"/>
    <w:rsid w:val="00087B95"/>
    <w:rsid w:val="00093B01"/>
    <w:rsid w:val="000A7885"/>
    <w:rsid w:val="000B3C88"/>
    <w:rsid w:val="000B3E5E"/>
    <w:rsid w:val="000C1031"/>
    <w:rsid w:val="000C59B2"/>
    <w:rsid w:val="00104574"/>
    <w:rsid w:val="0010646C"/>
    <w:rsid w:val="00164D39"/>
    <w:rsid w:val="001727B5"/>
    <w:rsid w:val="00172A27"/>
    <w:rsid w:val="00176BF4"/>
    <w:rsid w:val="001802D1"/>
    <w:rsid w:val="00182FBA"/>
    <w:rsid w:val="001D7F78"/>
    <w:rsid w:val="00231D8A"/>
    <w:rsid w:val="00235F6E"/>
    <w:rsid w:val="00281699"/>
    <w:rsid w:val="002E016D"/>
    <w:rsid w:val="002F364D"/>
    <w:rsid w:val="00306ABA"/>
    <w:rsid w:val="00365D0B"/>
    <w:rsid w:val="003F565C"/>
    <w:rsid w:val="004231DE"/>
    <w:rsid w:val="00427900"/>
    <w:rsid w:val="004647CE"/>
    <w:rsid w:val="00473F0C"/>
    <w:rsid w:val="00476CD7"/>
    <w:rsid w:val="00483537"/>
    <w:rsid w:val="00484316"/>
    <w:rsid w:val="00494C19"/>
    <w:rsid w:val="004D3D67"/>
    <w:rsid w:val="004E3AEE"/>
    <w:rsid w:val="00500A9D"/>
    <w:rsid w:val="005307BE"/>
    <w:rsid w:val="00530E27"/>
    <w:rsid w:val="00536E6F"/>
    <w:rsid w:val="005A1ABF"/>
    <w:rsid w:val="005A3539"/>
    <w:rsid w:val="005A6347"/>
    <w:rsid w:val="005B2027"/>
    <w:rsid w:val="005C1929"/>
    <w:rsid w:val="005D47C5"/>
    <w:rsid w:val="005F450D"/>
    <w:rsid w:val="00636DB0"/>
    <w:rsid w:val="00647DAE"/>
    <w:rsid w:val="00650CAB"/>
    <w:rsid w:val="006551C2"/>
    <w:rsid w:val="00665B9D"/>
    <w:rsid w:val="00672E88"/>
    <w:rsid w:val="00675FFB"/>
    <w:rsid w:val="006806E5"/>
    <w:rsid w:val="006874BD"/>
    <w:rsid w:val="006C5E26"/>
    <w:rsid w:val="006E29ED"/>
    <w:rsid w:val="006F244B"/>
    <w:rsid w:val="007706AC"/>
    <w:rsid w:val="00794E2A"/>
    <w:rsid w:val="007A4A4D"/>
    <w:rsid w:val="007B377A"/>
    <w:rsid w:val="007D2C8D"/>
    <w:rsid w:val="007F12C6"/>
    <w:rsid w:val="00813706"/>
    <w:rsid w:val="008470A0"/>
    <w:rsid w:val="00852F4F"/>
    <w:rsid w:val="00856B10"/>
    <w:rsid w:val="008645B2"/>
    <w:rsid w:val="00865840"/>
    <w:rsid w:val="008677B2"/>
    <w:rsid w:val="00872D30"/>
    <w:rsid w:val="00891D23"/>
    <w:rsid w:val="00892A7C"/>
    <w:rsid w:val="008E086E"/>
    <w:rsid w:val="00900291"/>
    <w:rsid w:val="0090188E"/>
    <w:rsid w:val="00946310"/>
    <w:rsid w:val="00980E30"/>
    <w:rsid w:val="009C08ED"/>
    <w:rsid w:val="009E0DD4"/>
    <w:rsid w:val="009F030C"/>
    <w:rsid w:val="00A10AFF"/>
    <w:rsid w:val="00A13B9A"/>
    <w:rsid w:val="00A15BA3"/>
    <w:rsid w:val="00A51741"/>
    <w:rsid w:val="00A7060B"/>
    <w:rsid w:val="00A71738"/>
    <w:rsid w:val="00A8487C"/>
    <w:rsid w:val="00A949F0"/>
    <w:rsid w:val="00AC4665"/>
    <w:rsid w:val="00AC7091"/>
    <w:rsid w:val="00AE0CB4"/>
    <w:rsid w:val="00B058F7"/>
    <w:rsid w:val="00B16920"/>
    <w:rsid w:val="00B22AF5"/>
    <w:rsid w:val="00B30B78"/>
    <w:rsid w:val="00B409D4"/>
    <w:rsid w:val="00B659A7"/>
    <w:rsid w:val="00B9379C"/>
    <w:rsid w:val="00B966A6"/>
    <w:rsid w:val="00BB0666"/>
    <w:rsid w:val="00BB2FE2"/>
    <w:rsid w:val="00BC4949"/>
    <w:rsid w:val="00BC7FFD"/>
    <w:rsid w:val="00C05570"/>
    <w:rsid w:val="00C17C62"/>
    <w:rsid w:val="00C258A5"/>
    <w:rsid w:val="00C343B0"/>
    <w:rsid w:val="00C35A56"/>
    <w:rsid w:val="00C47696"/>
    <w:rsid w:val="00C63137"/>
    <w:rsid w:val="00C80D13"/>
    <w:rsid w:val="00C83622"/>
    <w:rsid w:val="00CF112A"/>
    <w:rsid w:val="00D172C0"/>
    <w:rsid w:val="00D21B78"/>
    <w:rsid w:val="00D663AC"/>
    <w:rsid w:val="00D7142D"/>
    <w:rsid w:val="00D805DC"/>
    <w:rsid w:val="00DD692D"/>
    <w:rsid w:val="00DF2185"/>
    <w:rsid w:val="00E05485"/>
    <w:rsid w:val="00E11B82"/>
    <w:rsid w:val="00E36AC5"/>
    <w:rsid w:val="00E371BC"/>
    <w:rsid w:val="00E47518"/>
    <w:rsid w:val="00E53FB6"/>
    <w:rsid w:val="00EE3212"/>
    <w:rsid w:val="00F658F0"/>
    <w:rsid w:val="00F702F8"/>
    <w:rsid w:val="00FC0EA1"/>
    <w:rsid w:val="00FC2A25"/>
    <w:rsid w:val="00FC596E"/>
    <w:rsid w:val="0412042A"/>
    <w:rsid w:val="058D549A"/>
    <w:rsid w:val="06B41656"/>
    <w:rsid w:val="0A280455"/>
    <w:rsid w:val="0B084F75"/>
    <w:rsid w:val="0C1D78B9"/>
    <w:rsid w:val="0DD06C66"/>
    <w:rsid w:val="0DD63BE4"/>
    <w:rsid w:val="111C4182"/>
    <w:rsid w:val="13390B8F"/>
    <w:rsid w:val="139A4F1D"/>
    <w:rsid w:val="13B62EA2"/>
    <w:rsid w:val="13C65BB1"/>
    <w:rsid w:val="17957D72"/>
    <w:rsid w:val="1B3510D4"/>
    <w:rsid w:val="1CA8741C"/>
    <w:rsid w:val="20B70D23"/>
    <w:rsid w:val="21B90185"/>
    <w:rsid w:val="22AC1026"/>
    <w:rsid w:val="267716B3"/>
    <w:rsid w:val="290153EB"/>
    <w:rsid w:val="2A7A4CF5"/>
    <w:rsid w:val="2B9E0C7C"/>
    <w:rsid w:val="2E7D4CB6"/>
    <w:rsid w:val="323C4040"/>
    <w:rsid w:val="32957BC0"/>
    <w:rsid w:val="357F58F8"/>
    <w:rsid w:val="37486796"/>
    <w:rsid w:val="3AC04E69"/>
    <w:rsid w:val="3FB8278A"/>
    <w:rsid w:val="3FED0381"/>
    <w:rsid w:val="44A37F36"/>
    <w:rsid w:val="45AF4622"/>
    <w:rsid w:val="47BC196B"/>
    <w:rsid w:val="4AA55FE4"/>
    <w:rsid w:val="4B270992"/>
    <w:rsid w:val="4CA8047D"/>
    <w:rsid w:val="4D6C4CAB"/>
    <w:rsid w:val="516E2217"/>
    <w:rsid w:val="563E7328"/>
    <w:rsid w:val="57F47BCB"/>
    <w:rsid w:val="59880B93"/>
    <w:rsid w:val="5B0527B2"/>
    <w:rsid w:val="65FE4FE5"/>
    <w:rsid w:val="6C5C299A"/>
    <w:rsid w:val="6F1C20EC"/>
    <w:rsid w:val="70FD6ECB"/>
    <w:rsid w:val="72717662"/>
    <w:rsid w:val="72D839A2"/>
    <w:rsid w:val="73A008DD"/>
    <w:rsid w:val="74966E7D"/>
    <w:rsid w:val="760261A1"/>
    <w:rsid w:val="763924B4"/>
    <w:rsid w:val="76CF13D7"/>
    <w:rsid w:val="76D435B5"/>
    <w:rsid w:val="7BD927E9"/>
    <w:rsid w:val="7E214870"/>
    <w:rsid w:val="7E6243A5"/>
    <w:rsid w:val="7E88212D"/>
    <w:rsid w:val="7F4664A3"/>
    <w:rsid w:val="7F857D6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Lines="30"/>
    </w:pPr>
    <w:rPr>
      <w:rFonts w:ascii="仿宋_GB2312"/>
      <w:sz w:val="30"/>
    </w:r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qFormat/>
    <w:uiPriority w:val="0"/>
  </w:style>
  <w:style w:type="paragraph" w:customStyle="1" w:styleId="10">
    <w:name w:val="Char Char Char Char Char Char Char Char Char Char Char Char"/>
    <w:basedOn w:val="1"/>
    <w:qFormat/>
    <w:uiPriority w:val="0"/>
    <w:rPr>
      <w:szCs w:val="21"/>
    </w:rPr>
  </w:style>
  <w:style w:type="paragraph" w:customStyle="1" w:styleId="11">
    <w:name w:val="Char Char1 Char Char Char Char Char Char Char Char"/>
    <w:basedOn w:val="1"/>
    <w:next w:val="1"/>
    <w:qFormat/>
    <w:uiPriority w:val="0"/>
    <w:pPr>
      <w:spacing w:line="240" w:lineRule="atLeast"/>
      <w:ind w:left="420" w:firstLine="420"/>
      <w:jc w:val="left"/>
    </w:pPr>
    <w:rPr>
      <w:rFonts w:eastAsia="宋体"/>
      <w:kern w:val="0"/>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F8EA93-A217-4634-8809-B9086BAC45B9}">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23</Pages>
  <Words>11119</Words>
  <Characters>12217</Characters>
  <Lines>83</Lines>
  <Paragraphs>23</Paragraphs>
  <TotalTime>8</TotalTime>
  <ScaleCrop>false</ScaleCrop>
  <LinksUpToDate>false</LinksUpToDate>
  <CharactersWithSpaces>12242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2020-05-27T03:06:00Z</dcterms:created>
  <dc:creator>赵树子</dc:creator>
  <cp:lastModifiedBy>余志红</cp:lastModifiedBy>
  <cp:lastPrinted>2021-01-27T07:43:00Z</cp:lastPrinted>
  <dcterms:modified xsi:type="dcterms:W3CDTF">2023-03-20T08:47:39Z</dcterms:modified>
  <dc:title>四川省财政厅2011年部门预算编制说明</dc:title>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0B2383B48705471E94E8B18D1E08CF7B</vt:lpwstr>
  </property>
</Properties>
</file>