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黑体" w:hAnsi="黑体" w:eastAsia="黑体"/>
          <w:bCs/>
          <w:kern w:val="0"/>
          <w:sz w:val="32"/>
          <w:szCs w:val="32"/>
        </w:rPr>
      </w:pPr>
      <w:bookmarkStart w:id="0" w:name="_GoBack"/>
      <w:bookmarkEnd w:id="0"/>
      <w:r>
        <w:rPr>
          <w:rFonts w:hint="eastAsia" w:ascii="黑体" w:hAnsi="黑体" w:eastAsia="黑体"/>
          <w:bCs/>
          <w:kern w:val="0"/>
          <w:sz w:val="32"/>
          <w:szCs w:val="32"/>
        </w:rPr>
        <w:t>附件3</w:t>
      </w:r>
    </w:p>
    <w:p>
      <w:pPr>
        <w:spacing w:line="620" w:lineRule="exact"/>
        <w:jc w:val="center"/>
        <w:rPr>
          <w:rFonts w:hint="eastAsia" w:ascii="方正小标宋简体" w:hAnsi="华文中宋" w:eastAsia="方正小标宋简体"/>
          <w:b/>
          <w:kern w:val="0"/>
          <w:sz w:val="36"/>
          <w:szCs w:val="36"/>
        </w:rPr>
      </w:pPr>
      <w:r>
        <w:rPr>
          <w:rFonts w:hint="eastAsia" w:ascii="方正小标宋简体" w:hAnsi="华文中宋" w:eastAsia="方正小标宋简体"/>
          <w:b/>
          <w:kern w:val="0"/>
          <w:sz w:val="36"/>
          <w:szCs w:val="36"/>
        </w:rPr>
        <w:t>2022年盐边县非煤矿山安全监管执法工作计划</w:t>
      </w:r>
    </w:p>
    <w:p>
      <w:pPr>
        <w:spacing w:line="560" w:lineRule="exact"/>
        <w:rPr>
          <w:rFonts w:hint="eastAsia" w:ascii="黑体" w:hAnsi="宋体" w:eastAsia="黑体" w:cs="宋体"/>
          <w:color w:val="FF0000"/>
          <w:kern w:val="0"/>
          <w:sz w:val="32"/>
          <w:szCs w:val="32"/>
        </w:rPr>
      </w:pP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根据《中华人民共和国安全生产法》《安全生产监管监察职责和行政执法责任追究的暂行规定》《国家矿山安全监察局关于印发&lt;非煤矿山安全监管部门年度监管执法计划编制办法（试行）&gt;的通知》（矿安〔2021〕168号）《四川省应急管理厅关于印发四川省非煤矿山安全生产年度监管执法计划编制实施细则的通知》（川应急〔2021〕173号）等有关规定。结合盐边县非煤矿山监管力量和非煤矿山企业实际情况，督促企业落实安全生产主体责任，加强安全生产监管执法工作，编制2022年盐边县非煤矿山安全监督执法工作计划。</w:t>
      </w:r>
    </w:p>
    <w:p>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一、指导思想和编制原则</w:t>
      </w:r>
    </w:p>
    <w:p>
      <w:pPr>
        <w:spacing w:line="560" w:lineRule="exact"/>
        <w:ind w:firstLine="482" w:firstLineChars="150"/>
        <w:rPr>
          <w:rFonts w:hint="eastAsia" w:ascii="仿宋_GB2312" w:hAnsi="宋体" w:eastAsia="仿宋_GB2312" w:cs="宋体"/>
          <w:kern w:val="0"/>
          <w:sz w:val="32"/>
          <w:szCs w:val="32"/>
        </w:rPr>
      </w:pPr>
      <w:r>
        <w:rPr>
          <w:rFonts w:hint="eastAsia" w:ascii="仿宋_GB2312" w:hAnsi="宋体" w:eastAsia="仿宋_GB2312" w:cs="宋体"/>
          <w:b/>
          <w:kern w:val="0"/>
          <w:sz w:val="32"/>
          <w:szCs w:val="32"/>
        </w:rPr>
        <w:t>指导思想：</w:t>
      </w:r>
      <w:r>
        <w:rPr>
          <w:rFonts w:hint="eastAsia" w:ascii="仿宋_GB2312" w:hAnsi="宋体" w:eastAsia="仿宋_GB2312" w:cs="宋体"/>
          <w:kern w:val="0"/>
          <w:sz w:val="32"/>
          <w:szCs w:val="32"/>
        </w:rPr>
        <w:t>以党的十九届六中全会和习近平新时代中国特色社会主义思想为指导，坚持“安全第一，预防为主、综合治理”的方针，深入贯彻执行国家、省、市、县相关安全工作部署。贯彻“人民至上，生命至上”的理念，以科学发展、安全发展为统领，强化监督执法。有效排查和治理事故隐患，严厉打击安全生产违法违规行为，进一步推动企业落实安全生产主体责任，全面推进企业安全生产清单制2.0版本，减少生产安全事故起数，促进全县非煤矿山安全生产形势进一步稳定好转。</w:t>
      </w:r>
    </w:p>
    <w:p>
      <w:pPr>
        <w:spacing w:line="560" w:lineRule="exact"/>
        <w:ind w:firstLine="482" w:firstLineChars="150"/>
        <w:rPr>
          <w:rFonts w:hint="eastAsia" w:ascii="仿宋_GB2312" w:hAnsi="宋体" w:eastAsia="仿宋_GB2312" w:cs="宋体"/>
          <w:kern w:val="0"/>
          <w:sz w:val="32"/>
          <w:szCs w:val="32"/>
        </w:rPr>
      </w:pPr>
      <w:r>
        <w:rPr>
          <w:rFonts w:hint="eastAsia" w:ascii="仿宋_GB2312" w:hAnsi="宋体" w:eastAsia="仿宋_GB2312" w:cs="宋体"/>
          <w:b/>
          <w:kern w:val="0"/>
          <w:sz w:val="32"/>
          <w:szCs w:val="32"/>
        </w:rPr>
        <w:t>编制原则：</w:t>
      </w:r>
      <w:r>
        <w:rPr>
          <w:rFonts w:hint="eastAsia" w:ascii="仿宋_GB2312" w:hAnsi="宋体" w:eastAsia="仿宋_GB2312" w:cs="宋体"/>
          <w:kern w:val="0"/>
          <w:sz w:val="32"/>
          <w:szCs w:val="32"/>
        </w:rPr>
        <w:t>一是坚持依法行政、严格执法的原则。切实履行安全监管执法职能，按照安全生产法律法规的要求，严格执法、公正执法、廉洁执法，严肃查处各种违法违规行为。二是坚持强化执法、落实安全生产主体责任的原则。通过监管执法督促企业履行安全生产主体职责，认真执行安全生产法律法规，加强安全管理，切实负起安全生产主体责任。三是坚持统筹兼顾、突出重点的原则。针对辖区企业安全生产状况，统筹安排，突出重点企业，兼顾其他企业；突出重点时期，兼顾日常监管。四是坚持量力而行、提高效能的原则；监管执法工作计划与监管执法工作能力相适应，具有可操作性。五是坚持计划执法、严格考核的原则。通过计划执法，优化监管力量，细化监管执法任务，通过严格考核，促进监管执法责任落实。</w:t>
      </w:r>
    </w:p>
    <w:p>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二、工作目标</w:t>
      </w:r>
    </w:p>
    <w:p>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通过安全生产监管执法计划的有序实施，对全县非煤矿山企业进行安全生产检查，督促企业严格遵守安全生产法律法规和规章制度。进一步完善并执行安全生产责任制，及时排查和整改生产安全事故隐患，对安全生产违法违规行为依法实施处罚，减少一般生产安全事故，杜绝较大以上生产安全事故发生，实现全县非煤矿山安全生产状况进一步稳定好转。具体目标为：（一）监管执法中发现的安全生产事故隐患责令限期整改率、到期复查率达100%；（二）监管执法中发现的安全生产违法行为依法查处率达100%；（三）监管执法中实施的行政处罚结案率达100%。</w:t>
      </w:r>
    </w:p>
    <w:p>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三、行政执法力量</w:t>
      </w:r>
    </w:p>
    <w:p>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非煤矿山安全监管股现有正式在编在岗行政执法人员3人。</w:t>
      </w:r>
    </w:p>
    <w:p>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四、执法工作日计算</w:t>
      </w:r>
    </w:p>
    <w:p>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（一）总法定工作日：729日。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计算依据：2022年法定工作日=365-105-17=243日。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1.2022年全年总天数365日。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2.双休日=52×2+1=105日。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3.元旦、春节、清明节、劳动节、端午节、火把节、中秋节、国庆节、彝族年共17天法定假日。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总法定工作日＝法定工作日×执法人数＝243×3＝729日。</w:t>
      </w:r>
    </w:p>
    <w:p>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（二）其他检查工作日：223日。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依据前三年的实际统计平均数：</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1.安全生产举报查处。件数×（核查工作日×执法人数+回复工作日×执法人数）=4×（2×3+0.5×3）=30日。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2.指导企业开展非煤矿山安全生产清单制提档升级、应急演练、安全服务等工作。30家×2人×1日/家=60日。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3.国家、省、市上级安全主管部门开展盐边县安全生产执法专项检查、安全大检查等。16次×3人=48日。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4.重大安全生产隐患排查报告的受理、登记建档、跟踪监控、督促整改工作，预计5日。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5.参加企业建设项目安全设施“三同时”程序、应急预案备案等工作，预计20日。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6.陪同县领导联系尾矿库检查，预计45次×1人=45日。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7.县政府和配合县级有关部门开展工作。预计15日。</w:t>
      </w:r>
    </w:p>
    <w:p>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（三）非执法工作日：180日。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依据前三年的实际统计平均数。</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1.机关值班、集中学习、考核、会议安排。2日/月×12月×3人=72日。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2.资料整理归档、统计分析、档案管理等工作，预计23日。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3.外出培训学习安排。3人×3日=9日。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4.病假、事假预计。3人×3日=9日。</w:t>
      </w:r>
    </w:p>
    <w:p>
      <w:pPr>
        <w:spacing w:line="560" w:lineRule="exact"/>
        <w:ind w:firstLine="320" w:firstLineChars="1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5.根据《职工带薪年休假条例》《机关事业单位工作人员带薪年休假实施办法》《四川省人口与计划生育条例》等规定，法定年休假、探亲假、婚（丧）假等2×15+10+15=55日。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6.党群活动工作。2人×0.5日×12月=12日。</w:t>
      </w:r>
    </w:p>
    <w:p>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（四）监管执法工作日：326日。</w:t>
      </w:r>
    </w:p>
    <w:p>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计算依据：总法定工作日－其他检查工作日-非执法工作日=执法工作日。729-223-180=326日。</w:t>
      </w:r>
    </w:p>
    <w:p>
      <w:pPr>
        <w:spacing w:line="560" w:lineRule="exact"/>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2022年纳入监管执法检查计划的生产经营企业44家（23座尾矿库、21家金属非金属矿山），根据生产经营单位安全生产基本情况、行业特点、职业危害程度等要素将日常监管的生产经营单位划为四级，执行分级监管。A级生产经营单位年度监管执法不少于1次，B级生产经营单位年度监管不少于2次，C级生产经营单位年度监管计划4次，未分级生产经营单位年度监管计划2次。截止目前， 44家企业：其中A级生产经营单位3个，B级生产经营单位20个，C级生产经营单位7个，未分级生产经营单位14个。</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1.日常执法检查。（3×1+20×2+7×4+14×2）×2=198日。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2.预计行政处罚、隐患复查等工作，预计96日。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3.开展非煤矿山企业复工复产工作。12家×1次×3人=36日。</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4.2022年需执法检查工作日198+96+36=330日，大于326日，预计需加班才能完成工作。</w:t>
      </w:r>
    </w:p>
    <w:p>
      <w:pPr>
        <w:spacing w:line="56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rPr>
        <w:t>五、监管执法重点</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执法检查的重点领域：尾矿库、露天矿山、地下矿山行业领域。执法检查的重点区域：新九镇、红格镇、桐子林镇、渔门镇、永兴镇、红果乡、红宝乡。执法检查的重点事项：企业安全生产责任清单制2.0版本提档升级、建设项目安全设施“三同时”、安全生产教育培训、安全投入、应急预案编制与演练、事故隐患排查治理等专项检查内容。</w:t>
      </w:r>
    </w:p>
    <w:p>
      <w:pPr>
        <w:spacing w:line="560" w:lineRule="exact"/>
        <w:ind w:firstLine="480" w:firstLineChars="150"/>
        <w:rPr>
          <w:rFonts w:hint="eastAsia" w:ascii="仿宋_GB2312" w:hAnsi="宋体" w:eastAsia="仿宋_GB2312" w:cs="宋体"/>
          <w:color w:val="FF0000"/>
          <w:kern w:val="0"/>
          <w:sz w:val="32"/>
          <w:szCs w:val="32"/>
        </w:rPr>
      </w:pPr>
      <w:r>
        <w:rPr>
          <w:rFonts w:hint="eastAsia" w:ascii="仿宋_GB2312" w:hAnsi="宋体" w:eastAsia="仿宋_GB2312" w:cs="宋体"/>
          <w:color w:val="FF0000"/>
          <w:kern w:val="0"/>
          <w:sz w:val="32"/>
          <w:szCs w:val="32"/>
        </w:rPr>
        <w:t xml:space="preserve"> </w:t>
      </w:r>
      <w:r>
        <w:rPr>
          <w:rFonts w:hint="eastAsia" w:ascii="黑体" w:hAnsi="黑体" w:eastAsia="黑体" w:cs="宋体"/>
          <w:kern w:val="0"/>
          <w:sz w:val="32"/>
          <w:szCs w:val="32"/>
        </w:rPr>
        <w:t>六、执法检查的内容和要求</w:t>
      </w:r>
    </w:p>
    <w:p>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（一）执法检查的内容。</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按照《中华人民共和国安全生产法》《生产安全事故应急条例》《尾矿库安全监督管理规定》《小型露天采石场安全管理与监督检查规定》《建设项目安全设施“三同时”监督管理暂行办法》《安全生产行政执法检查清单》等相关法律法规、规章制度规程的内容进行检查。</w:t>
      </w:r>
    </w:p>
    <w:p>
      <w:pPr>
        <w:spacing w:line="560" w:lineRule="exact"/>
        <w:ind w:firstLine="480" w:firstLineChars="150"/>
        <w:rPr>
          <w:rFonts w:hint="eastAsia" w:ascii="楷体" w:hAnsi="楷体" w:eastAsia="楷体" w:cs="宋体"/>
          <w:kern w:val="0"/>
          <w:sz w:val="32"/>
          <w:szCs w:val="32"/>
        </w:rPr>
      </w:pPr>
      <w:r>
        <w:rPr>
          <w:rFonts w:hint="eastAsia" w:ascii="楷体" w:hAnsi="楷体" w:eastAsia="楷体" w:cs="宋体"/>
          <w:kern w:val="0"/>
          <w:sz w:val="32"/>
          <w:szCs w:val="32"/>
        </w:rPr>
        <w:t>（二）执法检查的要求。</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1.执法检查通过审查资料、现场检查、调查询问等方式进行。参与监管执法的行政执法人员不得少于2人，必须亮证执法。每次监管执法应当填写《现场检查记录》，并由被检查单位相关人员签字确认。</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2.对检查发现的事故隐患下达《责令限期整改指令书》，按期复查并下达《整改复查意见书》。</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3.对监管执法中发现的安全生产违法行为应当依法实施行政处罚，涉嫌追究刑事责任的，应当及时移交司法机关。</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4.对群众举报、媒体曝光、上级交办、部门移交的安全生产非法违法行为及时进行核查处理。</w:t>
      </w:r>
    </w:p>
    <w:p>
      <w:pPr>
        <w:spacing w:line="560" w:lineRule="exact"/>
        <w:ind w:firstLine="480" w:firstLineChars="150"/>
        <w:rPr>
          <w:rFonts w:hint="eastAsia" w:ascii="黑体" w:hAnsi="黑体" w:eastAsia="黑体" w:cs="宋体"/>
          <w:kern w:val="0"/>
          <w:sz w:val="32"/>
          <w:szCs w:val="32"/>
        </w:rPr>
      </w:pPr>
      <w:r>
        <w:rPr>
          <w:rFonts w:hint="eastAsia" w:ascii="黑体" w:hAnsi="黑体" w:eastAsia="黑体" w:cs="宋体"/>
          <w:kern w:val="0"/>
          <w:sz w:val="32"/>
          <w:szCs w:val="32"/>
        </w:rPr>
        <w:t>七、安全生产宣传教育培训</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（一）对乡（镇）安全监管工作人员进行指导，提高基层安全监管水平。督促企业加强“三项岗位人员”安全教育培训持证上岗。</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（二）根据安全生产法律法规要求，全年组织一次培训，对全县非煤矿山企业法人、安全分管负责人、安全管理人员进行培训，学习安全生产法律法规、上级文件等内容，全年计划约80人次。</w:t>
      </w:r>
    </w:p>
    <w:p>
      <w:pPr>
        <w:spacing w:line="560" w:lineRule="exact"/>
        <w:ind w:firstLine="480" w:firstLineChars="15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（三）督促企业开展全国“安全生产月”活动、开展应急预案演练，进一步提高从业人员的安全生产意识。</w:t>
      </w:r>
    </w:p>
    <w:p>
      <w:pPr>
        <w:spacing w:line="560" w:lineRule="exact"/>
        <w:ind w:firstLine="640" w:firstLineChars="200"/>
        <w:rPr>
          <w:rFonts w:hint="eastAsia" w:ascii="黑体" w:hAnsi="黑体" w:eastAsia="黑体" w:cs="宋体"/>
          <w:kern w:val="0"/>
          <w:sz w:val="32"/>
          <w:szCs w:val="32"/>
        </w:rPr>
      </w:pPr>
      <w:r>
        <w:rPr>
          <w:rFonts w:hint="eastAsia" w:ascii="黑体" w:hAnsi="黑体" w:eastAsia="黑体" w:cs="宋体"/>
          <w:kern w:val="0"/>
          <w:sz w:val="32"/>
          <w:szCs w:val="32"/>
        </w:rPr>
        <w:t>八、工作要求</w:t>
      </w:r>
    </w:p>
    <w:p>
      <w:pPr>
        <w:spacing w:line="560" w:lineRule="exact"/>
        <w:ind w:firstLine="480" w:firstLineChars="150"/>
        <w:rPr>
          <w:rFonts w:hint="eastAsia" w:ascii="仿宋_GB2312" w:hAnsi="宋体" w:eastAsia="仿宋_GB2312" w:cs="宋体"/>
          <w:kern w:val="0"/>
          <w:sz w:val="32"/>
          <w:szCs w:val="32"/>
        </w:rPr>
      </w:pPr>
      <w:r>
        <w:rPr>
          <w:rFonts w:hint="eastAsia" w:ascii="楷体" w:hAnsi="楷体" w:eastAsia="楷体" w:cs="宋体"/>
          <w:kern w:val="0"/>
          <w:sz w:val="32"/>
          <w:szCs w:val="32"/>
        </w:rPr>
        <w:t>（一）加强组织领导。</w:t>
      </w:r>
      <w:r>
        <w:rPr>
          <w:rFonts w:hint="eastAsia" w:ascii="仿宋_GB2312" w:hAnsi="宋体" w:eastAsia="仿宋_GB2312" w:cs="宋体"/>
          <w:kern w:val="0"/>
          <w:sz w:val="32"/>
          <w:szCs w:val="32"/>
        </w:rPr>
        <w:t>将非煤矿山安全监管执法纳入全局重点工作目标，局长负总责，分管领导对非煤矿山的安全监管执法工作负责。非煤矿山安全监管股按照经县政府批准的监管执法计划执行。</w:t>
      </w:r>
    </w:p>
    <w:p>
      <w:pPr>
        <w:spacing w:line="560" w:lineRule="exact"/>
        <w:ind w:firstLine="480" w:firstLineChars="150"/>
        <w:rPr>
          <w:rFonts w:hint="eastAsia" w:ascii="仿宋_GB2312" w:hAnsi="宋体" w:eastAsia="仿宋_GB2312" w:cs="宋体"/>
          <w:kern w:val="0"/>
          <w:sz w:val="32"/>
          <w:szCs w:val="32"/>
        </w:rPr>
      </w:pPr>
      <w:r>
        <w:rPr>
          <w:rFonts w:hint="eastAsia" w:ascii="楷体" w:hAnsi="楷体" w:eastAsia="楷体" w:cs="宋体"/>
          <w:kern w:val="0"/>
          <w:sz w:val="32"/>
          <w:szCs w:val="32"/>
        </w:rPr>
        <w:t>（二）严格规范执法。</w:t>
      </w:r>
      <w:r>
        <w:rPr>
          <w:rFonts w:hint="eastAsia" w:ascii="仿宋_GB2312" w:hAnsi="宋体" w:eastAsia="仿宋_GB2312" w:cs="宋体"/>
          <w:kern w:val="0"/>
          <w:sz w:val="32"/>
          <w:szCs w:val="32"/>
        </w:rPr>
        <w:t>切实履行安全监督管理职能，严格按照安全生产法律法规的要求，公正执法、廉洁执法、文明执法，严肃查处各种安全生产违法违规行为，规范使用各类行政执法文书。完善监管执法档案资料，做到客观、全面、真实。</w:t>
      </w:r>
    </w:p>
    <w:p>
      <w:pPr>
        <w:spacing w:line="560" w:lineRule="exact"/>
        <w:ind w:firstLine="480" w:firstLineChars="150"/>
        <w:rPr>
          <w:rFonts w:hint="eastAsia" w:ascii="方正仿宋_GBK" w:hAnsi="宋体" w:eastAsia="方正仿宋_GBK" w:cs="宋体"/>
          <w:kern w:val="0"/>
          <w:sz w:val="32"/>
          <w:szCs w:val="32"/>
        </w:rPr>
        <w:sectPr>
          <w:footerReference r:id="rId3" w:type="default"/>
          <w:footerReference r:id="rId4" w:type="even"/>
          <w:pgSz w:w="11906" w:h="16838"/>
          <w:pgMar w:top="2098" w:right="1474" w:bottom="1985" w:left="1588" w:header="851" w:footer="992" w:gutter="0"/>
          <w:pgNumType w:start="1"/>
          <w:cols w:space="720" w:num="1"/>
          <w:docGrid w:linePitch="312" w:charSpace="0"/>
        </w:sectPr>
      </w:pPr>
      <w:r>
        <w:rPr>
          <w:rFonts w:hint="eastAsia" w:ascii="楷体" w:hAnsi="楷体" w:eastAsia="楷体" w:cs="宋体"/>
          <w:kern w:val="0"/>
          <w:sz w:val="32"/>
          <w:szCs w:val="32"/>
        </w:rPr>
        <w:t>（三）强化服务意识。</w:t>
      </w:r>
      <w:r>
        <w:rPr>
          <w:rFonts w:hint="eastAsia" w:ascii="仿宋_GB2312" w:hAnsi="宋体" w:eastAsia="仿宋_GB2312" w:cs="宋体"/>
          <w:kern w:val="0"/>
          <w:sz w:val="32"/>
          <w:szCs w:val="32"/>
        </w:rPr>
        <w:t>执法人员要树立服务基层、服务企业的意识，为企业发展创造安全环境。在监管执法活动中做到“执法先普法、执法先服务”，通过公正执法、人性化执法、说理式执法，不断提高企业安全管理水平，督促企业及时消除、整改安全生产事故隐患，促进企业落实安全生产主体责任。</w:t>
      </w:r>
    </w:p>
    <w:p>
      <w:pPr>
        <w:widowControl/>
        <w:jc w:val="center"/>
        <w:rPr>
          <w:rFonts w:hint="eastAsia" w:ascii="方正小标宋简体" w:hAnsi="方正小标宋_GBK" w:eastAsia="方正小标宋简体" w:cs="方正小标宋_GBK"/>
          <w:bCs/>
          <w:kern w:val="0"/>
          <w:sz w:val="36"/>
          <w:szCs w:val="36"/>
        </w:rPr>
      </w:pPr>
      <w:r>
        <w:rPr>
          <w:rFonts w:hint="eastAsia" w:ascii="方正小标宋简体" w:hAnsi="方正小标宋_GBK" w:eastAsia="方正小标宋简体" w:cs="方正小标宋_GBK"/>
          <w:bCs/>
          <w:kern w:val="0"/>
          <w:sz w:val="36"/>
          <w:szCs w:val="36"/>
        </w:rPr>
        <w:t>2022年度非煤矿山（尾矿库）安全生产监管执法计划表</w:t>
      </w:r>
    </w:p>
    <w:tbl>
      <w:tblPr>
        <w:tblStyle w:val="8"/>
        <w:tblW w:w="132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2340"/>
        <w:gridCol w:w="1440"/>
        <w:gridCol w:w="1260"/>
        <w:gridCol w:w="1117"/>
        <w:gridCol w:w="720"/>
        <w:gridCol w:w="720"/>
        <w:gridCol w:w="1080"/>
        <w:gridCol w:w="1080"/>
        <w:gridCol w:w="1080"/>
        <w:gridCol w:w="1043"/>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vMerge w:val="restart"/>
            <w:noWrap w:val="0"/>
            <w:vAlign w:val="center"/>
          </w:tcPr>
          <w:p>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序号</w:t>
            </w:r>
          </w:p>
        </w:tc>
        <w:tc>
          <w:tcPr>
            <w:tcW w:w="2340" w:type="dxa"/>
            <w:vMerge w:val="restart"/>
            <w:noWrap w:val="0"/>
            <w:vAlign w:val="center"/>
          </w:tcPr>
          <w:p>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单位名称</w:t>
            </w:r>
          </w:p>
        </w:tc>
        <w:tc>
          <w:tcPr>
            <w:tcW w:w="1440" w:type="dxa"/>
            <w:vMerge w:val="restart"/>
            <w:noWrap w:val="0"/>
            <w:vAlign w:val="center"/>
          </w:tcPr>
          <w:p>
            <w:pPr>
              <w:widowControl/>
              <w:ind w:firstLine="177" w:firstLineChars="98"/>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地   址</w:t>
            </w:r>
          </w:p>
        </w:tc>
        <w:tc>
          <w:tcPr>
            <w:tcW w:w="1260" w:type="dxa"/>
            <w:vMerge w:val="restart"/>
            <w:noWrap w:val="0"/>
            <w:vAlign w:val="center"/>
          </w:tcPr>
          <w:p>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产  品</w:t>
            </w:r>
          </w:p>
        </w:tc>
        <w:tc>
          <w:tcPr>
            <w:tcW w:w="1117" w:type="dxa"/>
            <w:vMerge w:val="restart"/>
            <w:noWrap w:val="0"/>
            <w:vAlign w:val="center"/>
          </w:tcPr>
          <w:p>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生产能力（万吨/年）</w:t>
            </w:r>
          </w:p>
        </w:tc>
        <w:tc>
          <w:tcPr>
            <w:tcW w:w="720" w:type="dxa"/>
            <w:vMerge w:val="restart"/>
            <w:noWrap w:val="0"/>
            <w:vAlign w:val="center"/>
          </w:tcPr>
          <w:p>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监管分类</w:t>
            </w:r>
          </w:p>
        </w:tc>
        <w:tc>
          <w:tcPr>
            <w:tcW w:w="720" w:type="dxa"/>
            <w:vMerge w:val="restart"/>
            <w:noWrap w:val="0"/>
            <w:vAlign w:val="center"/>
          </w:tcPr>
          <w:p>
            <w:pPr>
              <w:widowControl/>
              <w:jc w:val="center"/>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运行情况</w:t>
            </w:r>
          </w:p>
        </w:tc>
        <w:tc>
          <w:tcPr>
            <w:tcW w:w="4283" w:type="dxa"/>
            <w:gridSpan w:val="4"/>
            <w:noWrap w:val="0"/>
            <w:vAlign w:val="center"/>
          </w:tcPr>
          <w:p>
            <w:pPr>
              <w:widowControl/>
              <w:ind w:firstLine="1057" w:firstLineChars="585"/>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监管执法检查时间2022年</w:t>
            </w:r>
          </w:p>
        </w:tc>
        <w:tc>
          <w:tcPr>
            <w:tcW w:w="900" w:type="dxa"/>
            <w:vMerge w:val="restart"/>
            <w:noWrap w:val="0"/>
            <w:vAlign w:val="center"/>
          </w:tcPr>
          <w:p>
            <w:pPr>
              <w:widowControl/>
              <w:ind w:firstLine="89" w:firstLineChars="49"/>
              <w:rPr>
                <w:rFonts w:hint="eastAsia" w:ascii="仿宋_GB2312" w:hAnsi="方正小标宋_GBK" w:eastAsia="仿宋_GB2312" w:cs="方正小标宋_GBK"/>
                <w:b/>
                <w:bCs/>
                <w:kern w:val="0"/>
                <w:sz w:val="18"/>
                <w:szCs w:val="18"/>
              </w:rPr>
            </w:pPr>
            <w:r>
              <w:rPr>
                <w:rFonts w:hint="eastAsia" w:ascii="仿宋_GB2312" w:hAnsi="方正小标宋_GBK" w:eastAsia="仿宋_GB2312" w:cs="方正小标宋_GBK"/>
                <w:b/>
                <w:bCs/>
                <w:kern w:val="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c>
          <w:tcPr>
            <w:tcW w:w="2340"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c>
          <w:tcPr>
            <w:tcW w:w="1440" w:type="dxa"/>
            <w:vMerge w:val="continue"/>
            <w:noWrap w:val="0"/>
            <w:vAlign w:val="center"/>
          </w:tcPr>
          <w:p>
            <w:pPr>
              <w:widowControl/>
              <w:ind w:firstLine="271" w:firstLineChars="150"/>
              <w:jc w:val="center"/>
              <w:rPr>
                <w:rFonts w:hint="eastAsia" w:ascii="方正仿宋_GBK" w:hAnsi="方正小标宋_GBK" w:eastAsia="方正仿宋_GBK" w:cs="方正小标宋_GBK"/>
                <w:b/>
                <w:bCs/>
                <w:kern w:val="0"/>
                <w:sz w:val="18"/>
                <w:szCs w:val="18"/>
              </w:rPr>
            </w:pPr>
          </w:p>
        </w:tc>
        <w:tc>
          <w:tcPr>
            <w:tcW w:w="1260"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c>
          <w:tcPr>
            <w:tcW w:w="1117"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c>
          <w:tcPr>
            <w:tcW w:w="720"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c>
          <w:tcPr>
            <w:tcW w:w="720"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c>
          <w:tcPr>
            <w:tcW w:w="1080" w:type="dxa"/>
            <w:noWrap w:val="0"/>
            <w:vAlign w:val="center"/>
          </w:tcPr>
          <w:p>
            <w:pPr>
              <w:widowControl/>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第一季度</w:t>
            </w:r>
          </w:p>
        </w:tc>
        <w:tc>
          <w:tcPr>
            <w:tcW w:w="1080" w:type="dxa"/>
            <w:noWrap w:val="0"/>
            <w:vAlign w:val="center"/>
          </w:tcPr>
          <w:p>
            <w:pPr>
              <w:widowControl/>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第二季度</w:t>
            </w:r>
          </w:p>
        </w:tc>
        <w:tc>
          <w:tcPr>
            <w:tcW w:w="1080" w:type="dxa"/>
            <w:noWrap w:val="0"/>
            <w:vAlign w:val="center"/>
          </w:tcPr>
          <w:p>
            <w:pPr>
              <w:widowControl/>
              <w:ind w:right="109" w:rightChars="52"/>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第三季度</w:t>
            </w:r>
          </w:p>
        </w:tc>
        <w:tc>
          <w:tcPr>
            <w:tcW w:w="1043" w:type="dxa"/>
            <w:noWrap w:val="0"/>
            <w:vAlign w:val="center"/>
          </w:tcPr>
          <w:p>
            <w:pPr>
              <w:widowControl/>
              <w:jc w:val="center"/>
              <w:rPr>
                <w:rFonts w:hint="eastAsia" w:ascii="方正仿宋_GBK" w:hAnsi="方正小标宋_GBK" w:eastAsia="方正仿宋_GBK" w:cs="方正小标宋_GBK"/>
                <w:b/>
                <w:bCs/>
                <w:kern w:val="0"/>
                <w:sz w:val="18"/>
                <w:szCs w:val="18"/>
              </w:rPr>
            </w:pPr>
            <w:r>
              <w:rPr>
                <w:rFonts w:hint="eastAsia" w:ascii="方正仿宋_GBK" w:hAnsi="方正小标宋_GBK" w:eastAsia="方正仿宋_GBK" w:cs="方正小标宋_GBK"/>
                <w:b/>
                <w:bCs/>
                <w:kern w:val="0"/>
                <w:sz w:val="18"/>
                <w:szCs w:val="18"/>
              </w:rPr>
              <w:t>第四季度</w:t>
            </w:r>
          </w:p>
        </w:tc>
        <w:tc>
          <w:tcPr>
            <w:tcW w:w="900" w:type="dxa"/>
            <w:vMerge w:val="continue"/>
            <w:noWrap w:val="0"/>
            <w:vAlign w:val="center"/>
          </w:tcPr>
          <w:p>
            <w:pPr>
              <w:widowControl/>
              <w:jc w:val="center"/>
              <w:rPr>
                <w:rFonts w:hint="eastAsia" w:ascii="方正仿宋_GBK" w:hAnsi="方正小标宋_GBK" w:eastAsia="方正仿宋_GBK" w:cs="方正小标宋_GBK"/>
                <w:b/>
                <w:bCs/>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四川龙蟒矿冶有限责任公司牛望田尾矿库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新九镇九场村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p>
            <w:pPr>
              <w:jc w:val="center"/>
              <w:rPr>
                <w:rFonts w:hint="eastAsia" w:ascii="仿宋_GB2312" w:eastAsia="仿宋_GB2312"/>
                <w:sz w:val="18"/>
                <w:szCs w:val="18"/>
              </w:rPr>
            </w:pPr>
            <w:r>
              <w:rPr>
                <w:rFonts w:hint="eastAsia" w:ascii="仿宋_GB2312" w:eastAsia="仿宋_GB2312"/>
                <w:sz w:val="18"/>
                <w:szCs w:val="18"/>
              </w:rPr>
              <w:t>钛精矿</w:t>
            </w:r>
          </w:p>
          <w:p>
            <w:pPr>
              <w:jc w:val="center"/>
              <w:rPr>
                <w:rFonts w:hint="eastAsia" w:ascii="仿宋_GB2312" w:eastAsia="仿宋_GB2312"/>
                <w:sz w:val="18"/>
                <w:szCs w:val="18"/>
              </w:rPr>
            </w:pPr>
            <w:r>
              <w:rPr>
                <w:rFonts w:hint="eastAsia" w:ascii="仿宋_GB2312" w:eastAsia="仿宋_GB2312"/>
                <w:sz w:val="18"/>
                <w:szCs w:val="18"/>
              </w:rPr>
              <w:t>硫钴精矿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350万吨</w:t>
            </w:r>
          </w:p>
          <w:p>
            <w:pPr>
              <w:jc w:val="center"/>
              <w:rPr>
                <w:rFonts w:hint="eastAsia" w:ascii="仿宋_GB2312" w:eastAsia="仿宋_GB2312"/>
                <w:sz w:val="18"/>
                <w:szCs w:val="18"/>
              </w:rPr>
            </w:pPr>
            <w:r>
              <w:rPr>
                <w:rFonts w:hint="eastAsia" w:ascii="仿宋_GB2312" w:eastAsia="仿宋_GB2312"/>
                <w:sz w:val="18"/>
                <w:szCs w:val="18"/>
              </w:rPr>
              <w:t>90万吨</w:t>
            </w:r>
          </w:p>
          <w:p>
            <w:pPr>
              <w:jc w:val="center"/>
              <w:rPr>
                <w:rFonts w:hint="eastAsia" w:ascii="仿宋_GB2312" w:eastAsia="仿宋_GB2312"/>
                <w:sz w:val="18"/>
                <w:szCs w:val="18"/>
              </w:rPr>
            </w:pPr>
            <w:r>
              <w:rPr>
                <w:rFonts w:hint="eastAsia" w:ascii="仿宋_GB2312" w:eastAsia="仿宋_GB2312"/>
                <w:sz w:val="18"/>
                <w:szCs w:val="18"/>
              </w:rPr>
              <w:t>3万吨</w:t>
            </w:r>
          </w:p>
        </w:tc>
        <w:tc>
          <w:tcPr>
            <w:tcW w:w="720" w:type="dxa"/>
            <w:noWrap w:val="0"/>
            <w:vAlign w:val="center"/>
          </w:tcPr>
          <w:p>
            <w:pPr>
              <w:ind w:firstLine="180" w:firstLineChars="100"/>
              <w:rPr>
                <w:rFonts w:hint="eastAsia" w:ascii="仿宋_GB2312" w:eastAsia="仿宋_GB2312"/>
                <w:sz w:val="18"/>
                <w:szCs w:val="18"/>
              </w:rPr>
            </w:pPr>
            <w:r>
              <w:rPr>
                <w:rFonts w:hint="eastAsia" w:ascii="仿宋_GB2312" w:eastAsia="仿宋_GB2312"/>
                <w:sz w:val="18"/>
                <w:szCs w:val="18"/>
              </w:rPr>
              <w:t>C</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hAnsi="Arial Unicode MS" w:eastAsia="仿宋_GB2312" w:cs="Arial Unicode MS"/>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2</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盐边县得天矿业有限责任公司箐尾尾矿库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红格镇新隆村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50万吨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C</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盐边县博创矿业有限责任公司尾矿库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新九镇新坝村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20万吨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4</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攀枝花一立钒钛有限公司尾矿库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钛精矿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5</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盐边县财通铁钛有限责任公司尾矿库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新九镇柳树村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80万吨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6</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盐边县千帆矿业有限公司尾矿库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新九镇水平村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15万吨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7</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盐边县成宗矿业有限公司伍家沟尾矿库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渔门镇团结村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铜镍矿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8</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攀枝花市盐边县二滩矿产品开发有限责任公司小水井尾矿库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9</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攀枝花市盐边县二滩矿产品开发有限责任公司选厂尾矿库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回采</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攀枝花市先力矿业有限公司尾矿库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15万吨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11</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攀枝花市博达资源开发有限责任公司尾矿库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12</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盐边县宏大铜镍有限责任公司尾矿库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渔门镇双龙村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铜镍矿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13</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攀枝花市红发物资有限责任公司干沟尾矿库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红格镇昔格达村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20万吨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拟闭库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14</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攀枝花市经质矿产有限责任公司尾矿库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红格镇红星村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28"/>
                <w:szCs w:val="28"/>
              </w:rPr>
            </w:pPr>
            <w:r>
              <w:rPr>
                <w:rFonts w:hint="eastAsia" w:ascii="仿宋_GB2312" w:eastAsia="仿宋_GB2312"/>
                <w:sz w:val="18"/>
                <w:szCs w:val="18"/>
              </w:rPr>
              <w:t>正在闭库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15</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盐边县天龙矿业有限责任公司申家沟尾矿库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20万吨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16</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盐边县忠发矿产品开发有限责任公司尾矿库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17</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攀枝花市新隆矿业有限公司尾矿库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新九镇水平村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28"/>
                <w:szCs w:val="28"/>
              </w:rPr>
            </w:pPr>
            <w:r>
              <w:rPr>
                <w:rFonts w:hint="eastAsia" w:ascii="仿宋_GB2312" w:eastAsia="仿宋_GB2312"/>
                <w:sz w:val="18"/>
                <w:szCs w:val="18"/>
              </w:rPr>
              <w:t>正在闭库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18</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盐边县钰凌矿业有限责任公司尾矿库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20万吨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19</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盐边县精泰工贸有限责任公司尾矿库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红格镇昔格达村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A</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拟销库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20</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盐边县三友矿产品加工厂尾矿库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红格镇昔格达村</w:t>
            </w:r>
          </w:p>
        </w:tc>
        <w:tc>
          <w:tcPr>
            <w:tcW w:w="1260" w:type="dxa"/>
            <w:noWrap w:val="0"/>
            <w:vAlign w:val="top"/>
          </w:tcPr>
          <w:p>
            <w:pPr>
              <w:ind w:firstLine="270" w:firstLineChars="150"/>
              <w:rPr>
                <w:rFonts w:hint="eastAsia" w:ascii="仿宋_GB2312" w:eastAsia="仿宋_GB2312"/>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4万吨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p>
            <w:pPr>
              <w:jc w:val="center"/>
              <w:rPr>
                <w:rFonts w:hint="eastAsia" w:ascii="仿宋_GB2312" w:eastAsia="仿宋_GB2312"/>
                <w:sz w:val="18"/>
                <w:szCs w:val="18"/>
              </w:rPr>
            </w:pP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回采</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21</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攀枝花鑫润矿业有限公司回龙尾矿库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新九镇回龙村</w:t>
            </w:r>
          </w:p>
        </w:tc>
        <w:tc>
          <w:tcPr>
            <w:tcW w:w="1260" w:type="dxa"/>
            <w:noWrap w:val="0"/>
            <w:vAlign w:val="top"/>
          </w:tcPr>
          <w:p>
            <w:pPr>
              <w:ind w:firstLine="270" w:firstLineChars="150"/>
              <w:rPr>
                <w:rFonts w:hint="eastAsia" w:ascii="仿宋_GB2312" w:eastAsia="仿宋_GB2312"/>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在建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22</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盐边县富丰工贸有限责任公司九道拐尾矿库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top"/>
          </w:tcPr>
          <w:p>
            <w:pPr>
              <w:ind w:firstLine="270" w:firstLineChars="150"/>
              <w:rPr>
                <w:rFonts w:hint="eastAsia" w:ascii="仿宋_GB2312" w:eastAsia="仿宋_GB2312"/>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30万吨</w:t>
            </w:r>
          </w:p>
        </w:tc>
        <w:tc>
          <w:tcPr>
            <w:tcW w:w="720" w:type="dxa"/>
            <w:noWrap w:val="0"/>
            <w:vAlign w:val="top"/>
          </w:tcPr>
          <w:p>
            <w:pPr>
              <w:jc w:val="center"/>
              <w:rPr>
                <w:rFonts w:hint="eastAsia" w:ascii="仿宋_GB2312" w:eastAsia="仿宋_GB2312"/>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在建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23</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攀钢集团矿业有限公司中沟湾尾矿库</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盐边县桐子林镇</w:t>
            </w:r>
          </w:p>
        </w:tc>
        <w:tc>
          <w:tcPr>
            <w:tcW w:w="1260" w:type="dxa"/>
            <w:noWrap w:val="0"/>
            <w:vAlign w:val="top"/>
          </w:tcPr>
          <w:p>
            <w:pPr>
              <w:ind w:firstLine="270" w:firstLineChars="150"/>
              <w:rPr>
                <w:rFonts w:hint="eastAsia" w:ascii="仿宋_GB2312" w:eastAsia="仿宋_GB2312"/>
              </w:rPr>
            </w:pPr>
            <w:r>
              <w:rPr>
                <w:rFonts w:hint="eastAsia" w:ascii="仿宋_GB2312" w:eastAsia="仿宋_GB2312"/>
                <w:sz w:val="18"/>
                <w:szCs w:val="18"/>
              </w:rPr>
              <w:t>铁精矿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noWrap w:val="0"/>
            <w:vAlign w:val="top"/>
          </w:tcPr>
          <w:p>
            <w:pPr>
              <w:jc w:val="center"/>
              <w:rPr>
                <w:rFonts w:hint="eastAsia" w:ascii="仿宋_GB2312" w:eastAsia="仿宋_GB2312"/>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在建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24</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龙佰攀枝花矿产品有限公司红格铁矿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新九镇九场村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钒钛磁铁矿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800万吨</w:t>
            </w:r>
          </w:p>
        </w:tc>
        <w:tc>
          <w:tcPr>
            <w:tcW w:w="720" w:type="dxa"/>
            <w:noWrap w:val="0"/>
            <w:vAlign w:val="center"/>
          </w:tcPr>
          <w:p>
            <w:pPr>
              <w:ind w:firstLine="180" w:firstLineChars="100"/>
              <w:rPr>
                <w:rFonts w:hint="eastAsia" w:ascii="仿宋_GB2312" w:eastAsia="仿宋_GB2312"/>
                <w:sz w:val="18"/>
                <w:szCs w:val="18"/>
              </w:rPr>
            </w:pPr>
            <w:r>
              <w:rPr>
                <w:rFonts w:hint="eastAsia" w:ascii="仿宋_GB2312" w:eastAsia="仿宋_GB2312"/>
                <w:sz w:val="18"/>
                <w:szCs w:val="18"/>
              </w:rPr>
              <w:t>C</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25</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盐边县得天矿业有限责任公司盐边箐尾钒钛磁铁矿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红格镇新隆村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钒钛磁铁矿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350万吨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C</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26</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盐边县中天矿业有限责任公司新九大老包铁矿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新九镇炉库村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钒钛磁铁矿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在建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27</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盐边县宏金星粘土矿有限公司矿山</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红果乡松坪子村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耐火粘土</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A</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28</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 xml:space="preserve">盐边县成宗矿业有限公司冷水箐3号岩体铜镍矿 </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渔门镇团结村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铜镍矿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9.9万吨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C</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29</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盐边县宏大铜镍有限责任公司冷水箐铜镍矿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渔门镇双龙村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铜镍矿</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9.9万吨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rPr>
            </w:pPr>
            <w:r>
              <w:rPr>
                <w:rFonts w:hint="eastAsia" w:ascii="仿宋_GB2312" w:eastAsia="仿宋_GB2312"/>
                <w:sz w:val="18"/>
                <w:szCs w:val="18"/>
              </w:rPr>
              <w:t>停产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30</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攀枝花堡垒建材有限责任公司干沟采石场</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红格镇昔格达村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建筑白云岩</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3万立方米</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31</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攀枝花堡垒建材有限责任公司箐门采石厂</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红格镇昔格达村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建筑白云岩</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1.5万立方米</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在建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32</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盐边县宏昌永照硅矿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红宝乡广东湾村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冶金石英岩</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2万吨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A</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停产</w:t>
            </w:r>
          </w:p>
        </w:tc>
        <w:tc>
          <w:tcPr>
            <w:tcW w:w="1080" w:type="dxa"/>
            <w:noWrap w:val="0"/>
            <w:vAlign w:val="top"/>
          </w:tcPr>
          <w:p>
            <w:pPr>
              <w:ind w:firstLine="320" w:firstLineChars="100"/>
              <w:rPr>
                <w:rFonts w:hint="eastAsia" w:ascii="仿宋_GB2312" w:eastAsia="仿宋_GB2312"/>
              </w:rPr>
            </w:pPr>
            <w:r>
              <w:rPr>
                <w:rFonts w:hint="eastAsia" w:ascii="仿宋_GB2312" w:eastAsia="仿宋_GB2312"/>
                <w:sz w:val="32"/>
                <w:szCs w:val="32"/>
              </w:rPr>
              <w:t>△</w:t>
            </w:r>
          </w:p>
        </w:tc>
        <w:tc>
          <w:tcPr>
            <w:tcW w:w="1080" w:type="dxa"/>
            <w:noWrap w:val="0"/>
            <w:vAlign w:val="top"/>
          </w:tcPr>
          <w:p>
            <w:pPr>
              <w:rPr>
                <w:rFonts w:hint="eastAsia" w:ascii="仿宋_GB2312" w:eastAsia="仿宋_GB2312"/>
              </w:rPr>
            </w:pPr>
            <w:r>
              <w:rPr>
                <w:rFonts w:hint="eastAsia" w:ascii="仿宋_GB2312" w:eastAsia="仿宋_GB2312"/>
                <w:sz w:val="32"/>
                <w:szCs w:val="32"/>
              </w:rPr>
              <w:t xml:space="preserve">  ▲</w:t>
            </w:r>
          </w:p>
        </w:tc>
        <w:tc>
          <w:tcPr>
            <w:tcW w:w="1080" w:type="dxa"/>
            <w:noWrap w:val="0"/>
            <w:vAlign w:val="top"/>
          </w:tcPr>
          <w:p>
            <w:pPr>
              <w:ind w:firstLine="320" w:firstLineChars="100"/>
              <w:rPr>
                <w:rFonts w:hint="eastAsia" w:ascii="仿宋_GB2312" w:eastAsia="仿宋_GB2312"/>
              </w:rPr>
            </w:pPr>
            <w:r>
              <w:rPr>
                <w:rFonts w:hint="eastAsia" w:ascii="仿宋_GB2312" w:eastAsia="仿宋_GB2312"/>
                <w:sz w:val="32"/>
                <w:szCs w:val="32"/>
              </w:rPr>
              <w:t>▲</w:t>
            </w:r>
          </w:p>
        </w:tc>
        <w:tc>
          <w:tcPr>
            <w:tcW w:w="1043" w:type="dxa"/>
            <w:noWrap w:val="0"/>
            <w:vAlign w:val="top"/>
          </w:tcPr>
          <w:p>
            <w:pPr>
              <w:ind w:firstLine="160" w:firstLineChars="50"/>
              <w:rPr>
                <w:rFonts w:hint="eastAsia" w:ascii="仿宋_GB2312" w:eastAsia="仿宋_GB231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33</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盐边县新九高岭土矿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新九镇踏</w:t>
            </w:r>
            <w:r>
              <w:rPr>
                <w:rFonts w:hint="eastAsia" w:ascii="仿宋_GB2312" w:eastAsia="方正仿宋_GBK"/>
                <w:sz w:val="18"/>
                <w:szCs w:val="18"/>
              </w:rPr>
              <w:t>鲊</w:t>
            </w:r>
            <w:r>
              <w:rPr>
                <w:rFonts w:hint="eastAsia" w:ascii="仿宋_GB2312" w:eastAsia="仿宋_GB2312"/>
                <w:sz w:val="18"/>
                <w:szCs w:val="18"/>
              </w:rPr>
              <w:t>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高岭土</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3万吨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34</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盐边县鑫旺工贸有限公司（新民村小河组采砂场）</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红格镇新民村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建筑用砂</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1.5万立方米</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B</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生产</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35</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盐边县发展（集团）有限责任公司水蜡烛沟建筑用砂</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红格镇新民村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建筑用砂</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7.5万立方米</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在建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36</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盐边县同生工贸有限责任公司益民乡永益村石厂社砂厂</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红格镇永益村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建筑用砂</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2万立方米</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37</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盐边县永韶兴矿业有限公司永韶兴硅矿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永兴镇苍蒲村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冶金用石英岩</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3.5万吨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38</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盐边县恒裕工贸有限责任公司撒逛梁子砂厂</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新九镇益门村</w:t>
            </w:r>
          </w:p>
        </w:tc>
        <w:tc>
          <w:tcPr>
            <w:tcW w:w="1260" w:type="dxa"/>
            <w:noWrap w:val="0"/>
            <w:vAlign w:val="center"/>
          </w:tcPr>
          <w:p>
            <w:pPr>
              <w:ind w:firstLine="180" w:firstLineChars="100"/>
              <w:jc w:val="center"/>
              <w:rPr>
                <w:rFonts w:hint="eastAsia" w:ascii="仿宋_GB2312" w:eastAsia="仿宋_GB2312"/>
                <w:sz w:val="18"/>
                <w:szCs w:val="18"/>
              </w:rPr>
            </w:pPr>
            <w:r>
              <w:rPr>
                <w:rFonts w:hint="eastAsia" w:ascii="仿宋_GB2312" w:eastAsia="仿宋_GB2312"/>
                <w:sz w:val="18"/>
                <w:szCs w:val="18"/>
              </w:rPr>
              <w:t>建筑用砂</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1.5万立方米</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39</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盐边县岩门大村砂厂</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永兴镇苍蒲村</w:t>
            </w:r>
          </w:p>
        </w:tc>
        <w:tc>
          <w:tcPr>
            <w:tcW w:w="1260" w:type="dxa"/>
            <w:noWrap w:val="0"/>
            <w:vAlign w:val="center"/>
          </w:tcPr>
          <w:p>
            <w:pPr>
              <w:ind w:firstLine="90" w:firstLineChars="50"/>
              <w:jc w:val="center"/>
              <w:rPr>
                <w:rFonts w:hint="eastAsia" w:ascii="仿宋_GB2312" w:eastAsia="仿宋_GB2312"/>
                <w:sz w:val="18"/>
                <w:szCs w:val="18"/>
              </w:rPr>
            </w:pPr>
            <w:r>
              <w:rPr>
                <w:rFonts w:hint="eastAsia" w:ascii="仿宋_GB2312" w:eastAsia="仿宋_GB2312"/>
                <w:sz w:val="18"/>
                <w:szCs w:val="18"/>
              </w:rPr>
              <w:t>铸型用砂岩</w:t>
            </w:r>
          </w:p>
        </w:tc>
        <w:tc>
          <w:tcPr>
            <w:tcW w:w="1117" w:type="dxa"/>
            <w:noWrap w:val="0"/>
            <w:vAlign w:val="center"/>
          </w:tcPr>
          <w:p>
            <w:pPr>
              <w:rPr>
                <w:rFonts w:hint="eastAsia" w:ascii="仿宋_GB2312" w:eastAsia="仿宋_GB2312"/>
                <w:sz w:val="18"/>
                <w:szCs w:val="18"/>
              </w:rPr>
            </w:pPr>
            <w:r>
              <w:rPr>
                <w:rFonts w:hint="eastAsia" w:ascii="仿宋_GB2312" w:eastAsia="仿宋_GB2312"/>
                <w:sz w:val="18"/>
                <w:szCs w:val="18"/>
              </w:rPr>
              <w:t>0.5万吨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40</w:t>
            </w:r>
          </w:p>
        </w:tc>
        <w:tc>
          <w:tcPr>
            <w:tcW w:w="2340" w:type="dxa"/>
            <w:noWrap w:val="0"/>
            <w:vAlign w:val="center"/>
          </w:tcPr>
          <w:p>
            <w:pPr>
              <w:rPr>
                <w:rFonts w:hint="eastAsia" w:ascii="仿宋_GB2312" w:eastAsia="仿宋_GB2312"/>
                <w:sz w:val="18"/>
                <w:szCs w:val="18"/>
              </w:rPr>
            </w:pPr>
            <w:r>
              <w:rPr>
                <w:rFonts w:hint="eastAsia" w:ascii="仿宋_GB2312" w:eastAsia="仿宋_GB2312"/>
                <w:sz w:val="18"/>
                <w:szCs w:val="18"/>
              </w:rPr>
              <w:t>攀枝花市人利矿业有限责任公司滚猪凼硅石矿</w:t>
            </w:r>
          </w:p>
        </w:tc>
        <w:tc>
          <w:tcPr>
            <w:tcW w:w="144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新九镇平谷村</w:t>
            </w:r>
          </w:p>
        </w:tc>
        <w:tc>
          <w:tcPr>
            <w:tcW w:w="126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冶金用石英岩</w:t>
            </w:r>
          </w:p>
        </w:tc>
        <w:tc>
          <w:tcPr>
            <w:tcW w:w="1117"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10万吨</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未分级</w:t>
            </w:r>
          </w:p>
        </w:tc>
        <w:tc>
          <w:tcPr>
            <w:tcW w:w="720" w:type="dxa"/>
            <w:noWrap w:val="0"/>
            <w:vAlign w:val="center"/>
          </w:tcPr>
          <w:p>
            <w:pPr>
              <w:jc w:val="center"/>
              <w:rPr>
                <w:rFonts w:hint="eastAsia" w:ascii="仿宋_GB2312" w:eastAsia="仿宋_GB2312"/>
                <w:sz w:val="18"/>
                <w:szCs w:val="18"/>
              </w:rPr>
            </w:pPr>
            <w:r>
              <w:rPr>
                <w:rFonts w:hint="eastAsia" w:ascii="仿宋_GB2312" w:eastAsia="仿宋_GB2312"/>
                <w:sz w:val="18"/>
                <w:szCs w:val="18"/>
              </w:rPr>
              <w:t>停建</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41</w:t>
            </w:r>
          </w:p>
        </w:tc>
        <w:tc>
          <w:tcPr>
            <w:tcW w:w="2340" w:type="dxa"/>
            <w:noWrap w:val="0"/>
            <w:vAlign w:val="center"/>
          </w:tcPr>
          <w:p>
            <w:pPr>
              <w:rPr>
                <w:rFonts w:ascii="仿宋_GB2312" w:eastAsia="仿宋_GB2312"/>
                <w:sz w:val="18"/>
                <w:szCs w:val="18"/>
              </w:rPr>
            </w:pPr>
            <w:r>
              <w:rPr>
                <w:rFonts w:hint="eastAsia" w:ascii="仿宋_GB2312" w:eastAsia="仿宋_GB2312"/>
                <w:sz w:val="18"/>
                <w:szCs w:val="18"/>
              </w:rPr>
              <w:t>盐边县永盛矿业有限责任公司小村社石英矿</w:t>
            </w:r>
          </w:p>
        </w:tc>
        <w:tc>
          <w:tcPr>
            <w:tcW w:w="1440" w:type="dxa"/>
            <w:noWrap w:val="0"/>
            <w:vAlign w:val="center"/>
          </w:tcPr>
          <w:p>
            <w:pPr>
              <w:jc w:val="center"/>
              <w:rPr>
                <w:rFonts w:ascii="仿宋_GB2312" w:eastAsia="仿宋_GB2312"/>
                <w:sz w:val="18"/>
                <w:szCs w:val="18"/>
              </w:rPr>
            </w:pPr>
            <w:r>
              <w:rPr>
                <w:rFonts w:hint="eastAsia" w:ascii="仿宋_GB2312" w:eastAsia="仿宋_GB2312"/>
                <w:sz w:val="18"/>
                <w:szCs w:val="18"/>
              </w:rPr>
              <w:t>永兴镇苍蒲村</w:t>
            </w:r>
          </w:p>
        </w:tc>
        <w:tc>
          <w:tcPr>
            <w:tcW w:w="1260" w:type="dxa"/>
            <w:noWrap w:val="0"/>
            <w:vAlign w:val="center"/>
          </w:tcPr>
          <w:p>
            <w:pPr>
              <w:jc w:val="center"/>
              <w:rPr>
                <w:rFonts w:ascii="仿宋_GB2312" w:eastAsia="仿宋_GB2312"/>
                <w:sz w:val="18"/>
                <w:szCs w:val="18"/>
              </w:rPr>
            </w:pPr>
            <w:r>
              <w:rPr>
                <w:rFonts w:hint="eastAsia" w:ascii="仿宋_GB2312" w:eastAsia="仿宋_GB2312"/>
                <w:sz w:val="18"/>
                <w:szCs w:val="18"/>
              </w:rPr>
              <w:t>玻璃石英岩</w:t>
            </w:r>
          </w:p>
        </w:tc>
        <w:tc>
          <w:tcPr>
            <w:tcW w:w="1117" w:type="dxa"/>
            <w:noWrap w:val="0"/>
            <w:vAlign w:val="center"/>
          </w:tcPr>
          <w:p>
            <w:pPr>
              <w:jc w:val="center"/>
              <w:rPr>
                <w:rFonts w:ascii="仿宋_GB2312" w:eastAsia="仿宋_GB2312"/>
                <w:sz w:val="18"/>
                <w:szCs w:val="18"/>
              </w:rPr>
            </w:pPr>
            <w:r>
              <w:rPr>
                <w:rFonts w:hint="eastAsia" w:ascii="仿宋_GB2312" w:eastAsia="仿宋_GB2312"/>
                <w:sz w:val="18"/>
                <w:szCs w:val="18"/>
              </w:rPr>
              <w:t>0.5万吨</w:t>
            </w:r>
          </w:p>
        </w:tc>
        <w:tc>
          <w:tcPr>
            <w:tcW w:w="720" w:type="dxa"/>
            <w:noWrap w:val="0"/>
            <w:vAlign w:val="top"/>
          </w:tcPr>
          <w:p>
            <w:pPr>
              <w:jc w:val="center"/>
            </w:pPr>
            <w:r>
              <w:rPr>
                <w:rFonts w:hint="eastAsia" w:ascii="仿宋_GB2312" w:eastAsia="仿宋_GB2312"/>
                <w:sz w:val="18"/>
                <w:szCs w:val="18"/>
              </w:rPr>
              <w:t>未分级</w:t>
            </w:r>
          </w:p>
        </w:tc>
        <w:tc>
          <w:tcPr>
            <w:tcW w:w="720" w:type="dxa"/>
            <w:noWrap w:val="0"/>
            <w:vAlign w:val="center"/>
          </w:tcPr>
          <w:p>
            <w:pPr>
              <w:jc w:val="center"/>
              <w:rPr>
                <w:rFonts w:ascii="仿宋_GB2312" w:eastAsia="仿宋_GB2312"/>
                <w:sz w:val="18"/>
                <w:szCs w:val="18"/>
              </w:rPr>
            </w:pPr>
            <w:r>
              <w:rPr>
                <w:rFonts w:hint="eastAsia" w:ascii="仿宋_GB2312" w:eastAsia="仿宋_GB2312"/>
                <w:sz w:val="18"/>
                <w:szCs w:val="18"/>
              </w:rPr>
              <w:t>正在关闭</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42</w:t>
            </w:r>
          </w:p>
        </w:tc>
        <w:tc>
          <w:tcPr>
            <w:tcW w:w="2340" w:type="dxa"/>
            <w:noWrap w:val="0"/>
            <w:vAlign w:val="center"/>
          </w:tcPr>
          <w:p>
            <w:pPr>
              <w:rPr>
                <w:rFonts w:ascii="仿宋_GB2312" w:eastAsia="仿宋_GB2312"/>
                <w:sz w:val="18"/>
                <w:szCs w:val="18"/>
              </w:rPr>
            </w:pPr>
            <w:r>
              <w:rPr>
                <w:rFonts w:hint="eastAsia" w:ascii="仿宋_GB2312" w:eastAsia="仿宋_GB2312"/>
                <w:sz w:val="18"/>
                <w:szCs w:val="18"/>
              </w:rPr>
              <w:t xml:space="preserve">盐边县和爱乡健源沙厂和爱乡团结村干塘社安家湾建筑用砂 </w:t>
            </w:r>
          </w:p>
        </w:tc>
        <w:tc>
          <w:tcPr>
            <w:tcW w:w="1440" w:type="dxa"/>
            <w:noWrap w:val="0"/>
            <w:vAlign w:val="center"/>
          </w:tcPr>
          <w:p>
            <w:pPr>
              <w:jc w:val="center"/>
              <w:rPr>
                <w:rFonts w:ascii="仿宋_GB2312" w:eastAsia="仿宋_GB2312"/>
                <w:sz w:val="18"/>
                <w:szCs w:val="18"/>
              </w:rPr>
            </w:pPr>
            <w:r>
              <w:rPr>
                <w:rFonts w:hint="eastAsia" w:ascii="仿宋_GB2312" w:eastAsia="仿宋_GB2312"/>
                <w:sz w:val="18"/>
                <w:szCs w:val="18"/>
              </w:rPr>
              <w:t>红格镇团结村</w:t>
            </w:r>
          </w:p>
        </w:tc>
        <w:tc>
          <w:tcPr>
            <w:tcW w:w="1260" w:type="dxa"/>
            <w:noWrap w:val="0"/>
            <w:vAlign w:val="center"/>
          </w:tcPr>
          <w:p>
            <w:pPr>
              <w:jc w:val="center"/>
              <w:rPr>
                <w:rFonts w:ascii="仿宋_GB2312" w:eastAsia="仿宋_GB2312"/>
                <w:sz w:val="18"/>
                <w:szCs w:val="18"/>
              </w:rPr>
            </w:pPr>
            <w:r>
              <w:rPr>
                <w:rFonts w:hint="eastAsia" w:ascii="仿宋_GB2312" w:eastAsia="仿宋_GB2312"/>
                <w:sz w:val="18"/>
                <w:szCs w:val="18"/>
              </w:rPr>
              <w:t>建筑砂岩</w:t>
            </w:r>
          </w:p>
        </w:tc>
        <w:tc>
          <w:tcPr>
            <w:tcW w:w="1117" w:type="dxa"/>
            <w:noWrap w:val="0"/>
            <w:vAlign w:val="center"/>
          </w:tcPr>
          <w:p>
            <w:pPr>
              <w:jc w:val="center"/>
              <w:rPr>
                <w:rFonts w:ascii="仿宋_GB2312" w:eastAsia="仿宋_GB2312"/>
                <w:sz w:val="18"/>
                <w:szCs w:val="18"/>
              </w:rPr>
            </w:pPr>
            <w:r>
              <w:rPr>
                <w:rFonts w:hint="eastAsia" w:ascii="仿宋_GB2312" w:eastAsia="仿宋_GB2312"/>
                <w:sz w:val="18"/>
                <w:szCs w:val="18"/>
              </w:rPr>
              <w:t>1.2万吨</w:t>
            </w:r>
          </w:p>
        </w:tc>
        <w:tc>
          <w:tcPr>
            <w:tcW w:w="720" w:type="dxa"/>
            <w:noWrap w:val="0"/>
            <w:vAlign w:val="top"/>
          </w:tcPr>
          <w:p>
            <w:pPr>
              <w:jc w:val="center"/>
            </w:pPr>
            <w:r>
              <w:rPr>
                <w:rFonts w:hint="eastAsia" w:ascii="仿宋_GB2312" w:eastAsia="仿宋_GB2312"/>
                <w:sz w:val="18"/>
                <w:szCs w:val="18"/>
              </w:rPr>
              <w:t>未分级</w:t>
            </w:r>
          </w:p>
        </w:tc>
        <w:tc>
          <w:tcPr>
            <w:tcW w:w="720" w:type="dxa"/>
            <w:noWrap w:val="0"/>
            <w:vAlign w:val="center"/>
          </w:tcPr>
          <w:p>
            <w:pPr>
              <w:jc w:val="center"/>
              <w:rPr>
                <w:rFonts w:ascii="仿宋_GB2312" w:eastAsia="仿宋_GB2312"/>
                <w:sz w:val="18"/>
                <w:szCs w:val="18"/>
              </w:rPr>
            </w:pPr>
            <w:r>
              <w:rPr>
                <w:rFonts w:hint="eastAsia" w:ascii="仿宋_GB2312" w:eastAsia="仿宋_GB2312"/>
                <w:sz w:val="18"/>
                <w:szCs w:val="18"/>
              </w:rPr>
              <w:t>正在关闭</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43</w:t>
            </w:r>
          </w:p>
        </w:tc>
        <w:tc>
          <w:tcPr>
            <w:tcW w:w="2340" w:type="dxa"/>
            <w:noWrap w:val="0"/>
            <w:vAlign w:val="center"/>
          </w:tcPr>
          <w:p>
            <w:pPr>
              <w:rPr>
                <w:rFonts w:ascii="仿宋_GB2312" w:eastAsia="仿宋_GB2312"/>
                <w:sz w:val="18"/>
                <w:szCs w:val="18"/>
              </w:rPr>
            </w:pPr>
            <w:r>
              <w:rPr>
                <w:rFonts w:hint="eastAsia" w:ascii="仿宋_GB2312" w:eastAsia="仿宋_GB2312"/>
                <w:sz w:val="18"/>
                <w:szCs w:val="18"/>
              </w:rPr>
              <w:t xml:space="preserve"> 攀枝花市盐边县二滩联发实业有限责任公司国胜白石岩石灰石矿 </w:t>
            </w:r>
          </w:p>
        </w:tc>
        <w:tc>
          <w:tcPr>
            <w:tcW w:w="1440" w:type="dxa"/>
            <w:noWrap w:val="0"/>
            <w:vAlign w:val="center"/>
          </w:tcPr>
          <w:p>
            <w:pPr>
              <w:jc w:val="center"/>
              <w:rPr>
                <w:rFonts w:ascii="仿宋_GB2312" w:eastAsia="仿宋_GB2312"/>
                <w:sz w:val="18"/>
                <w:szCs w:val="18"/>
              </w:rPr>
            </w:pPr>
            <w:r>
              <w:rPr>
                <w:rFonts w:hint="eastAsia" w:ascii="仿宋_GB2312" w:eastAsia="仿宋_GB2312"/>
                <w:sz w:val="18"/>
                <w:szCs w:val="18"/>
              </w:rPr>
              <w:t>国胜乡</w:t>
            </w:r>
          </w:p>
        </w:tc>
        <w:tc>
          <w:tcPr>
            <w:tcW w:w="1260" w:type="dxa"/>
            <w:noWrap w:val="0"/>
            <w:vAlign w:val="center"/>
          </w:tcPr>
          <w:p>
            <w:pPr>
              <w:jc w:val="center"/>
              <w:rPr>
                <w:rFonts w:ascii="仿宋_GB2312" w:eastAsia="仿宋_GB2312"/>
                <w:sz w:val="18"/>
                <w:szCs w:val="18"/>
              </w:rPr>
            </w:pPr>
            <w:r>
              <w:rPr>
                <w:rFonts w:hint="eastAsia" w:ascii="仿宋_GB2312" w:eastAsia="仿宋_GB2312"/>
                <w:sz w:val="18"/>
                <w:szCs w:val="18"/>
              </w:rPr>
              <w:t>熔剂石灰岩</w:t>
            </w:r>
          </w:p>
        </w:tc>
        <w:tc>
          <w:tcPr>
            <w:tcW w:w="1117" w:type="dxa"/>
            <w:noWrap w:val="0"/>
            <w:vAlign w:val="center"/>
          </w:tcPr>
          <w:p>
            <w:pPr>
              <w:jc w:val="center"/>
              <w:rPr>
                <w:rFonts w:ascii="仿宋_GB2312" w:eastAsia="仿宋_GB2312"/>
                <w:sz w:val="18"/>
                <w:szCs w:val="18"/>
              </w:rPr>
            </w:pPr>
            <w:r>
              <w:rPr>
                <w:rFonts w:hint="eastAsia" w:ascii="仿宋_GB2312" w:eastAsia="仿宋_GB2312"/>
                <w:sz w:val="18"/>
                <w:szCs w:val="18"/>
              </w:rPr>
              <w:t>2.5万吨</w:t>
            </w:r>
          </w:p>
        </w:tc>
        <w:tc>
          <w:tcPr>
            <w:tcW w:w="720" w:type="dxa"/>
            <w:noWrap w:val="0"/>
            <w:vAlign w:val="top"/>
          </w:tcPr>
          <w:p>
            <w:pPr>
              <w:jc w:val="center"/>
            </w:pPr>
            <w:r>
              <w:rPr>
                <w:rFonts w:hint="eastAsia" w:ascii="仿宋_GB2312" w:eastAsia="仿宋_GB2312"/>
                <w:sz w:val="18"/>
                <w:szCs w:val="18"/>
              </w:rPr>
              <w:t>未分级</w:t>
            </w:r>
          </w:p>
        </w:tc>
        <w:tc>
          <w:tcPr>
            <w:tcW w:w="720" w:type="dxa"/>
            <w:noWrap w:val="0"/>
            <w:vAlign w:val="center"/>
          </w:tcPr>
          <w:p>
            <w:pPr>
              <w:jc w:val="center"/>
              <w:rPr>
                <w:rFonts w:ascii="仿宋_GB2312" w:eastAsia="仿宋_GB2312"/>
                <w:sz w:val="18"/>
                <w:szCs w:val="18"/>
              </w:rPr>
            </w:pPr>
            <w:r>
              <w:rPr>
                <w:rFonts w:hint="eastAsia" w:ascii="仿宋_GB2312" w:eastAsia="仿宋_GB2312"/>
                <w:sz w:val="18"/>
                <w:szCs w:val="18"/>
              </w:rPr>
              <w:t>正在关闭</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468" w:type="dxa"/>
            <w:noWrap w:val="0"/>
            <w:vAlign w:val="center"/>
          </w:tcPr>
          <w:p>
            <w:pPr>
              <w:rPr>
                <w:rFonts w:hint="eastAsia" w:ascii="仿宋_GB2312" w:eastAsia="仿宋_GB2312"/>
                <w:sz w:val="18"/>
                <w:szCs w:val="18"/>
              </w:rPr>
            </w:pPr>
            <w:r>
              <w:rPr>
                <w:rFonts w:hint="eastAsia" w:ascii="仿宋_GB2312" w:eastAsia="仿宋_GB2312"/>
                <w:sz w:val="18"/>
                <w:szCs w:val="18"/>
              </w:rPr>
              <w:t>44</w:t>
            </w:r>
          </w:p>
        </w:tc>
        <w:tc>
          <w:tcPr>
            <w:tcW w:w="2340" w:type="dxa"/>
            <w:noWrap w:val="0"/>
            <w:vAlign w:val="center"/>
          </w:tcPr>
          <w:p>
            <w:pPr>
              <w:rPr>
                <w:rFonts w:ascii="仿宋_GB2312" w:eastAsia="仿宋_GB2312"/>
                <w:sz w:val="18"/>
                <w:szCs w:val="18"/>
              </w:rPr>
            </w:pPr>
            <w:r>
              <w:rPr>
                <w:rFonts w:hint="eastAsia" w:ascii="仿宋_GB2312" w:eastAsia="仿宋_GB2312"/>
                <w:sz w:val="18"/>
                <w:szCs w:val="18"/>
              </w:rPr>
              <w:t>攀枝花市新特工贸有限公司老关山硅石矿</w:t>
            </w:r>
          </w:p>
        </w:tc>
        <w:tc>
          <w:tcPr>
            <w:tcW w:w="1440" w:type="dxa"/>
            <w:noWrap w:val="0"/>
            <w:vAlign w:val="center"/>
          </w:tcPr>
          <w:p>
            <w:pPr>
              <w:jc w:val="center"/>
              <w:rPr>
                <w:rFonts w:ascii="仿宋_GB2312" w:eastAsia="仿宋_GB2312"/>
                <w:sz w:val="18"/>
                <w:szCs w:val="18"/>
              </w:rPr>
            </w:pPr>
            <w:r>
              <w:rPr>
                <w:rFonts w:hint="eastAsia" w:ascii="仿宋_GB2312" w:eastAsia="仿宋_GB2312"/>
                <w:sz w:val="18"/>
                <w:szCs w:val="18"/>
              </w:rPr>
              <w:t>红格镇</w:t>
            </w:r>
          </w:p>
        </w:tc>
        <w:tc>
          <w:tcPr>
            <w:tcW w:w="1260" w:type="dxa"/>
            <w:noWrap w:val="0"/>
            <w:vAlign w:val="center"/>
          </w:tcPr>
          <w:p>
            <w:pPr>
              <w:jc w:val="center"/>
              <w:rPr>
                <w:rFonts w:ascii="仿宋_GB2312" w:eastAsia="仿宋_GB2312"/>
                <w:sz w:val="18"/>
                <w:szCs w:val="18"/>
              </w:rPr>
            </w:pPr>
            <w:r>
              <w:rPr>
                <w:rFonts w:hint="eastAsia" w:ascii="仿宋_GB2312" w:eastAsia="仿宋_GB2312"/>
                <w:sz w:val="18"/>
                <w:szCs w:val="18"/>
              </w:rPr>
              <w:t>冶金石英岩</w:t>
            </w:r>
          </w:p>
        </w:tc>
        <w:tc>
          <w:tcPr>
            <w:tcW w:w="1117" w:type="dxa"/>
            <w:noWrap w:val="0"/>
            <w:vAlign w:val="center"/>
          </w:tcPr>
          <w:p>
            <w:pPr>
              <w:jc w:val="center"/>
              <w:rPr>
                <w:rFonts w:ascii="仿宋_GB2312" w:eastAsia="仿宋_GB2312"/>
                <w:sz w:val="18"/>
                <w:szCs w:val="18"/>
              </w:rPr>
            </w:pPr>
            <w:r>
              <w:rPr>
                <w:rFonts w:hint="eastAsia" w:ascii="仿宋_GB2312" w:eastAsia="仿宋_GB2312"/>
                <w:sz w:val="18"/>
                <w:szCs w:val="18"/>
              </w:rPr>
              <w:t>2万吨</w:t>
            </w:r>
          </w:p>
        </w:tc>
        <w:tc>
          <w:tcPr>
            <w:tcW w:w="720" w:type="dxa"/>
            <w:noWrap w:val="0"/>
            <w:vAlign w:val="top"/>
          </w:tcPr>
          <w:p>
            <w:pPr>
              <w:jc w:val="center"/>
            </w:pPr>
            <w:r>
              <w:rPr>
                <w:rFonts w:hint="eastAsia" w:ascii="仿宋_GB2312" w:eastAsia="仿宋_GB2312"/>
                <w:sz w:val="18"/>
                <w:szCs w:val="18"/>
              </w:rPr>
              <w:t>未分级</w:t>
            </w:r>
          </w:p>
        </w:tc>
        <w:tc>
          <w:tcPr>
            <w:tcW w:w="720" w:type="dxa"/>
            <w:noWrap w:val="0"/>
            <w:vAlign w:val="center"/>
          </w:tcPr>
          <w:p>
            <w:pPr>
              <w:jc w:val="center"/>
              <w:rPr>
                <w:rFonts w:ascii="仿宋_GB2312" w:eastAsia="仿宋_GB2312"/>
                <w:sz w:val="18"/>
                <w:szCs w:val="18"/>
              </w:rPr>
            </w:pPr>
            <w:r>
              <w:rPr>
                <w:rFonts w:hint="eastAsia" w:ascii="仿宋_GB2312" w:eastAsia="仿宋_GB2312"/>
                <w:sz w:val="18"/>
                <w:szCs w:val="18"/>
              </w:rPr>
              <w:t>正在关闭</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80" w:type="dxa"/>
            <w:noWrap w:val="0"/>
            <w:vAlign w:val="center"/>
          </w:tcPr>
          <w:p>
            <w:pPr>
              <w:ind w:firstLine="320" w:firstLineChars="100"/>
              <w:rPr>
                <w:rFonts w:hint="eastAsia" w:ascii="仿宋_GB2312" w:eastAsia="仿宋_GB2312"/>
                <w:sz w:val="32"/>
                <w:szCs w:val="32"/>
              </w:rPr>
            </w:pPr>
            <w:r>
              <w:rPr>
                <w:rFonts w:hint="eastAsia" w:ascii="仿宋_GB2312" w:eastAsia="仿宋_GB2312"/>
                <w:sz w:val="32"/>
                <w:szCs w:val="32"/>
              </w:rPr>
              <w:t>△</w:t>
            </w:r>
          </w:p>
        </w:tc>
        <w:tc>
          <w:tcPr>
            <w:tcW w:w="1043" w:type="dxa"/>
            <w:noWrap w:val="0"/>
            <w:vAlign w:val="center"/>
          </w:tcPr>
          <w:p>
            <w:pPr>
              <w:ind w:firstLine="160" w:firstLineChars="50"/>
              <w:rPr>
                <w:rFonts w:hint="eastAsia" w:ascii="仿宋_GB2312" w:eastAsia="仿宋_GB2312"/>
                <w:sz w:val="32"/>
                <w:szCs w:val="32"/>
              </w:rPr>
            </w:pPr>
            <w:r>
              <w:rPr>
                <w:rFonts w:hint="eastAsia" w:ascii="仿宋_GB2312" w:eastAsia="仿宋_GB2312"/>
                <w:sz w:val="32"/>
                <w:szCs w:val="32"/>
              </w:rPr>
              <w:t>△</w:t>
            </w:r>
          </w:p>
        </w:tc>
        <w:tc>
          <w:tcPr>
            <w:tcW w:w="900" w:type="dxa"/>
            <w:noWrap w:val="0"/>
            <w:vAlign w:val="center"/>
          </w:tcPr>
          <w:p>
            <w:pPr>
              <w:ind w:firstLine="280" w:firstLineChars="100"/>
              <w:jc w:val="center"/>
              <w:rPr>
                <w:rFonts w:hint="eastAsia" w:ascii="仿宋_GB2312" w:eastAsia="仿宋_GB2312"/>
                <w:sz w:val="28"/>
                <w:szCs w:val="28"/>
              </w:rPr>
            </w:pPr>
          </w:p>
        </w:tc>
      </w:tr>
    </w:tbl>
    <w:p>
      <w:pPr>
        <w:adjustRightInd w:val="0"/>
        <w:snapToGrid w:val="0"/>
        <w:spacing w:line="240" w:lineRule="atLeast"/>
        <w:rPr>
          <w:rFonts w:hint="eastAsia" w:ascii="仿宋_GB2312" w:eastAsia="仿宋_GB2312"/>
          <w:sz w:val="28"/>
          <w:szCs w:val="28"/>
        </w:rPr>
      </w:pPr>
      <w:r>
        <w:rPr>
          <w:rFonts w:hint="eastAsia" w:ascii="仿宋_GB2312" w:eastAsia="仿宋_GB2312"/>
          <w:sz w:val="28"/>
          <w:szCs w:val="28"/>
        </w:rPr>
        <w:t>备注：○为正常生产/建设企业不定期巡查，△为停产/停建企业不定期巡查，●为正常生产/建设企业日常重点监督检查，▲为停产/停建企业日常重点检查。</w:t>
      </w:r>
    </w:p>
    <w:p>
      <w:pPr>
        <w:rPr>
          <w:rFonts w:hint="eastAsia" w:ascii="仿宋_GB2312" w:hAnsi="宋体" w:eastAsia="仿宋_GB2312" w:cs="宋体"/>
          <w:color w:val="FF0000"/>
          <w:kern w:val="0"/>
          <w:sz w:val="28"/>
          <w:szCs w:val="28"/>
        </w:rPr>
      </w:pPr>
      <w:r>
        <w:rPr>
          <w:rFonts w:hint="eastAsia" w:ascii="仿宋_GB2312" w:eastAsia="仿宋_GB2312"/>
          <w:sz w:val="28"/>
          <w:szCs w:val="28"/>
        </w:rPr>
        <w:t>具体执法情况根据企业运行状态做及时调整，企业生产/在建则按年初监管计划进行，企业停产/停建则按调整后执行，企业复工复产则按生产计划执行。</w:t>
      </w:r>
    </w:p>
    <w:sectPr>
      <w:footerReference r:id="rId5" w:type="default"/>
      <w:pgSz w:w="16838" w:h="11906" w:orient="landscape"/>
      <w:pgMar w:top="1474" w:right="1985" w:bottom="1588" w:left="209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Arial Unicode MS">
    <w:altName w:val="宋体"/>
    <w:panose1 w:val="020B0604020202020204"/>
    <w:charset w:val="86"/>
    <w:family w:val="swiss"/>
    <w:pitch w:val="default"/>
    <w:sig w:usb0="FFFFFFFF" w:usb1="E9F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inside" w:y="1"/>
      <w:rPr>
        <w:rStyle w:val="11"/>
        <w:rFonts w:hint="eastAsia" w:ascii="宋体" w:hAnsi="宋体"/>
        <w:sz w:val="28"/>
        <w:szCs w:val="28"/>
      </w:rPr>
    </w:pPr>
    <w:r>
      <w:rPr>
        <w:rStyle w:val="11"/>
        <w:rFonts w:hint="eastAsia" w:ascii="宋体" w:hAnsi="宋体"/>
        <w:sz w:val="28"/>
        <w:szCs w:val="28"/>
      </w:rPr>
      <w:t>—</w:t>
    </w: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lang/>
      </w:rPr>
      <w:t>2</w:t>
    </w:r>
    <w:r>
      <w:rPr>
        <w:rFonts w:ascii="宋体" w:hAnsi="宋体"/>
        <w:sz w:val="28"/>
        <w:szCs w:val="28"/>
      </w:rPr>
      <w:fldChar w:fldCharType="end"/>
    </w:r>
    <w:r>
      <w:rPr>
        <w:rStyle w:val="11"/>
        <w:rFonts w:hint="eastAsia" w:ascii="宋体" w:hAnsi="宋体"/>
        <w:sz w:val="28"/>
        <w:szCs w:val="28"/>
      </w:rPr>
      <w:t>—</w:t>
    </w:r>
  </w:p>
  <w:p>
    <w:pPr>
      <w:pStyle w:val="4"/>
      <w:framePr w:wrap="around" w:vAnchor="text" w:hAnchor="page" w:x="1589" w:y="-128"/>
      <w:ind w:right="360" w:firstLine="360"/>
      <w:rPr>
        <w:rStyle w:val="11"/>
        <w:rFonts w:hint="eastAsia" w:ascii="宋体" w:hAnsi="宋体"/>
        <w:sz w:val="28"/>
        <w:szCs w:val="28"/>
      </w:rPr>
    </w:pPr>
  </w:p>
  <w:p>
    <w:pPr>
      <w:pStyle w:val="4"/>
      <w:framePr w:wrap="around" w:vAnchor="text" w:hAnchor="page" w:x="1589" w:y="-128"/>
      <w:ind w:right="360" w:firstLine="360"/>
      <w:rPr>
        <w:rStyle w:val="11"/>
        <w:rFonts w:ascii="宋体" w:hAnsi="宋体"/>
        <w:sz w:val="28"/>
        <w:szCs w:val="28"/>
      </w:rPr>
    </w:pPr>
  </w:p>
  <w:p>
    <w:pPr>
      <w:pStyle w:val="4"/>
      <w:ind w:right="360" w:firstLine="36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inside" w:y="1"/>
      <w:rPr>
        <w:rStyle w:val="11"/>
      </w:rPr>
    </w:pPr>
    <w:r>
      <w:fldChar w:fldCharType="begin"/>
    </w:r>
    <w:r>
      <w:rPr>
        <w:rStyle w:val="11"/>
      </w:rPr>
      <w:instrText xml:space="preserve">PAGE  </w:instrText>
    </w:r>
    <w:r>
      <w:fldChar w:fldCharType="end"/>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inside" w:y="1"/>
      <w:rPr>
        <w:rStyle w:val="11"/>
        <w:rFonts w:hint="eastAsia" w:ascii="宋体" w:hAnsi="宋体"/>
        <w:sz w:val="28"/>
        <w:szCs w:val="28"/>
      </w:rPr>
    </w:pPr>
    <w:r>
      <w:rPr>
        <w:rStyle w:val="11"/>
        <w:rFonts w:hint="eastAsia" w:ascii="宋体" w:hAnsi="宋体"/>
        <w:sz w:val="28"/>
        <w:szCs w:val="28"/>
      </w:rPr>
      <w:t>—</w:t>
    </w: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lang/>
      </w:rPr>
      <w:t>8</w:t>
    </w:r>
    <w:r>
      <w:rPr>
        <w:rFonts w:ascii="宋体" w:hAnsi="宋体"/>
        <w:sz w:val="28"/>
        <w:szCs w:val="28"/>
      </w:rPr>
      <w:fldChar w:fldCharType="end"/>
    </w:r>
    <w:r>
      <w:rPr>
        <w:rStyle w:val="11"/>
        <w:rFonts w:hint="eastAsia" w:ascii="宋体" w:hAnsi="宋体"/>
        <w:sz w:val="28"/>
        <w:szCs w:val="28"/>
      </w:rPr>
      <w:t>—</w:t>
    </w:r>
  </w:p>
  <w:p>
    <w:pPr>
      <w:pStyle w:val="4"/>
      <w:framePr w:wrap="around" w:vAnchor="text" w:hAnchor="page" w:x="1589" w:y="-128"/>
      <w:ind w:right="360" w:firstLine="360"/>
      <w:rPr>
        <w:rStyle w:val="11"/>
        <w:rFonts w:hint="eastAsia" w:ascii="宋体" w:hAnsi="宋体"/>
        <w:sz w:val="28"/>
        <w:szCs w:val="28"/>
      </w:rPr>
    </w:pPr>
  </w:p>
  <w:p>
    <w:pPr>
      <w:pStyle w:val="4"/>
      <w:framePr w:wrap="around" w:vAnchor="text" w:hAnchor="page" w:x="1589" w:y="-128"/>
      <w:ind w:right="360" w:firstLine="360"/>
      <w:rPr>
        <w:rStyle w:val="11"/>
        <w:rFonts w:ascii="宋体" w:hAnsi="宋体"/>
        <w:sz w:val="28"/>
        <w:szCs w:val="28"/>
      </w:rPr>
    </w:pPr>
  </w:p>
  <w:p>
    <w:pPr>
      <w:pStyle w:val="4"/>
      <w:ind w:right="360" w:firstLine="360"/>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F54"/>
    <w:rsid w:val="00005EC0"/>
    <w:rsid w:val="000109AA"/>
    <w:rsid w:val="00011051"/>
    <w:rsid w:val="0001321F"/>
    <w:rsid w:val="0001460C"/>
    <w:rsid w:val="000162D9"/>
    <w:rsid w:val="000167B0"/>
    <w:rsid w:val="00024992"/>
    <w:rsid w:val="00025813"/>
    <w:rsid w:val="000258BB"/>
    <w:rsid w:val="0002781D"/>
    <w:rsid w:val="000411AC"/>
    <w:rsid w:val="000412C3"/>
    <w:rsid w:val="00046629"/>
    <w:rsid w:val="00047D17"/>
    <w:rsid w:val="0005125E"/>
    <w:rsid w:val="0005397B"/>
    <w:rsid w:val="00054EDC"/>
    <w:rsid w:val="00060E41"/>
    <w:rsid w:val="00063F2A"/>
    <w:rsid w:val="000650A1"/>
    <w:rsid w:val="00065918"/>
    <w:rsid w:val="00066DB7"/>
    <w:rsid w:val="000704C0"/>
    <w:rsid w:val="000706BE"/>
    <w:rsid w:val="000755E2"/>
    <w:rsid w:val="000805C2"/>
    <w:rsid w:val="000814F8"/>
    <w:rsid w:val="00086F59"/>
    <w:rsid w:val="00097761"/>
    <w:rsid w:val="000A095A"/>
    <w:rsid w:val="000A3A93"/>
    <w:rsid w:val="000A495E"/>
    <w:rsid w:val="000A58CD"/>
    <w:rsid w:val="000B1832"/>
    <w:rsid w:val="000B5C94"/>
    <w:rsid w:val="000B60F3"/>
    <w:rsid w:val="000C0038"/>
    <w:rsid w:val="000D1FB9"/>
    <w:rsid w:val="000D2BB7"/>
    <w:rsid w:val="000D35AD"/>
    <w:rsid w:val="000D530F"/>
    <w:rsid w:val="000D580C"/>
    <w:rsid w:val="000D5FF3"/>
    <w:rsid w:val="000D620E"/>
    <w:rsid w:val="000D78FE"/>
    <w:rsid w:val="000E0BD4"/>
    <w:rsid w:val="000E0FF4"/>
    <w:rsid w:val="000E32A6"/>
    <w:rsid w:val="000E3E5A"/>
    <w:rsid w:val="000E4B83"/>
    <w:rsid w:val="000E4D8C"/>
    <w:rsid w:val="000E58A2"/>
    <w:rsid w:val="000E62F5"/>
    <w:rsid w:val="000E7157"/>
    <w:rsid w:val="000F0B07"/>
    <w:rsid w:val="000F52CC"/>
    <w:rsid w:val="00103088"/>
    <w:rsid w:val="001034B4"/>
    <w:rsid w:val="001074D4"/>
    <w:rsid w:val="00111B4C"/>
    <w:rsid w:val="001301F2"/>
    <w:rsid w:val="00135563"/>
    <w:rsid w:val="001365D3"/>
    <w:rsid w:val="0014238D"/>
    <w:rsid w:val="00145603"/>
    <w:rsid w:val="00145905"/>
    <w:rsid w:val="00150B4A"/>
    <w:rsid w:val="00150E0B"/>
    <w:rsid w:val="00153A74"/>
    <w:rsid w:val="00153DF0"/>
    <w:rsid w:val="00155051"/>
    <w:rsid w:val="0015542E"/>
    <w:rsid w:val="00163F52"/>
    <w:rsid w:val="001665CF"/>
    <w:rsid w:val="00170562"/>
    <w:rsid w:val="00173E7F"/>
    <w:rsid w:val="001742FC"/>
    <w:rsid w:val="00175B70"/>
    <w:rsid w:val="0019077C"/>
    <w:rsid w:val="00193F04"/>
    <w:rsid w:val="001A4053"/>
    <w:rsid w:val="001A4599"/>
    <w:rsid w:val="001A4B91"/>
    <w:rsid w:val="001A79CA"/>
    <w:rsid w:val="001B03DE"/>
    <w:rsid w:val="001B07A8"/>
    <w:rsid w:val="001B2121"/>
    <w:rsid w:val="001B478E"/>
    <w:rsid w:val="001B5384"/>
    <w:rsid w:val="001B58EA"/>
    <w:rsid w:val="001C25D8"/>
    <w:rsid w:val="001C62DD"/>
    <w:rsid w:val="001C794C"/>
    <w:rsid w:val="001D123A"/>
    <w:rsid w:val="001D2D76"/>
    <w:rsid w:val="001D521C"/>
    <w:rsid w:val="001D55AF"/>
    <w:rsid w:val="001D6E11"/>
    <w:rsid w:val="001D7BD7"/>
    <w:rsid w:val="001E12FE"/>
    <w:rsid w:val="001E1905"/>
    <w:rsid w:val="001E23B6"/>
    <w:rsid w:val="001E2EAD"/>
    <w:rsid w:val="001E3B70"/>
    <w:rsid w:val="001F1358"/>
    <w:rsid w:val="001F1746"/>
    <w:rsid w:val="001F1D61"/>
    <w:rsid w:val="001F2E07"/>
    <w:rsid w:val="001F7221"/>
    <w:rsid w:val="00204223"/>
    <w:rsid w:val="00206CF3"/>
    <w:rsid w:val="002114DA"/>
    <w:rsid w:val="0021199B"/>
    <w:rsid w:val="00213DB5"/>
    <w:rsid w:val="00213EE4"/>
    <w:rsid w:val="002141EA"/>
    <w:rsid w:val="002273ED"/>
    <w:rsid w:val="00231F14"/>
    <w:rsid w:val="002326D2"/>
    <w:rsid w:val="002329E9"/>
    <w:rsid w:val="0023671A"/>
    <w:rsid w:val="00242022"/>
    <w:rsid w:val="002439C3"/>
    <w:rsid w:val="00245123"/>
    <w:rsid w:val="00252A2E"/>
    <w:rsid w:val="00255C69"/>
    <w:rsid w:val="00260F00"/>
    <w:rsid w:val="00266FD0"/>
    <w:rsid w:val="002708CA"/>
    <w:rsid w:val="00270A89"/>
    <w:rsid w:val="00276C5C"/>
    <w:rsid w:val="002809EA"/>
    <w:rsid w:val="00281DE3"/>
    <w:rsid w:val="00281EA4"/>
    <w:rsid w:val="0028653E"/>
    <w:rsid w:val="002908AE"/>
    <w:rsid w:val="002A1B79"/>
    <w:rsid w:val="002A2BC2"/>
    <w:rsid w:val="002A5CBE"/>
    <w:rsid w:val="002B4C22"/>
    <w:rsid w:val="002B5528"/>
    <w:rsid w:val="002B7C06"/>
    <w:rsid w:val="002C1C19"/>
    <w:rsid w:val="002C47B3"/>
    <w:rsid w:val="002C5ED6"/>
    <w:rsid w:val="002C6A6D"/>
    <w:rsid w:val="002C7FAE"/>
    <w:rsid w:val="002D0C9A"/>
    <w:rsid w:val="002D78CE"/>
    <w:rsid w:val="002D78E6"/>
    <w:rsid w:val="002E0CCD"/>
    <w:rsid w:val="002E6001"/>
    <w:rsid w:val="002F4EA3"/>
    <w:rsid w:val="002F6795"/>
    <w:rsid w:val="003043FB"/>
    <w:rsid w:val="00315FBF"/>
    <w:rsid w:val="00316A0F"/>
    <w:rsid w:val="003174D9"/>
    <w:rsid w:val="00317DD2"/>
    <w:rsid w:val="00322448"/>
    <w:rsid w:val="00323B38"/>
    <w:rsid w:val="00325AA5"/>
    <w:rsid w:val="00326BBE"/>
    <w:rsid w:val="0032712B"/>
    <w:rsid w:val="00330292"/>
    <w:rsid w:val="00330849"/>
    <w:rsid w:val="00336C5D"/>
    <w:rsid w:val="003401B0"/>
    <w:rsid w:val="00350EFF"/>
    <w:rsid w:val="003549CE"/>
    <w:rsid w:val="0035710D"/>
    <w:rsid w:val="00357D74"/>
    <w:rsid w:val="003603FD"/>
    <w:rsid w:val="003652C5"/>
    <w:rsid w:val="003654A8"/>
    <w:rsid w:val="00370814"/>
    <w:rsid w:val="00372F3A"/>
    <w:rsid w:val="00377384"/>
    <w:rsid w:val="00384D47"/>
    <w:rsid w:val="00386361"/>
    <w:rsid w:val="00393DD1"/>
    <w:rsid w:val="0039454F"/>
    <w:rsid w:val="00395690"/>
    <w:rsid w:val="003972DA"/>
    <w:rsid w:val="003A2AED"/>
    <w:rsid w:val="003B291B"/>
    <w:rsid w:val="003C0010"/>
    <w:rsid w:val="003C03EB"/>
    <w:rsid w:val="003C6604"/>
    <w:rsid w:val="003C6E9D"/>
    <w:rsid w:val="003C7096"/>
    <w:rsid w:val="003C75CD"/>
    <w:rsid w:val="003D1620"/>
    <w:rsid w:val="003E00F3"/>
    <w:rsid w:val="003E306B"/>
    <w:rsid w:val="003F26C6"/>
    <w:rsid w:val="003F4DB5"/>
    <w:rsid w:val="003F5475"/>
    <w:rsid w:val="003F7BE4"/>
    <w:rsid w:val="00400FAE"/>
    <w:rsid w:val="0040146F"/>
    <w:rsid w:val="00412F47"/>
    <w:rsid w:val="00413076"/>
    <w:rsid w:val="00415C9F"/>
    <w:rsid w:val="004166E4"/>
    <w:rsid w:val="004234B0"/>
    <w:rsid w:val="004255EC"/>
    <w:rsid w:val="00431954"/>
    <w:rsid w:val="00431FA0"/>
    <w:rsid w:val="004342F5"/>
    <w:rsid w:val="00437CE8"/>
    <w:rsid w:val="004455EC"/>
    <w:rsid w:val="00447AFC"/>
    <w:rsid w:val="004520A6"/>
    <w:rsid w:val="00462A4B"/>
    <w:rsid w:val="00463834"/>
    <w:rsid w:val="00463E75"/>
    <w:rsid w:val="00465779"/>
    <w:rsid w:val="00467864"/>
    <w:rsid w:val="0047359B"/>
    <w:rsid w:val="00474B71"/>
    <w:rsid w:val="00475784"/>
    <w:rsid w:val="004757FB"/>
    <w:rsid w:val="00475A2A"/>
    <w:rsid w:val="00477ECE"/>
    <w:rsid w:val="004801A4"/>
    <w:rsid w:val="00480864"/>
    <w:rsid w:val="004823E7"/>
    <w:rsid w:val="00486A40"/>
    <w:rsid w:val="0048735E"/>
    <w:rsid w:val="00492444"/>
    <w:rsid w:val="00492D70"/>
    <w:rsid w:val="00493949"/>
    <w:rsid w:val="004960AA"/>
    <w:rsid w:val="004A1299"/>
    <w:rsid w:val="004A6F25"/>
    <w:rsid w:val="004A7107"/>
    <w:rsid w:val="004A71FA"/>
    <w:rsid w:val="004B1D12"/>
    <w:rsid w:val="004B1FCE"/>
    <w:rsid w:val="004B4EE4"/>
    <w:rsid w:val="004B565E"/>
    <w:rsid w:val="004B64C7"/>
    <w:rsid w:val="004B71EB"/>
    <w:rsid w:val="004C0056"/>
    <w:rsid w:val="004C187F"/>
    <w:rsid w:val="004C45BE"/>
    <w:rsid w:val="004C726C"/>
    <w:rsid w:val="004C7680"/>
    <w:rsid w:val="004C7A15"/>
    <w:rsid w:val="004D0B7B"/>
    <w:rsid w:val="004D2EEC"/>
    <w:rsid w:val="004D445C"/>
    <w:rsid w:val="004D6D36"/>
    <w:rsid w:val="004D7395"/>
    <w:rsid w:val="004E69B7"/>
    <w:rsid w:val="004F2509"/>
    <w:rsid w:val="004F2689"/>
    <w:rsid w:val="004F308E"/>
    <w:rsid w:val="00502276"/>
    <w:rsid w:val="005061CF"/>
    <w:rsid w:val="00510B12"/>
    <w:rsid w:val="00511A19"/>
    <w:rsid w:val="005216FF"/>
    <w:rsid w:val="005234B3"/>
    <w:rsid w:val="00524B8D"/>
    <w:rsid w:val="00534D60"/>
    <w:rsid w:val="0053611B"/>
    <w:rsid w:val="00536343"/>
    <w:rsid w:val="00544107"/>
    <w:rsid w:val="00544867"/>
    <w:rsid w:val="00547D54"/>
    <w:rsid w:val="0055102A"/>
    <w:rsid w:val="00551539"/>
    <w:rsid w:val="00560813"/>
    <w:rsid w:val="0056321A"/>
    <w:rsid w:val="005656BF"/>
    <w:rsid w:val="00565DAA"/>
    <w:rsid w:val="00571073"/>
    <w:rsid w:val="00572632"/>
    <w:rsid w:val="005763E0"/>
    <w:rsid w:val="0057691C"/>
    <w:rsid w:val="0057719C"/>
    <w:rsid w:val="00580951"/>
    <w:rsid w:val="00584321"/>
    <w:rsid w:val="00584B4B"/>
    <w:rsid w:val="00584D6E"/>
    <w:rsid w:val="00587C45"/>
    <w:rsid w:val="00587F4D"/>
    <w:rsid w:val="0059022D"/>
    <w:rsid w:val="005A2F6F"/>
    <w:rsid w:val="005A32AB"/>
    <w:rsid w:val="005A386C"/>
    <w:rsid w:val="005B2E8F"/>
    <w:rsid w:val="005B529B"/>
    <w:rsid w:val="005D0DCD"/>
    <w:rsid w:val="005D543E"/>
    <w:rsid w:val="005E2AA1"/>
    <w:rsid w:val="005F1C5B"/>
    <w:rsid w:val="005F22E1"/>
    <w:rsid w:val="005F2DE7"/>
    <w:rsid w:val="005F59E7"/>
    <w:rsid w:val="0060706B"/>
    <w:rsid w:val="0060740F"/>
    <w:rsid w:val="006075AD"/>
    <w:rsid w:val="00612377"/>
    <w:rsid w:val="00612AC1"/>
    <w:rsid w:val="00615C1B"/>
    <w:rsid w:val="00616504"/>
    <w:rsid w:val="00620F92"/>
    <w:rsid w:val="00625018"/>
    <w:rsid w:val="006310FE"/>
    <w:rsid w:val="00633C94"/>
    <w:rsid w:val="00637C90"/>
    <w:rsid w:val="00642392"/>
    <w:rsid w:val="006429E3"/>
    <w:rsid w:val="006462E8"/>
    <w:rsid w:val="006514DD"/>
    <w:rsid w:val="0065171B"/>
    <w:rsid w:val="00652029"/>
    <w:rsid w:val="006565F3"/>
    <w:rsid w:val="00656787"/>
    <w:rsid w:val="00657B49"/>
    <w:rsid w:val="0066171F"/>
    <w:rsid w:val="00662E58"/>
    <w:rsid w:val="00662EBF"/>
    <w:rsid w:val="006630CD"/>
    <w:rsid w:val="00664327"/>
    <w:rsid w:val="00671B32"/>
    <w:rsid w:val="00672A8D"/>
    <w:rsid w:val="00673E55"/>
    <w:rsid w:val="00674250"/>
    <w:rsid w:val="006778E7"/>
    <w:rsid w:val="006818B9"/>
    <w:rsid w:val="00683060"/>
    <w:rsid w:val="00690F69"/>
    <w:rsid w:val="006A0A12"/>
    <w:rsid w:val="006A3890"/>
    <w:rsid w:val="006B0492"/>
    <w:rsid w:val="006B2C69"/>
    <w:rsid w:val="006B5D28"/>
    <w:rsid w:val="006B6590"/>
    <w:rsid w:val="006D073A"/>
    <w:rsid w:val="006D091B"/>
    <w:rsid w:val="006D103B"/>
    <w:rsid w:val="006D2463"/>
    <w:rsid w:val="006D34EF"/>
    <w:rsid w:val="006D6FFF"/>
    <w:rsid w:val="006E7F4D"/>
    <w:rsid w:val="006F15B0"/>
    <w:rsid w:val="006F68F1"/>
    <w:rsid w:val="006F7413"/>
    <w:rsid w:val="00702F89"/>
    <w:rsid w:val="0070556B"/>
    <w:rsid w:val="0070656F"/>
    <w:rsid w:val="00706A68"/>
    <w:rsid w:val="00707CC2"/>
    <w:rsid w:val="0071023D"/>
    <w:rsid w:val="00717F7E"/>
    <w:rsid w:val="00720F39"/>
    <w:rsid w:val="0072181B"/>
    <w:rsid w:val="0072255C"/>
    <w:rsid w:val="007239E5"/>
    <w:rsid w:val="00724AE3"/>
    <w:rsid w:val="00726B4F"/>
    <w:rsid w:val="007303AB"/>
    <w:rsid w:val="00740D7D"/>
    <w:rsid w:val="00740D99"/>
    <w:rsid w:val="00743420"/>
    <w:rsid w:val="00747865"/>
    <w:rsid w:val="007478B6"/>
    <w:rsid w:val="007518C7"/>
    <w:rsid w:val="00751D7C"/>
    <w:rsid w:val="0075452A"/>
    <w:rsid w:val="00754780"/>
    <w:rsid w:val="007575A4"/>
    <w:rsid w:val="00757D16"/>
    <w:rsid w:val="00763CCA"/>
    <w:rsid w:val="007673E5"/>
    <w:rsid w:val="0077556B"/>
    <w:rsid w:val="00776250"/>
    <w:rsid w:val="0078423E"/>
    <w:rsid w:val="00784B88"/>
    <w:rsid w:val="007911AA"/>
    <w:rsid w:val="00791831"/>
    <w:rsid w:val="00793A23"/>
    <w:rsid w:val="00794890"/>
    <w:rsid w:val="00796344"/>
    <w:rsid w:val="007A304A"/>
    <w:rsid w:val="007A42F8"/>
    <w:rsid w:val="007A49E3"/>
    <w:rsid w:val="007A56B3"/>
    <w:rsid w:val="007B2681"/>
    <w:rsid w:val="007B4A12"/>
    <w:rsid w:val="007B7437"/>
    <w:rsid w:val="007C2EE2"/>
    <w:rsid w:val="007C33CE"/>
    <w:rsid w:val="007D23E8"/>
    <w:rsid w:val="007D3EC3"/>
    <w:rsid w:val="007D5F36"/>
    <w:rsid w:val="007D627A"/>
    <w:rsid w:val="007F651D"/>
    <w:rsid w:val="007F733C"/>
    <w:rsid w:val="008012DB"/>
    <w:rsid w:val="00806F22"/>
    <w:rsid w:val="00810B82"/>
    <w:rsid w:val="008163D9"/>
    <w:rsid w:val="00816A9D"/>
    <w:rsid w:val="00821046"/>
    <w:rsid w:val="00821F08"/>
    <w:rsid w:val="0083059F"/>
    <w:rsid w:val="008346B9"/>
    <w:rsid w:val="00834AD3"/>
    <w:rsid w:val="00861072"/>
    <w:rsid w:val="00866752"/>
    <w:rsid w:val="00870D98"/>
    <w:rsid w:val="00871E2D"/>
    <w:rsid w:val="0087212B"/>
    <w:rsid w:val="00874D56"/>
    <w:rsid w:val="008841C7"/>
    <w:rsid w:val="008848CC"/>
    <w:rsid w:val="00892E13"/>
    <w:rsid w:val="00897C9F"/>
    <w:rsid w:val="008A0BF6"/>
    <w:rsid w:val="008A24EA"/>
    <w:rsid w:val="008A399F"/>
    <w:rsid w:val="008A62A8"/>
    <w:rsid w:val="008A73C6"/>
    <w:rsid w:val="008B370A"/>
    <w:rsid w:val="008B7722"/>
    <w:rsid w:val="008C0B58"/>
    <w:rsid w:val="008C0B76"/>
    <w:rsid w:val="008C1A68"/>
    <w:rsid w:val="008C25D2"/>
    <w:rsid w:val="008C7F54"/>
    <w:rsid w:val="008D1100"/>
    <w:rsid w:val="008D588C"/>
    <w:rsid w:val="008E10AE"/>
    <w:rsid w:val="008F0739"/>
    <w:rsid w:val="008F1E64"/>
    <w:rsid w:val="008F2284"/>
    <w:rsid w:val="008F72D1"/>
    <w:rsid w:val="008F7A8F"/>
    <w:rsid w:val="009049AB"/>
    <w:rsid w:val="0090706A"/>
    <w:rsid w:val="00914C2E"/>
    <w:rsid w:val="00914EF6"/>
    <w:rsid w:val="00915D2B"/>
    <w:rsid w:val="0091686A"/>
    <w:rsid w:val="00921752"/>
    <w:rsid w:val="009241F7"/>
    <w:rsid w:val="00927D9C"/>
    <w:rsid w:val="00932222"/>
    <w:rsid w:val="009342FF"/>
    <w:rsid w:val="009350C3"/>
    <w:rsid w:val="0093555C"/>
    <w:rsid w:val="009359F3"/>
    <w:rsid w:val="0094452F"/>
    <w:rsid w:val="00946C28"/>
    <w:rsid w:val="009503D9"/>
    <w:rsid w:val="009551FE"/>
    <w:rsid w:val="009554F9"/>
    <w:rsid w:val="0095618A"/>
    <w:rsid w:val="00961D5D"/>
    <w:rsid w:val="00962F99"/>
    <w:rsid w:val="00973E6F"/>
    <w:rsid w:val="00975686"/>
    <w:rsid w:val="009844A7"/>
    <w:rsid w:val="00986A07"/>
    <w:rsid w:val="00987DAD"/>
    <w:rsid w:val="0099014B"/>
    <w:rsid w:val="00992068"/>
    <w:rsid w:val="0099498E"/>
    <w:rsid w:val="00995294"/>
    <w:rsid w:val="009A2742"/>
    <w:rsid w:val="009A3FE2"/>
    <w:rsid w:val="009C10F2"/>
    <w:rsid w:val="009C5454"/>
    <w:rsid w:val="009D31EB"/>
    <w:rsid w:val="009D5D4F"/>
    <w:rsid w:val="009D7AC6"/>
    <w:rsid w:val="009E2C67"/>
    <w:rsid w:val="009E5C26"/>
    <w:rsid w:val="009E5D2C"/>
    <w:rsid w:val="009E5FB7"/>
    <w:rsid w:val="009E7E9F"/>
    <w:rsid w:val="009F01E9"/>
    <w:rsid w:val="009F0A7F"/>
    <w:rsid w:val="009F3482"/>
    <w:rsid w:val="009F6FDD"/>
    <w:rsid w:val="00A01F4D"/>
    <w:rsid w:val="00A035AC"/>
    <w:rsid w:val="00A0482D"/>
    <w:rsid w:val="00A07F28"/>
    <w:rsid w:val="00A1425A"/>
    <w:rsid w:val="00A14D43"/>
    <w:rsid w:val="00A1542B"/>
    <w:rsid w:val="00A15BF2"/>
    <w:rsid w:val="00A1654C"/>
    <w:rsid w:val="00A23818"/>
    <w:rsid w:val="00A26B37"/>
    <w:rsid w:val="00A30DD3"/>
    <w:rsid w:val="00A3170C"/>
    <w:rsid w:val="00A32C65"/>
    <w:rsid w:val="00A34652"/>
    <w:rsid w:val="00A34A1D"/>
    <w:rsid w:val="00A408EE"/>
    <w:rsid w:val="00A511DF"/>
    <w:rsid w:val="00A52ECE"/>
    <w:rsid w:val="00A5383D"/>
    <w:rsid w:val="00A55F79"/>
    <w:rsid w:val="00A65D9F"/>
    <w:rsid w:val="00A73D45"/>
    <w:rsid w:val="00A75785"/>
    <w:rsid w:val="00A76091"/>
    <w:rsid w:val="00A772CD"/>
    <w:rsid w:val="00A82295"/>
    <w:rsid w:val="00A83750"/>
    <w:rsid w:val="00A87486"/>
    <w:rsid w:val="00A92291"/>
    <w:rsid w:val="00A94C57"/>
    <w:rsid w:val="00A96B72"/>
    <w:rsid w:val="00A972E5"/>
    <w:rsid w:val="00AA052F"/>
    <w:rsid w:val="00AA3476"/>
    <w:rsid w:val="00AA3811"/>
    <w:rsid w:val="00AA3AD7"/>
    <w:rsid w:val="00AA546D"/>
    <w:rsid w:val="00AB1D60"/>
    <w:rsid w:val="00AB22A8"/>
    <w:rsid w:val="00AB4000"/>
    <w:rsid w:val="00AB5A28"/>
    <w:rsid w:val="00AB7A82"/>
    <w:rsid w:val="00AC0260"/>
    <w:rsid w:val="00AC5412"/>
    <w:rsid w:val="00AC66C2"/>
    <w:rsid w:val="00AC717F"/>
    <w:rsid w:val="00AD4EF1"/>
    <w:rsid w:val="00AE691E"/>
    <w:rsid w:val="00AF2D31"/>
    <w:rsid w:val="00AF34B8"/>
    <w:rsid w:val="00AF47B8"/>
    <w:rsid w:val="00AF713E"/>
    <w:rsid w:val="00B04143"/>
    <w:rsid w:val="00B04D61"/>
    <w:rsid w:val="00B103C4"/>
    <w:rsid w:val="00B105C9"/>
    <w:rsid w:val="00B11C36"/>
    <w:rsid w:val="00B11C99"/>
    <w:rsid w:val="00B16A2A"/>
    <w:rsid w:val="00B17B0D"/>
    <w:rsid w:val="00B23455"/>
    <w:rsid w:val="00B23CCD"/>
    <w:rsid w:val="00B25271"/>
    <w:rsid w:val="00B25657"/>
    <w:rsid w:val="00B26410"/>
    <w:rsid w:val="00B2648E"/>
    <w:rsid w:val="00B3620E"/>
    <w:rsid w:val="00B3662B"/>
    <w:rsid w:val="00B476C7"/>
    <w:rsid w:val="00B530A9"/>
    <w:rsid w:val="00B55071"/>
    <w:rsid w:val="00B5507F"/>
    <w:rsid w:val="00B5725E"/>
    <w:rsid w:val="00B63085"/>
    <w:rsid w:val="00B65A9D"/>
    <w:rsid w:val="00B702B8"/>
    <w:rsid w:val="00B73179"/>
    <w:rsid w:val="00B73EF7"/>
    <w:rsid w:val="00B77E4E"/>
    <w:rsid w:val="00B82831"/>
    <w:rsid w:val="00B857BC"/>
    <w:rsid w:val="00B87461"/>
    <w:rsid w:val="00B9011E"/>
    <w:rsid w:val="00B902BF"/>
    <w:rsid w:val="00B9387A"/>
    <w:rsid w:val="00B95757"/>
    <w:rsid w:val="00B9584B"/>
    <w:rsid w:val="00B960C2"/>
    <w:rsid w:val="00BA0C12"/>
    <w:rsid w:val="00BA0DAC"/>
    <w:rsid w:val="00BA26AB"/>
    <w:rsid w:val="00BA33C0"/>
    <w:rsid w:val="00BA36C9"/>
    <w:rsid w:val="00BA6BB7"/>
    <w:rsid w:val="00BB22C6"/>
    <w:rsid w:val="00BB6324"/>
    <w:rsid w:val="00BC06F2"/>
    <w:rsid w:val="00BC2213"/>
    <w:rsid w:val="00BC34D8"/>
    <w:rsid w:val="00BC3749"/>
    <w:rsid w:val="00BC458A"/>
    <w:rsid w:val="00BD2C48"/>
    <w:rsid w:val="00BD3733"/>
    <w:rsid w:val="00BD59F5"/>
    <w:rsid w:val="00BE3A02"/>
    <w:rsid w:val="00BE3FF4"/>
    <w:rsid w:val="00BE400D"/>
    <w:rsid w:val="00BE5012"/>
    <w:rsid w:val="00BE7683"/>
    <w:rsid w:val="00BF6CF4"/>
    <w:rsid w:val="00C03137"/>
    <w:rsid w:val="00C03AF8"/>
    <w:rsid w:val="00C03B27"/>
    <w:rsid w:val="00C047AD"/>
    <w:rsid w:val="00C11DAD"/>
    <w:rsid w:val="00C12485"/>
    <w:rsid w:val="00C251EE"/>
    <w:rsid w:val="00C27C7C"/>
    <w:rsid w:val="00C30849"/>
    <w:rsid w:val="00C338D3"/>
    <w:rsid w:val="00C33D2B"/>
    <w:rsid w:val="00C34823"/>
    <w:rsid w:val="00C362CE"/>
    <w:rsid w:val="00C37237"/>
    <w:rsid w:val="00C440D1"/>
    <w:rsid w:val="00C45B0B"/>
    <w:rsid w:val="00C45F6D"/>
    <w:rsid w:val="00C52D16"/>
    <w:rsid w:val="00C54E51"/>
    <w:rsid w:val="00C567F0"/>
    <w:rsid w:val="00C56C2D"/>
    <w:rsid w:val="00C5740F"/>
    <w:rsid w:val="00C65BF4"/>
    <w:rsid w:val="00C67F1B"/>
    <w:rsid w:val="00C71507"/>
    <w:rsid w:val="00C718D2"/>
    <w:rsid w:val="00C71F08"/>
    <w:rsid w:val="00C735A9"/>
    <w:rsid w:val="00C74E27"/>
    <w:rsid w:val="00C75264"/>
    <w:rsid w:val="00C9145F"/>
    <w:rsid w:val="00C946FB"/>
    <w:rsid w:val="00C961DD"/>
    <w:rsid w:val="00CA36DA"/>
    <w:rsid w:val="00CB32CC"/>
    <w:rsid w:val="00CB5122"/>
    <w:rsid w:val="00CC15D7"/>
    <w:rsid w:val="00CC1954"/>
    <w:rsid w:val="00CC2334"/>
    <w:rsid w:val="00CC30A4"/>
    <w:rsid w:val="00CC3FDF"/>
    <w:rsid w:val="00CD3639"/>
    <w:rsid w:val="00CE0610"/>
    <w:rsid w:val="00CE2F6D"/>
    <w:rsid w:val="00CE68B7"/>
    <w:rsid w:val="00CE6BAB"/>
    <w:rsid w:val="00CF214C"/>
    <w:rsid w:val="00CF2EE5"/>
    <w:rsid w:val="00CF4010"/>
    <w:rsid w:val="00CF6F0A"/>
    <w:rsid w:val="00CF7BD6"/>
    <w:rsid w:val="00CF7CE9"/>
    <w:rsid w:val="00D03F9C"/>
    <w:rsid w:val="00D07A7E"/>
    <w:rsid w:val="00D1340E"/>
    <w:rsid w:val="00D1342B"/>
    <w:rsid w:val="00D1401F"/>
    <w:rsid w:val="00D16873"/>
    <w:rsid w:val="00D17312"/>
    <w:rsid w:val="00D214FC"/>
    <w:rsid w:val="00D21573"/>
    <w:rsid w:val="00D2297F"/>
    <w:rsid w:val="00D2352B"/>
    <w:rsid w:val="00D2630A"/>
    <w:rsid w:val="00D26BA1"/>
    <w:rsid w:val="00D30048"/>
    <w:rsid w:val="00D321A3"/>
    <w:rsid w:val="00D36640"/>
    <w:rsid w:val="00D42187"/>
    <w:rsid w:val="00D444FC"/>
    <w:rsid w:val="00D46766"/>
    <w:rsid w:val="00D472E1"/>
    <w:rsid w:val="00D53F24"/>
    <w:rsid w:val="00D5406F"/>
    <w:rsid w:val="00D56F30"/>
    <w:rsid w:val="00D6146C"/>
    <w:rsid w:val="00D61DBA"/>
    <w:rsid w:val="00D70C25"/>
    <w:rsid w:val="00D75B6A"/>
    <w:rsid w:val="00D7699F"/>
    <w:rsid w:val="00D83121"/>
    <w:rsid w:val="00D84742"/>
    <w:rsid w:val="00D862AF"/>
    <w:rsid w:val="00D91F6C"/>
    <w:rsid w:val="00D92F30"/>
    <w:rsid w:val="00D9635A"/>
    <w:rsid w:val="00D97F7F"/>
    <w:rsid w:val="00DA63BE"/>
    <w:rsid w:val="00DB722F"/>
    <w:rsid w:val="00DC0653"/>
    <w:rsid w:val="00DC378E"/>
    <w:rsid w:val="00DC398A"/>
    <w:rsid w:val="00DC5797"/>
    <w:rsid w:val="00DC5AEB"/>
    <w:rsid w:val="00DD3932"/>
    <w:rsid w:val="00DD7F10"/>
    <w:rsid w:val="00DE3D72"/>
    <w:rsid w:val="00DE47F8"/>
    <w:rsid w:val="00DE4C64"/>
    <w:rsid w:val="00DE5F40"/>
    <w:rsid w:val="00DE77AA"/>
    <w:rsid w:val="00DE7C4B"/>
    <w:rsid w:val="00DF0106"/>
    <w:rsid w:val="00DF0169"/>
    <w:rsid w:val="00DF022E"/>
    <w:rsid w:val="00DF3622"/>
    <w:rsid w:val="00E048A5"/>
    <w:rsid w:val="00E052CB"/>
    <w:rsid w:val="00E06502"/>
    <w:rsid w:val="00E12F18"/>
    <w:rsid w:val="00E14713"/>
    <w:rsid w:val="00E1792E"/>
    <w:rsid w:val="00E24B38"/>
    <w:rsid w:val="00E3355D"/>
    <w:rsid w:val="00E37A90"/>
    <w:rsid w:val="00E4305D"/>
    <w:rsid w:val="00E46D3C"/>
    <w:rsid w:val="00E473FF"/>
    <w:rsid w:val="00E474E5"/>
    <w:rsid w:val="00E52899"/>
    <w:rsid w:val="00E60188"/>
    <w:rsid w:val="00E60824"/>
    <w:rsid w:val="00E6085F"/>
    <w:rsid w:val="00E62B82"/>
    <w:rsid w:val="00E66EB6"/>
    <w:rsid w:val="00E71782"/>
    <w:rsid w:val="00E722F0"/>
    <w:rsid w:val="00E743EA"/>
    <w:rsid w:val="00E74431"/>
    <w:rsid w:val="00E85192"/>
    <w:rsid w:val="00E9408F"/>
    <w:rsid w:val="00E97314"/>
    <w:rsid w:val="00E979F4"/>
    <w:rsid w:val="00EA009E"/>
    <w:rsid w:val="00EA5BCA"/>
    <w:rsid w:val="00EB13A7"/>
    <w:rsid w:val="00EB75E7"/>
    <w:rsid w:val="00EC37DE"/>
    <w:rsid w:val="00EC6303"/>
    <w:rsid w:val="00EC670C"/>
    <w:rsid w:val="00EC6931"/>
    <w:rsid w:val="00EC6951"/>
    <w:rsid w:val="00EC6C03"/>
    <w:rsid w:val="00ED0A2D"/>
    <w:rsid w:val="00EE27D3"/>
    <w:rsid w:val="00EE3B74"/>
    <w:rsid w:val="00EE52FD"/>
    <w:rsid w:val="00EE5C84"/>
    <w:rsid w:val="00EE6E3C"/>
    <w:rsid w:val="00EF36F2"/>
    <w:rsid w:val="00EF433C"/>
    <w:rsid w:val="00F010D8"/>
    <w:rsid w:val="00F05141"/>
    <w:rsid w:val="00F06214"/>
    <w:rsid w:val="00F07774"/>
    <w:rsid w:val="00F11CF5"/>
    <w:rsid w:val="00F1243F"/>
    <w:rsid w:val="00F132B5"/>
    <w:rsid w:val="00F134FD"/>
    <w:rsid w:val="00F14CD2"/>
    <w:rsid w:val="00F14D42"/>
    <w:rsid w:val="00F16B3E"/>
    <w:rsid w:val="00F22E0C"/>
    <w:rsid w:val="00F249A9"/>
    <w:rsid w:val="00F26A02"/>
    <w:rsid w:val="00F26C55"/>
    <w:rsid w:val="00F27D77"/>
    <w:rsid w:val="00F42591"/>
    <w:rsid w:val="00F42933"/>
    <w:rsid w:val="00F42F8D"/>
    <w:rsid w:val="00F44690"/>
    <w:rsid w:val="00F45379"/>
    <w:rsid w:val="00F4666F"/>
    <w:rsid w:val="00F5688E"/>
    <w:rsid w:val="00F63380"/>
    <w:rsid w:val="00F6378C"/>
    <w:rsid w:val="00F678F2"/>
    <w:rsid w:val="00F67CE9"/>
    <w:rsid w:val="00F70A42"/>
    <w:rsid w:val="00F72585"/>
    <w:rsid w:val="00F74007"/>
    <w:rsid w:val="00F809AB"/>
    <w:rsid w:val="00F813CE"/>
    <w:rsid w:val="00F843DC"/>
    <w:rsid w:val="00F84490"/>
    <w:rsid w:val="00F96F53"/>
    <w:rsid w:val="00FA0723"/>
    <w:rsid w:val="00FA0C80"/>
    <w:rsid w:val="00FA2C85"/>
    <w:rsid w:val="00FA6A59"/>
    <w:rsid w:val="00FA7FEE"/>
    <w:rsid w:val="00FB4790"/>
    <w:rsid w:val="00FC0AF2"/>
    <w:rsid w:val="00FC1A54"/>
    <w:rsid w:val="00FD271C"/>
    <w:rsid w:val="00FD7EB7"/>
    <w:rsid w:val="00FE0310"/>
    <w:rsid w:val="00FE3AB4"/>
    <w:rsid w:val="00FF36B2"/>
    <w:rsid w:val="00FF60AE"/>
    <w:rsid w:val="046170F5"/>
    <w:rsid w:val="1CC64156"/>
    <w:rsid w:val="213420A7"/>
    <w:rsid w:val="290C2ACE"/>
    <w:rsid w:val="3A7F6F4C"/>
    <w:rsid w:val="3D8A7547"/>
    <w:rsid w:val="46E01B11"/>
    <w:rsid w:val="53A65E29"/>
    <w:rsid w:val="5D0C178E"/>
    <w:rsid w:val="69BD0505"/>
    <w:rsid w:val="70F53802"/>
    <w:rsid w:val="71E45740"/>
    <w:rsid w:val="779A5D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13"/>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3">
    <w:name w:val="Balloon Text"/>
    <w:basedOn w:val="1"/>
    <w:semiHidden/>
    <w:uiPriority w:val="0"/>
    <w:rPr>
      <w:sz w:val="18"/>
      <w:szCs w:val="18"/>
    </w:rPr>
  </w:style>
  <w:style w:type="paragraph" w:styleId="4">
    <w:name w:val="footer"/>
    <w:basedOn w:val="1"/>
    <w:link w:val="14"/>
    <w:uiPriority w:val="0"/>
    <w:pPr>
      <w:tabs>
        <w:tab w:val="center" w:pos="4153"/>
        <w:tab w:val="right" w:pos="8306"/>
      </w:tabs>
      <w:snapToGrid w:val="0"/>
      <w:jc w:val="left"/>
    </w:pPr>
    <w:rPr>
      <w:sz w:val="18"/>
      <w:szCs w:val="18"/>
    </w:rPr>
  </w:style>
  <w:style w:type="paragraph" w:styleId="5">
    <w:name w:val="header"/>
    <w:basedOn w:val="1"/>
    <w:link w:val="15"/>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cs="宋体"/>
      <w:kern w:val="0"/>
      <w:sz w:val="24"/>
    </w:rPr>
  </w:style>
  <w:style w:type="table" w:styleId="8">
    <w:name w:val="Table Grid"/>
    <w:basedOn w:val="7"/>
    <w:uiPriority w:val="0"/>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bCs/>
    </w:rPr>
  </w:style>
  <w:style w:type="character" w:styleId="11">
    <w:name w:val="page number"/>
    <w:basedOn w:val="9"/>
    <w:uiPriority w:val="0"/>
  </w:style>
  <w:style w:type="character" w:styleId="12">
    <w:name w:val="Hyperlink"/>
    <w:uiPriority w:val="0"/>
    <w:rPr>
      <w:color w:val="0000FF"/>
      <w:u w:val="single"/>
    </w:rPr>
  </w:style>
  <w:style w:type="character" w:customStyle="1" w:styleId="13">
    <w:name w:val=" Char Char2"/>
    <w:link w:val="2"/>
    <w:uiPriority w:val="0"/>
    <w:rPr>
      <w:rFonts w:ascii="Times New Roman" w:hAnsi="Times New Roman" w:eastAsia="宋体" w:cs="Times New Roman"/>
      <w:b/>
      <w:bCs/>
      <w:kern w:val="44"/>
      <w:sz w:val="44"/>
      <w:szCs w:val="44"/>
    </w:rPr>
  </w:style>
  <w:style w:type="character" w:customStyle="1" w:styleId="14">
    <w:name w:val=" Char Char1"/>
    <w:link w:val="4"/>
    <w:uiPriority w:val="99"/>
    <w:rPr>
      <w:rFonts w:ascii="Times New Roman" w:hAnsi="Times New Roman" w:eastAsia="宋体" w:cs="Times New Roman"/>
      <w:kern w:val="2"/>
      <w:sz w:val="18"/>
      <w:szCs w:val="18"/>
    </w:rPr>
  </w:style>
  <w:style w:type="character" w:customStyle="1" w:styleId="15">
    <w:name w:val=" Char Char"/>
    <w:link w:val="5"/>
    <w:uiPriority w:val="0"/>
    <w:rPr>
      <w:rFonts w:ascii="Times New Roman" w:hAnsi="Times New Roman" w:eastAsia="宋体" w:cs="Times New Roman"/>
      <w:kern w:val="2"/>
      <w:sz w:val="18"/>
      <w:szCs w:val="18"/>
    </w:rPr>
  </w:style>
  <w:style w:type="character" w:customStyle="1" w:styleId="16">
    <w:name w:val="公文主题词"/>
    <w:uiPriority w:val="0"/>
    <w:rPr>
      <w:rFonts w:ascii="黑体" w:hAnsi="黑体" w:eastAsia="黑体" w:cs="Times New Roman"/>
      <w:b/>
      <w:bCs/>
      <w:sz w:val="32"/>
    </w:rPr>
  </w:style>
  <w:style w:type="paragraph" w:customStyle="1" w:styleId="17">
    <w:name w:val="默认段落字体 Para Char"/>
    <w:basedOn w:val="1"/>
    <w:next w:val="1"/>
    <w:uiPriority w:val="0"/>
    <w:pPr>
      <w:ind w:firstLine="200" w:firstLineChars="200"/>
    </w:pPr>
    <w:rPr>
      <w:rFonts w:eastAsia="仿宋_GB2312"/>
      <w:sz w:val="32"/>
      <w:szCs w:val="32"/>
    </w:rPr>
  </w:style>
  <w:style w:type="paragraph" w:customStyle="1" w:styleId="18">
    <w:name w:val="主送单位"/>
    <w:basedOn w:val="1"/>
    <w:uiPriority w:val="0"/>
    <w:pPr>
      <w:spacing w:line="600" w:lineRule="exact"/>
    </w:pPr>
    <w:rPr>
      <w:rFonts w:ascii="Times New Roman" w:hAnsi="Times New Roman" w:eastAsia="仿宋_GB2312" w:cs="宋体"/>
      <w:sz w:val="32"/>
      <w:szCs w:val="20"/>
    </w:rPr>
  </w:style>
  <w:style w:type="paragraph" w:customStyle="1" w:styleId="19">
    <w:name w:val="发文时间和印发时间"/>
    <w:basedOn w:val="1"/>
    <w:uiPriority w:val="0"/>
    <w:pPr>
      <w:spacing w:line="600" w:lineRule="exact"/>
      <w:jc w:val="right"/>
    </w:pPr>
    <w:rPr>
      <w:rFonts w:eastAsia="仿宋_GB2312" w:cs="宋体"/>
      <w:sz w:val="32"/>
      <w:szCs w:val="20"/>
    </w:rPr>
  </w:style>
  <w:style w:type="paragraph" w:customStyle="1" w:styleId="20">
    <w:name w:val="公文正文"/>
    <w:basedOn w:val="1"/>
    <w:uiPriority w:val="0"/>
    <w:pPr>
      <w:spacing w:line="600" w:lineRule="exact"/>
      <w:ind w:firstLine="640" w:firstLineChars="200"/>
    </w:pPr>
    <w:rPr>
      <w:rFonts w:ascii="Times New Roman" w:hAnsi="Times New Roman" w:eastAsia="仿宋_GB2312" w:cs="宋体"/>
      <w:sz w:val="32"/>
      <w:szCs w:val="20"/>
    </w:rPr>
  </w:style>
  <w:style w:type="paragraph" w:customStyle="1" w:styleId="21">
    <w:name w:val="发问编号"/>
    <w:basedOn w:val="1"/>
    <w:uiPriority w:val="0"/>
    <w:pPr>
      <w:spacing w:line="600" w:lineRule="exact"/>
      <w:jc w:val="center"/>
    </w:pPr>
    <w:rPr>
      <w:rFonts w:ascii="Times New Roman" w:hAnsi="Times New Roman" w:eastAsia="仿宋_GB2312" w:cs="宋体"/>
      <w:sz w:val="32"/>
      <w:szCs w:val="20"/>
    </w:rPr>
  </w:style>
  <w:style w:type="paragraph" w:customStyle="1" w:styleId="22">
    <w:name w:val="发文时间"/>
    <w:basedOn w:val="1"/>
    <w:uiPriority w:val="0"/>
    <w:pPr>
      <w:spacing w:line="600" w:lineRule="exact"/>
      <w:ind w:firstLine="4160" w:firstLineChars="1300"/>
      <w:jc w:val="right"/>
    </w:pPr>
    <w:rPr>
      <w:rFonts w:ascii="Times New Roman" w:hAnsi="Times New Roman" w:eastAsia="仿宋_GB2312" w:cs="宋体"/>
      <w:sz w:val="32"/>
      <w:szCs w:val="20"/>
    </w:rPr>
  </w:style>
  <w:style w:type="paragraph" w:customStyle="1" w:styleId="23">
    <w:name w:val="公文标题"/>
    <w:basedOn w:val="1"/>
    <w:uiPriority w:val="0"/>
    <w:pPr>
      <w:spacing w:line="600" w:lineRule="exact"/>
      <w:jc w:val="center"/>
    </w:pPr>
    <w:rPr>
      <w:rFonts w:ascii="方正小标宋_GBK" w:hAnsi="Times New Roman" w:eastAsia="方正小标宋_GBK" w:cs="宋体"/>
      <w:sz w:val="44"/>
      <w:szCs w:val="20"/>
    </w:rPr>
  </w:style>
  <w:style w:type="paragraph" w:customStyle="1" w:styleId="24">
    <w:name w:val="公文抄送"/>
    <w:basedOn w:val="1"/>
    <w:uiPriority w:val="0"/>
    <w:pPr>
      <w:spacing w:line="600" w:lineRule="exact"/>
    </w:pPr>
    <w:rPr>
      <w:rFonts w:eastAsia="仿宋_GB2312" w:cs="宋体"/>
      <w:sz w:val="32"/>
      <w:szCs w:val="20"/>
    </w:rPr>
  </w:style>
  <w:style w:type="paragraph" w:customStyle="1" w:styleId="25">
    <w:name w:val="发文单位"/>
    <w:basedOn w:val="1"/>
    <w:uiPriority w:val="0"/>
    <w:pPr>
      <w:spacing w:line="600" w:lineRule="exact"/>
      <w:jc w:val="center"/>
    </w:pPr>
    <w:rPr>
      <w:rFonts w:ascii="方正小标宋_GBK" w:hAnsi="Times New Roman" w:eastAsia="方正小标宋_GBK" w:cs="宋体"/>
      <w:sz w:val="4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China</Company>
  <Pages>10</Pages>
  <Words>5146</Words>
  <Characters>5432</Characters>
  <Lines>43</Lines>
  <Paragraphs>12</Paragraphs>
  <TotalTime>0</TotalTime>
  <ScaleCrop>false</ScaleCrop>
  <LinksUpToDate>false</LinksUpToDate>
  <CharactersWithSpaces>5446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2021-12-07T09:06:00Z</dcterms:created>
  <dc:creator>高顺艳</dc:creator>
  <cp:lastModifiedBy>颖子</cp:lastModifiedBy>
  <cp:lastPrinted>2021-01-22T01:43:00Z</cp:lastPrinted>
  <dcterms:modified xsi:type="dcterms:W3CDTF">2022-11-17T03:24:16Z</dcterms:modified>
  <dc:title>宝应县安监局2015年度安全生产监管执法工作计划</dc:title>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69BAEC78B2524A69AF726222B86D727C</vt:lpwstr>
  </property>
</Properties>
</file>