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
      <w:r>
        <w:rPr>
          <w:sz w:val="24"/>
          <w:szCs w:val="24"/>
        </w:rPr>
        <w:drawing>
          <wp:anchor distT="0" distB="0" distL="114300" distR="114300" simplePos="0" relativeHeight="251659264" behindDoc="0" locked="0" layoutInCell="1" allowOverlap="1">
            <wp:simplePos x="0" y="0"/>
            <wp:positionH relativeFrom="margin">
              <wp:posOffset>10795</wp:posOffset>
            </wp:positionH>
            <wp:positionV relativeFrom="margin">
              <wp:posOffset>101600</wp:posOffset>
            </wp:positionV>
            <wp:extent cx="749300" cy="800100"/>
            <wp:effectExtent l="0" t="0" r="12700" b="0"/>
            <wp:wrapSquare wrapText="bothSides"/>
            <wp:docPr id="1" name="图片 2" descr="国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国徽"/>
                    <pic:cNvPicPr>
                      <a:picLocks noChangeAspect="1"/>
                    </pic:cNvPicPr>
                  </pic:nvPicPr>
                  <pic:blipFill>
                    <a:blip r:embed="rId10"/>
                    <a:stretch>
                      <a:fillRect/>
                    </a:stretch>
                  </pic:blipFill>
                  <pic:spPr>
                    <a:xfrm>
                      <a:off x="0" y="0"/>
                      <a:ext cx="749300" cy="800100"/>
                    </a:xfrm>
                    <a:prstGeom prst="rect">
                      <a:avLst/>
                    </a:prstGeom>
                    <a:noFill/>
                    <a:ln>
                      <a:noFill/>
                    </a:ln>
                  </pic:spPr>
                </pic:pic>
              </a:graphicData>
            </a:graphic>
          </wp:anchor>
        </w:drawing>
      </w:r>
      <w:r>
        <w:t>新九镇第十</w:t>
      </w:r>
      <w:r>
        <w:rPr>
          <w:rFonts w:hint="eastAsia"/>
          <w:lang w:val="en-US" w:eastAsia="zh-CN"/>
        </w:rPr>
        <w:t>六</w:t>
      </w:r>
      <w:r>
        <w:t>届人民代表大会</w:t>
      </w:r>
    </w:p>
    <w:p>
      <w:pPr>
        <w:rPr>
          <w:rFonts w:hint="default" w:eastAsiaTheme="minorEastAsia"/>
          <w:lang w:val="en-US" w:eastAsia="zh-CN"/>
        </w:rPr>
      </w:pPr>
      <w:r>
        <w:t>第</w:t>
      </w:r>
      <w:r>
        <w:rPr>
          <w:rFonts w:hint="eastAsia"/>
          <w:lang w:val="en-US" w:eastAsia="zh-CN"/>
        </w:rPr>
        <w:t>二</w:t>
      </w:r>
      <w:r>
        <w:t>次会议材料</w:t>
      </w:r>
      <w:r>
        <w:rPr>
          <w:rFonts w:hint="eastAsia"/>
        </w:rPr>
        <w:t xml:space="preserve">    </w:t>
      </w:r>
      <w:r>
        <w:t>之</w:t>
      </w:r>
      <w:r>
        <w:rPr>
          <w:rFonts w:hint="eastAsia"/>
          <w:lang w:val="en-US" w:eastAsia="zh-CN"/>
        </w:rPr>
        <w:t>十四</w:t>
      </w:r>
    </w:p>
    <w:p>
      <w:pPr>
        <w:spacing w:line="0" w:lineRule="atLeast"/>
        <w:jc w:val="center"/>
        <w:rPr>
          <w:rFonts w:ascii="方正小标宋_GBK" w:eastAsia="方正小标宋_GBK"/>
          <w:sz w:val="38"/>
          <w:szCs w:val="38"/>
        </w:rPr>
      </w:pPr>
    </w:p>
    <w:p>
      <w:pPr>
        <w:jc w:val="center"/>
        <w:rPr>
          <w:rFonts w:hint="eastAsia" w:ascii="方正小标宋_GBK" w:hAnsi="方正小标宋_GBK" w:eastAsia="方正小标宋_GBK" w:cs="方正小标宋_GBK"/>
          <w:b w:val="0"/>
          <w:bCs/>
          <w:sz w:val="38"/>
          <w:szCs w:val="38"/>
          <w:highlight w:val="none"/>
          <w:lang w:eastAsia="zh-CN"/>
        </w:rPr>
      </w:pPr>
      <w:r>
        <w:rPr>
          <w:rFonts w:hint="eastAsia" w:ascii="方正小标宋_GBK" w:hAnsi="方正小标宋_GBK" w:eastAsia="方正小标宋_GBK" w:cs="方正小标宋_GBK"/>
          <w:b w:val="0"/>
          <w:bCs/>
          <w:sz w:val="38"/>
          <w:szCs w:val="38"/>
          <w:highlight w:val="none"/>
          <w:lang w:eastAsia="zh-CN"/>
        </w:rPr>
        <w:t>盐边县新九镇人民政府</w:t>
      </w:r>
    </w:p>
    <w:p>
      <w:pPr>
        <w:jc w:val="center"/>
        <w:rPr>
          <w:rFonts w:hint="eastAsia" w:ascii="方正小标宋_GBK" w:hAnsi="方正小标宋_GBK" w:eastAsia="方正小标宋_GBK" w:cs="方正小标宋_GBK"/>
          <w:b w:val="0"/>
          <w:bCs/>
          <w:sz w:val="38"/>
          <w:szCs w:val="38"/>
          <w:highlight w:val="none"/>
        </w:rPr>
      </w:pPr>
      <w:r>
        <w:rPr>
          <w:rFonts w:hint="eastAsia" w:ascii="方正小标宋_GBK" w:hAnsi="方正小标宋_GBK" w:eastAsia="方正小标宋_GBK" w:cs="方正小标宋_GBK"/>
          <w:b w:val="0"/>
          <w:bCs/>
          <w:sz w:val="38"/>
          <w:szCs w:val="38"/>
          <w:highlight w:val="none"/>
          <w:lang w:eastAsia="zh-CN"/>
        </w:rPr>
        <w:t>202</w:t>
      </w:r>
      <w:r>
        <w:rPr>
          <w:rFonts w:hint="eastAsia" w:ascii="方正小标宋_GBK" w:hAnsi="方正小标宋_GBK" w:eastAsia="方正小标宋_GBK" w:cs="方正小标宋_GBK"/>
          <w:b w:val="0"/>
          <w:bCs/>
          <w:sz w:val="38"/>
          <w:szCs w:val="38"/>
          <w:highlight w:val="none"/>
          <w:lang w:val="en-US" w:eastAsia="zh-CN"/>
        </w:rPr>
        <w:t>1</w:t>
      </w:r>
      <w:r>
        <w:rPr>
          <w:rFonts w:hint="eastAsia" w:ascii="方正小标宋_GBK" w:hAnsi="方正小标宋_GBK" w:eastAsia="方正小标宋_GBK" w:cs="方正小标宋_GBK"/>
          <w:b w:val="0"/>
          <w:bCs/>
          <w:sz w:val="38"/>
          <w:szCs w:val="38"/>
          <w:highlight w:val="none"/>
        </w:rPr>
        <w:t>年财政预算执行和</w:t>
      </w:r>
      <w:r>
        <w:rPr>
          <w:rFonts w:hint="eastAsia" w:ascii="方正小标宋_GBK" w:hAnsi="方正小标宋_GBK" w:eastAsia="方正小标宋_GBK" w:cs="方正小标宋_GBK"/>
          <w:b w:val="0"/>
          <w:bCs/>
          <w:sz w:val="38"/>
          <w:szCs w:val="38"/>
          <w:highlight w:val="none"/>
          <w:lang w:eastAsia="zh-CN"/>
        </w:rPr>
        <w:t>202</w:t>
      </w:r>
      <w:r>
        <w:rPr>
          <w:rFonts w:hint="eastAsia" w:ascii="方正小标宋_GBK" w:hAnsi="方正小标宋_GBK" w:eastAsia="方正小标宋_GBK" w:cs="方正小标宋_GBK"/>
          <w:b w:val="0"/>
          <w:bCs/>
          <w:sz w:val="38"/>
          <w:szCs w:val="38"/>
          <w:highlight w:val="none"/>
          <w:lang w:val="en-US" w:eastAsia="zh-CN"/>
        </w:rPr>
        <w:t>2</w:t>
      </w:r>
      <w:r>
        <w:rPr>
          <w:rFonts w:hint="eastAsia" w:ascii="方正小标宋_GBK" w:hAnsi="方正小标宋_GBK" w:eastAsia="方正小标宋_GBK" w:cs="方正小标宋_GBK"/>
          <w:b w:val="0"/>
          <w:bCs/>
          <w:sz w:val="38"/>
          <w:szCs w:val="38"/>
          <w:highlight w:val="none"/>
        </w:rPr>
        <w:t>年财政预算</w:t>
      </w:r>
      <w:r>
        <w:rPr>
          <w:rFonts w:hint="eastAsia" w:ascii="方正小标宋_GBK" w:hAnsi="方正小标宋_GBK" w:eastAsia="方正小标宋_GBK" w:cs="方正小标宋_GBK"/>
          <w:b w:val="0"/>
          <w:bCs/>
          <w:sz w:val="38"/>
          <w:szCs w:val="38"/>
          <w:highlight w:val="none"/>
          <w:lang w:eastAsia="zh-CN"/>
        </w:rPr>
        <w:t>（</w:t>
      </w:r>
      <w:r>
        <w:rPr>
          <w:rFonts w:hint="eastAsia" w:ascii="方正小标宋_GBK" w:hAnsi="方正小标宋_GBK" w:eastAsia="方正小标宋_GBK" w:cs="方正小标宋_GBK"/>
          <w:b w:val="0"/>
          <w:bCs/>
          <w:sz w:val="38"/>
          <w:szCs w:val="38"/>
          <w:highlight w:val="none"/>
        </w:rPr>
        <w:t>草案</w:t>
      </w:r>
      <w:r>
        <w:rPr>
          <w:rFonts w:hint="eastAsia" w:ascii="方正小标宋_GBK" w:hAnsi="方正小标宋_GBK" w:eastAsia="方正小标宋_GBK" w:cs="方正小标宋_GBK"/>
          <w:b w:val="0"/>
          <w:bCs/>
          <w:sz w:val="38"/>
          <w:szCs w:val="38"/>
          <w:highlight w:val="none"/>
          <w:lang w:eastAsia="zh-CN"/>
        </w:rPr>
        <w:t>）</w:t>
      </w:r>
    </w:p>
    <w:p>
      <w:pPr>
        <w:jc w:val="center"/>
        <w:rPr>
          <w:rFonts w:hint="eastAsia" w:ascii="方正小标宋_GBK" w:hAnsi="方正小标宋_GBK" w:eastAsia="方正小标宋_GBK" w:cs="方正小标宋_GBK"/>
          <w:b w:val="0"/>
          <w:bCs/>
          <w:sz w:val="38"/>
          <w:szCs w:val="38"/>
          <w:highlight w:val="none"/>
        </w:rPr>
      </w:pPr>
      <w:r>
        <w:rPr>
          <w:rFonts w:hint="eastAsia" w:ascii="方正小标宋_GBK" w:hAnsi="方正小标宋_GBK" w:eastAsia="方正小标宋_GBK" w:cs="方正小标宋_GBK"/>
          <w:b w:val="0"/>
          <w:bCs/>
          <w:sz w:val="38"/>
          <w:szCs w:val="38"/>
          <w:highlight w:val="none"/>
        </w:rPr>
        <w:t>的报告</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pPr>
      <w:bookmarkStart w:id="0" w:name="_GoBack"/>
      <w:bookmarkEnd w:id="0"/>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——202</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2</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年</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5</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月</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17</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日在</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新九</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镇第</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十六</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届人民代表大会</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pP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第</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二</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次会</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议上</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pP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新九</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镇</w:t>
      </w:r>
      <w:r>
        <w:rPr>
          <w:rFonts w:hint="eastAsia" w:ascii="方正楷体_GBK" w:hAnsi="方正楷体_GBK" w:eastAsia="方正楷体_GBK" w:cs="方正楷体_GBK"/>
          <w:b w:val="0"/>
          <w:bCs/>
          <w:color w:val="000000" w:themeColor="text1"/>
          <w:w w:val="90"/>
          <w:sz w:val="33"/>
          <w:szCs w:val="33"/>
          <w:highlight w:val="none"/>
          <w:lang w:eastAsia="zh-CN"/>
          <w14:textFill>
            <w14:solidFill>
              <w14:schemeClr w14:val="tx1"/>
            </w14:solidFill>
          </w14:textFill>
        </w:rPr>
        <w:t>单位会计</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 xml:space="preserve"> </w:t>
      </w:r>
      <w:r>
        <w:rPr>
          <w:rFonts w:hint="eastAsia" w:ascii="方正楷体_GBK" w:hAnsi="方正楷体_GBK" w:eastAsia="方正楷体_GBK" w:cs="方正楷体_GBK"/>
          <w:b w:val="0"/>
          <w:bCs/>
          <w:color w:val="000000" w:themeColor="text1"/>
          <w:w w:val="90"/>
          <w:sz w:val="33"/>
          <w:szCs w:val="33"/>
          <w:highlight w:val="none"/>
          <w14:textFill>
            <w14:solidFill>
              <w14:schemeClr w14:val="tx1"/>
            </w14:solidFill>
          </w14:textFill>
        </w:rPr>
        <w:t xml:space="preserve"> </w:t>
      </w:r>
      <w:r>
        <w:rPr>
          <w:rFonts w:hint="eastAsia" w:ascii="方正楷体_GBK" w:hAnsi="方正楷体_GBK" w:eastAsia="方正楷体_GBK" w:cs="方正楷体_GBK"/>
          <w:b w:val="0"/>
          <w:bCs/>
          <w:color w:val="000000" w:themeColor="text1"/>
          <w:w w:val="90"/>
          <w:sz w:val="33"/>
          <w:szCs w:val="33"/>
          <w:highlight w:val="none"/>
          <w:lang w:val="en-US" w:eastAsia="zh-CN"/>
          <w14:textFill>
            <w14:solidFill>
              <w14:schemeClr w14:val="tx1"/>
            </w14:solidFill>
          </w14:textFill>
        </w:rPr>
        <w:t>张禧</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方正楷体_GBK" w:cs="Times New Roman"/>
          <w:b/>
          <w:bCs w:val="0"/>
          <w:color w:val="000000" w:themeColor="text1"/>
          <w:w w:val="90"/>
          <w:sz w:val="33"/>
          <w:szCs w:val="33"/>
          <w:highlight w:val="none"/>
          <w14:textFill>
            <w14:solidFill>
              <w14:schemeClr w14:val="tx1"/>
            </w14:solidFill>
          </w14:textFill>
        </w:rPr>
      </w:pPr>
    </w:p>
    <w:p>
      <w:pPr>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rPr>
        <w:t>各位代表：</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rPr>
        <w:t>我受</w:t>
      </w:r>
      <w:r>
        <w:rPr>
          <w:rFonts w:hint="default" w:ascii="Times New Roman" w:hAnsi="Times New Roman" w:eastAsia="方正仿宋_GBK" w:cs="Times New Roman"/>
          <w:sz w:val="33"/>
          <w:szCs w:val="33"/>
          <w:highlight w:val="none"/>
          <w:lang w:eastAsia="zh-CN"/>
        </w:rPr>
        <w:t>镇</w:t>
      </w:r>
      <w:r>
        <w:rPr>
          <w:rFonts w:hint="default" w:ascii="Times New Roman" w:hAnsi="Times New Roman" w:eastAsia="方正仿宋_GBK" w:cs="Times New Roman"/>
          <w:sz w:val="33"/>
          <w:szCs w:val="33"/>
          <w:highlight w:val="none"/>
        </w:rPr>
        <w:t>人民政府的委托，向大会报告</w:t>
      </w:r>
      <w:r>
        <w:rPr>
          <w:rFonts w:hint="default" w:ascii="Times New Roman" w:hAnsi="Times New Roman" w:eastAsia="方正仿宋_GBK" w:cs="Times New Roman"/>
          <w:sz w:val="33"/>
          <w:szCs w:val="33"/>
          <w:highlight w:val="none"/>
          <w:lang w:eastAsia="zh-CN"/>
        </w:rPr>
        <w:t>新九镇202</w:t>
      </w:r>
      <w:r>
        <w:rPr>
          <w:rFonts w:hint="default" w:ascii="Times New Roman" w:hAnsi="Times New Roman" w:eastAsia="方正仿宋_GBK" w:cs="Times New Roman"/>
          <w:sz w:val="33"/>
          <w:szCs w:val="33"/>
          <w:highlight w:val="none"/>
          <w:lang w:val="en-US" w:eastAsia="zh-CN"/>
        </w:rPr>
        <w:t>1</w:t>
      </w:r>
      <w:r>
        <w:rPr>
          <w:rFonts w:hint="default" w:ascii="Times New Roman" w:hAnsi="Times New Roman" w:eastAsia="方正仿宋_GBK" w:cs="Times New Roman"/>
          <w:sz w:val="33"/>
          <w:szCs w:val="33"/>
          <w:highlight w:val="none"/>
        </w:rPr>
        <w:t>年财政预算执行情况和</w:t>
      </w:r>
      <w:r>
        <w:rPr>
          <w:rFonts w:hint="default" w:ascii="Times New Roman" w:hAnsi="Times New Roman" w:eastAsia="方正仿宋_GBK" w:cs="Times New Roman"/>
          <w:sz w:val="33"/>
          <w:szCs w:val="33"/>
          <w:highlight w:val="none"/>
          <w:lang w:eastAsia="zh-CN"/>
        </w:rPr>
        <w:t>202</w:t>
      </w:r>
      <w:r>
        <w:rPr>
          <w:rFonts w:hint="default" w:ascii="Times New Roman" w:hAnsi="Times New Roman" w:eastAsia="方正仿宋_GBK" w:cs="Times New Roman"/>
          <w:sz w:val="33"/>
          <w:szCs w:val="33"/>
          <w:highlight w:val="none"/>
          <w:lang w:val="en-US" w:eastAsia="zh-CN"/>
        </w:rPr>
        <w:t>2</w:t>
      </w:r>
      <w:r>
        <w:rPr>
          <w:rFonts w:hint="default" w:ascii="Times New Roman" w:hAnsi="Times New Roman" w:eastAsia="方正仿宋_GBK" w:cs="Times New Roman"/>
          <w:sz w:val="33"/>
          <w:szCs w:val="33"/>
          <w:highlight w:val="none"/>
        </w:rPr>
        <w:t>年财政预算草案，请予审查，并请各位人大代表和列席人员提出</w:t>
      </w:r>
      <w:r>
        <w:rPr>
          <w:rFonts w:hint="default" w:ascii="Times New Roman" w:hAnsi="Times New Roman" w:eastAsia="方正仿宋_GBK" w:cs="Times New Roman"/>
          <w:sz w:val="33"/>
          <w:szCs w:val="33"/>
          <w:highlight w:val="none"/>
          <w:lang w:eastAsia="zh-CN"/>
        </w:rPr>
        <w:t>宝贵</w:t>
      </w:r>
      <w:r>
        <w:rPr>
          <w:rFonts w:hint="default" w:ascii="Times New Roman" w:hAnsi="Times New Roman" w:eastAsia="方正仿宋_GBK" w:cs="Times New Roman"/>
          <w:sz w:val="33"/>
          <w:szCs w:val="33"/>
          <w:highlight w:val="none"/>
        </w:rPr>
        <w:t>意见。</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eastAsia" w:ascii="方正黑体_GBK" w:hAnsi="方正黑体_GBK" w:eastAsia="方正黑体_GBK" w:cs="方正黑体_GBK"/>
          <w:sz w:val="33"/>
          <w:szCs w:val="33"/>
          <w:highlight w:val="none"/>
        </w:rPr>
      </w:pPr>
      <w:r>
        <w:rPr>
          <w:rFonts w:hint="eastAsia" w:ascii="方正黑体_GBK" w:hAnsi="方正黑体_GBK" w:eastAsia="方正黑体_GBK" w:cs="方正黑体_GBK"/>
          <w:sz w:val="33"/>
          <w:szCs w:val="33"/>
          <w:highlight w:val="none"/>
        </w:rPr>
        <w:t>一、关于</w:t>
      </w:r>
      <w:r>
        <w:rPr>
          <w:rFonts w:hint="eastAsia" w:ascii="方正黑体_GBK" w:hAnsi="方正黑体_GBK" w:eastAsia="方正黑体_GBK" w:cs="方正黑体_GBK"/>
          <w:sz w:val="33"/>
          <w:szCs w:val="33"/>
          <w:highlight w:val="none"/>
          <w:lang w:eastAsia="zh-CN"/>
        </w:rPr>
        <w:t>202</w:t>
      </w:r>
      <w:r>
        <w:rPr>
          <w:rFonts w:hint="eastAsia" w:ascii="方正黑体_GBK" w:hAnsi="方正黑体_GBK" w:eastAsia="方正黑体_GBK" w:cs="方正黑体_GBK"/>
          <w:sz w:val="33"/>
          <w:szCs w:val="33"/>
          <w:highlight w:val="none"/>
          <w:lang w:val="en-US" w:eastAsia="zh-CN"/>
        </w:rPr>
        <w:t>1</w:t>
      </w:r>
      <w:r>
        <w:rPr>
          <w:rFonts w:hint="eastAsia" w:ascii="方正黑体_GBK" w:hAnsi="方正黑体_GBK" w:eastAsia="方正黑体_GBK" w:cs="方正黑体_GBK"/>
          <w:sz w:val="33"/>
          <w:szCs w:val="33"/>
          <w:highlight w:val="none"/>
        </w:rPr>
        <w:t>年财政预算执行情况</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rPr>
        <w:t>2021年是中国共产党成立100周年，也是“十四五”开局之年，在</w:t>
      </w:r>
      <w:r>
        <w:rPr>
          <w:rFonts w:hint="default" w:ascii="Times New Roman" w:hAnsi="Times New Roman" w:eastAsia="方正仿宋_GBK" w:cs="Times New Roman"/>
          <w:sz w:val="33"/>
          <w:szCs w:val="33"/>
          <w:highlight w:val="none"/>
          <w:lang w:eastAsia="zh-CN"/>
        </w:rPr>
        <w:t>镇</w:t>
      </w:r>
      <w:r>
        <w:rPr>
          <w:rFonts w:hint="default" w:ascii="Times New Roman" w:hAnsi="Times New Roman" w:eastAsia="方正仿宋_GBK" w:cs="Times New Roman"/>
          <w:sz w:val="33"/>
          <w:szCs w:val="33"/>
          <w:highlight w:val="none"/>
        </w:rPr>
        <w:t>党委、政府的领导下，在</w:t>
      </w:r>
      <w:r>
        <w:rPr>
          <w:rFonts w:hint="default" w:ascii="Times New Roman" w:hAnsi="Times New Roman" w:eastAsia="方正仿宋_GBK" w:cs="Times New Roman"/>
          <w:sz w:val="33"/>
          <w:szCs w:val="33"/>
          <w:highlight w:val="none"/>
          <w:lang w:eastAsia="zh-CN"/>
        </w:rPr>
        <w:t>镇</w:t>
      </w:r>
      <w:r>
        <w:rPr>
          <w:rFonts w:hint="default" w:ascii="Times New Roman" w:hAnsi="Times New Roman" w:eastAsia="方正仿宋_GBK" w:cs="Times New Roman"/>
          <w:sz w:val="33"/>
          <w:szCs w:val="33"/>
          <w:highlight w:val="none"/>
        </w:rPr>
        <w:t>人大的监督指导下，全</w:t>
      </w:r>
      <w:r>
        <w:rPr>
          <w:rFonts w:hint="default" w:ascii="Times New Roman" w:hAnsi="Times New Roman" w:eastAsia="方正仿宋_GBK" w:cs="Times New Roman"/>
          <w:sz w:val="33"/>
          <w:szCs w:val="33"/>
          <w:highlight w:val="none"/>
          <w:lang w:eastAsia="zh-CN"/>
        </w:rPr>
        <w:t>镇</w:t>
      </w:r>
      <w:r>
        <w:rPr>
          <w:rFonts w:hint="default" w:ascii="Times New Roman" w:hAnsi="Times New Roman" w:eastAsia="方正仿宋_GBK" w:cs="Times New Roman"/>
          <w:sz w:val="33"/>
          <w:szCs w:val="33"/>
          <w:highlight w:val="none"/>
        </w:rPr>
        <w:t>上下深入贯彻落实党的</w:t>
      </w:r>
      <w:r>
        <w:rPr>
          <w:rFonts w:hint="default" w:ascii="Times New Roman" w:hAnsi="Times New Roman" w:eastAsia="方正仿宋_GBK" w:cs="Times New Roman"/>
          <w:sz w:val="33"/>
          <w:szCs w:val="33"/>
          <w:highlight w:val="none"/>
          <w:lang w:eastAsia="zh-CN"/>
        </w:rPr>
        <w:t>指导方针政策</w:t>
      </w:r>
      <w:r>
        <w:rPr>
          <w:rFonts w:hint="default" w:ascii="Times New Roman" w:hAnsi="Times New Roman" w:eastAsia="方正仿宋_GBK" w:cs="Times New Roman"/>
          <w:sz w:val="33"/>
          <w:szCs w:val="33"/>
          <w:highlight w:val="none"/>
        </w:rPr>
        <w:t>，坚决落实“三保一优一防”重要要求，扎实做好“六稳”“六保”工作，强化收支管理,优化支出结构，确保了我镇重点项目支出、刚性支出的需要和日常工作的基本正常运转。</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63" w:firstLineChars="200"/>
        <w:textAlignment w:val="auto"/>
        <w:outlineLvl w:val="9"/>
        <w:rPr>
          <w:rFonts w:hint="eastAsia" w:ascii="方正楷体_GBK" w:hAnsi="方正楷体_GBK" w:eastAsia="方正楷体_GBK" w:cs="方正楷体_GBK"/>
          <w:b/>
          <w:bCs/>
          <w:sz w:val="33"/>
          <w:szCs w:val="33"/>
          <w:highlight w:val="none"/>
        </w:rPr>
      </w:pPr>
      <w:r>
        <w:rPr>
          <w:rFonts w:hint="eastAsia" w:ascii="方正楷体_GBK" w:hAnsi="方正楷体_GBK" w:eastAsia="方正楷体_GBK" w:cs="方正楷体_GBK"/>
          <w:b/>
          <w:bCs/>
          <w:sz w:val="33"/>
          <w:szCs w:val="33"/>
          <w:highlight w:val="none"/>
        </w:rPr>
        <w:t>（一）</w:t>
      </w:r>
      <w:r>
        <w:rPr>
          <w:rFonts w:hint="eastAsia" w:ascii="方正楷体_GBK" w:hAnsi="方正楷体_GBK" w:eastAsia="方正楷体_GBK" w:cs="方正楷体_GBK"/>
          <w:b/>
          <w:bCs/>
          <w:sz w:val="33"/>
          <w:szCs w:val="33"/>
          <w:highlight w:val="none"/>
          <w:lang w:eastAsia="zh-CN"/>
        </w:rPr>
        <w:t>一般公共</w:t>
      </w:r>
      <w:r>
        <w:rPr>
          <w:rFonts w:hint="eastAsia" w:ascii="方正楷体_GBK" w:hAnsi="方正楷体_GBK" w:eastAsia="方正楷体_GBK" w:cs="方正楷体_GBK"/>
          <w:b/>
          <w:bCs/>
          <w:sz w:val="33"/>
          <w:szCs w:val="33"/>
          <w:highlight w:val="none"/>
        </w:rPr>
        <w:t>预算执行情况</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eastAsia="zh-CN"/>
        </w:rPr>
      </w:pPr>
      <w:r>
        <w:rPr>
          <w:rFonts w:hint="default" w:ascii="Times New Roman" w:hAnsi="Times New Roman" w:eastAsia="方正仿宋_GBK" w:cs="Times New Roman"/>
          <w:sz w:val="33"/>
          <w:szCs w:val="33"/>
          <w:highlight w:val="none"/>
        </w:rPr>
        <w:t>20</w:t>
      </w:r>
      <w:r>
        <w:rPr>
          <w:rFonts w:hint="default" w:ascii="Times New Roman" w:hAnsi="Times New Roman" w:eastAsia="方正仿宋_GBK" w:cs="Times New Roman"/>
          <w:sz w:val="33"/>
          <w:szCs w:val="33"/>
          <w:highlight w:val="none"/>
          <w:lang w:val="en-US" w:eastAsia="zh-CN"/>
        </w:rPr>
        <w:t>21</w:t>
      </w:r>
      <w:r>
        <w:rPr>
          <w:rFonts w:hint="default" w:ascii="Times New Roman" w:hAnsi="Times New Roman" w:eastAsia="方正仿宋_GBK" w:cs="Times New Roman"/>
          <w:sz w:val="33"/>
          <w:szCs w:val="33"/>
          <w:highlight w:val="none"/>
        </w:rPr>
        <w:t>年</w:t>
      </w:r>
      <w:r>
        <w:rPr>
          <w:rFonts w:hint="default" w:ascii="Times New Roman" w:hAnsi="Times New Roman" w:eastAsia="方正仿宋_GBK" w:cs="Times New Roman"/>
          <w:sz w:val="33"/>
          <w:szCs w:val="33"/>
          <w:highlight w:val="none"/>
          <w:lang w:eastAsia="zh-CN"/>
        </w:rPr>
        <w:t>，一般公共预算收1570</w:t>
      </w:r>
      <w:r>
        <w:rPr>
          <w:rFonts w:hint="default" w:ascii="Times New Roman" w:hAnsi="Times New Roman" w:eastAsia="方正仿宋_GBK" w:cs="Times New Roman"/>
          <w:sz w:val="33"/>
          <w:szCs w:val="33"/>
          <w:highlight w:val="none"/>
          <w:lang w:val="en-US" w:eastAsia="zh-CN"/>
        </w:rPr>
        <w:t>.</w:t>
      </w:r>
      <w:r>
        <w:rPr>
          <w:rFonts w:hint="default" w:ascii="Times New Roman" w:hAnsi="Times New Roman" w:eastAsia="方正仿宋_GBK" w:cs="Times New Roman"/>
          <w:sz w:val="33"/>
          <w:szCs w:val="33"/>
          <w:highlight w:val="none"/>
          <w:lang w:eastAsia="zh-CN"/>
        </w:rPr>
        <w:t>68</w:t>
      </w:r>
      <w:r>
        <w:rPr>
          <w:rFonts w:hint="default" w:ascii="Times New Roman" w:hAnsi="Times New Roman" w:eastAsia="方正仿宋_GBK" w:cs="Times New Roman"/>
          <w:sz w:val="33"/>
          <w:szCs w:val="33"/>
          <w:highlight w:val="none"/>
          <w:lang w:val="en-US" w:eastAsia="zh-CN"/>
        </w:rPr>
        <w:t>万元</w:t>
      </w:r>
      <w:r>
        <w:rPr>
          <w:rFonts w:hint="default" w:ascii="Times New Roman" w:hAnsi="Times New Roman" w:eastAsia="方正仿宋_GBK" w:cs="Times New Roman"/>
          <w:sz w:val="33"/>
          <w:szCs w:val="33"/>
          <w:highlight w:val="none"/>
          <w:lang w:eastAsia="zh-CN"/>
        </w:rPr>
        <w:t>；一般公共预算支出</w:t>
      </w:r>
      <w:r>
        <w:rPr>
          <w:rFonts w:hint="default" w:ascii="Times New Roman" w:hAnsi="Times New Roman" w:eastAsia="方正仿宋_GBK" w:cs="Times New Roman"/>
          <w:sz w:val="33"/>
          <w:szCs w:val="33"/>
          <w:highlight w:val="none"/>
          <w:lang w:val="en-US" w:eastAsia="zh-CN"/>
        </w:rPr>
        <w:t>1695.46万元</w:t>
      </w:r>
      <w:r>
        <w:rPr>
          <w:rFonts w:hint="default" w:ascii="Times New Roman" w:hAnsi="Times New Roman" w:eastAsia="方正仿宋_GBK" w:cs="Times New Roman"/>
          <w:sz w:val="33"/>
          <w:szCs w:val="33"/>
          <w:highlight w:val="none"/>
        </w:rPr>
        <w:t>（其中基本支出：</w:t>
      </w:r>
      <w:r>
        <w:rPr>
          <w:rFonts w:hint="default" w:ascii="Times New Roman" w:hAnsi="Times New Roman" w:eastAsia="方正仿宋_GBK" w:cs="Times New Roman"/>
          <w:color w:val="000000"/>
          <w:kern w:val="0"/>
          <w:sz w:val="33"/>
          <w:szCs w:val="33"/>
          <w:highlight w:val="none"/>
          <w:lang w:val="en-US" w:eastAsia="zh-CN"/>
        </w:rPr>
        <w:t>1006.89</w:t>
      </w:r>
      <w:r>
        <w:rPr>
          <w:rFonts w:hint="default" w:ascii="Times New Roman" w:hAnsi="Times New Roman" w:eastAsia="方正仿宋_GBK" w:cs="Times New Roman"/>
          <w:sz w:val="33"/>
          <w:szCs w:val="33"/>
          <w:highlight w:val="none"/>
        </w:rPr>
        <w:t>万元，项目支出：</w:t>
      </w:r>
      <w:r>
        <w:rPr>
          <w:rFonts w:hint="default" w:ascii="Times New Roman" w:hAnsi="Times New Roman" w:eastAsia="方正仿宋_GBK" w:cs="Times New Roman"/>
          <w:color w:val="000000"/>
          <w:kern w:val="0"/>
          <w:sz w:val="33"/>
          <w:szCs w:val="33"/>
          <w:highlight w:val="none"/>
          <w:lang w:val="en-US" w:eastAsia="zh-CN"/>
        </w:rPr>
        <w:t>688.57</w:t>
      </w:r>
      <w:r>
        <w:rPr>
          <w:rFonts w:hint="default" w:ascii="Times New Roman" w:hAnsi="Times New Roman" w:eastAsia="方正仿宋_GBK" w:cs="Times New Roman"/>
          <w:sz w:val="33"/>
          <w:szCs w:val="33"/>
          <w:highlight w:val="none"/>
        </w:rPr>
        <w:t>万元）</w:t>
      </w:r>
      <w:r>
        <w:rPr>
          <w:rFonts w:hint="default" w:ascii="Times New Roman" w:hAnsi="Times New Roman" w:eastAsia="方正仿宋_GBK" w:cs="Times New Roman"/>
          <w:sz w:val="33"/>
          <w:szCs w:val="33"/>
          <w:highlight w:val="none"/>
          <w:lang w:val="en-US" w:eastAsia="zh-CN"/>
        </w:rPr>
        <w:t>。</w:t>
      </w:r>
      <w:r>
        <w:rPr>
          <w:rFonts w:hint="default" w:ascii="Times New Roman" w:hAnsi="Times New Roman" w:eastAsia="方正仿宋_GBK" w:cs="Times New Roman"/>
          <w:sz w:val="33"/>
          <w:szCs w:val="33"/>
          <w:highlight w:val="none"/>
        </w:rPr>
        <w:t>具体</w:t>
      </w:r>
      <w:r>
        <w:rPr>
          <w:rFonts w:hint="default" w:ascii="Times New Roman" w:hAnsi="Times New Roman" w:eastAsia="方正仿宋_GBK" w:cs="Times New Roman"/>
          <w:sz w:val="33"/>
          <w:szCs w:val="33"/>
          <w:highlight w:val="none"/>
          <w:lang w:eastAsia="zh-CN"/>
        </w:rPr>
        <w:t>支出</w:t>
      </w:r>
      <w:r>
        <w:rPr>
          <w:rFonts w:hint="default" w:ascii="Times New Roman" w:hAnsi="Times New Roman" w:eastAsia="方正仿宋_GBK" w:cs="Times New Roman"/>
          <w:sz w:val="33"/>
          <w:szCs w:val="33"/>
          <w:highlight w:val="none"/>
        </w:rPr>
        <w:t>情况如下</w:t>
      </w:r>
      <w:r>
        <w:rPr>
          <w:rFonts w:hint="default" w:ascii="Times New Roman" w:hAnsi="Times New Roman" w:eastAsia="方正仿宋_GBK" w:cs="Times New Roman"/>
          <w:sz w:val="33"/>
          <w:szCs w:val="33"/>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1、</w:t>
      </w:r>
      <w:r>
        <w:rPr>
          <w:rFonts w:hint="default" w:ascii="Times New Roman" w:hAnsi="Times New Roman" w:eastAsia="方正仿宋_GBK" w:cs="Times New Roman"/>
          <w:sz w:val="33"/>
          <w:szCs w:val="33"/>
          <w:highlight w:val="none"/>
          <w:lang w:val="en-US" w:eastAsia="zh-CN"/>
        </w:rPr>
        <w:t>一般公共服务支出508.45万元。其中人大事务21.61万元，政府办公厅（室）及相关机构事务420.82万元，民族事务0.4万元，党委办公厅（室）及相关机构事务65.62万元。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2、</w:t>
      </w:r>
      <w:r>
        <w:rPr>
          <w:rFonts w:hint="default" w:ascii="Times New Roman" w:hAnsi="Times New Roman" w:eastAsia="方正仿宋_GBK" w:cs="Times New Roman"/>
          <w:sz w:val="33"/>
          <w:szCs w:val="33"/>
          <w:highlight w:val="none"/>
          <w:lang w:val="en-US" w:eastAsia="zh-CN"/>
        </w:rPr>
        <w:t>文化旅游体育与传媒支出25.60万元。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3、</w:t>
      </w:r>
      <w:r>
        <w:rPr>
          <w:rFonts w:hint="default" w:ascii="Times New Roman" w:hAnsi="Times New Roman" w:eastAsia="方正仿宋_GBK" w:cs="Times New Roman"/>
          <w:sz w:val="33"/>
          <w:szCs w:val="33"/>
          <w:highlight w:val="none"/>
          <w:lang w:val="en-US" w:eastAsia="zh-CN"/>
        </w:rPr>
        <w:t>社会保障和就业支出191.46万元。其中人力资源和社会保障管理事务64.46万元，民政管理事务24.95万元，行政事业单位养老支出101.82万元，就业补助0.23万元。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4、</w:t>
      </w:r>
      <w:r>
        <w:rPr>
          <w:rFonts w:hint="default" w:ascii="Times New Roman" w:hAnsi="Times New Roman" w:eastAsia="方正仿宋_GBK" w:cs="Times New Roman"/>
          <w:sz w:val="33"/>
          <w:szCs w:val="33"/>
          <w:highlight w:val="none"/>
          <w:lang w:val="en-US" w:eastAsia="zh-CN"/>
        </w:rPr>
        <w:t>卫生健康支出62.00万元。其中公共卫生7.29万元，计划生育事务5.86万元，行政事业单位医疗48.85万元。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5、</w:t>
      </w:r>
      <w:r>
        <w:rPr>
          <w:rFonts w:hint="default" w:ascii="Times New Roman" w:hAnsi="Times New Roman" w:eastAsia="方正仿宋_GBK" w:cs="Times New Roman"/>
          <w:sz w:val="33"/>
          <w:szCs w:val="33"/>
          <w:highlight w:val="none"/>
          <w:lang w:val="en-US" w:eastAsia="zh-CN"/>
        </w:rPr>
        <w:t>城乡社区环境卫生支出118.57万元。其中城乡社区公共设施支出83.57万元， 城乡社区环境卫生35.00万元。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6、</w:t>
      </w:r>
      <w:r>
        <w:rPr>
          <w:rFonts w:hint="default" w:ascii="Times New Roman" w:hAnsi="Times New Roman" w:eastAsia="方正仿宋_GBK" w:cs="Times New Roman"/>
          <w:sz w:val="33"/>
          <w:szCs w:val="33"/>
          <w:highlight w:val="none"/>
          <w:lang w:val="en-US" w:eastAsia="zh-CN"/>
        </w:rPr>
        <w:t>农林水支出673.68万元。其中农业农村213.92万元， 农村基础设施建设9.5万元，农村综合改革416.40万元， 其他农林水支出33.86万元。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7、</w:t>
      </w:r>
      <w:r>
        <w:rPr>
          <w:rFonts w:hint="default" w:ascii="Times New Roman" w:hAnsi="Times New Roman" w:eastAsia="方正仿宋_GBK" w:cs="Times New Roman"/>
          <w:sz w:val="33"/>
          <w:szCs w:val="33"/>
          <w:highlight w:val="none"/>
          <w:lang w:val="en-US" w:eastAsia="zh-CN"/>
        </w:rPr>
        <w:t>住房保障支出75.87万元。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eastAsia" w:ascii="方正楷体_GBK" w:hAnsi="方正楷体_GBK" w:eastAsia="方正楷体_GBK" w:cs="方正楷体_GBK"/>
          <w:b/>
          <w:bCs/>
          <w:sz w:val="33"/>
          <w:szCs w:val="33"/>
          <w:highlight w:val="none"/>
          <w:lang w:eastAsia="zh-CN"/>
        </w:rPr>
      </w:pPr>
      <w:r>
        <w:rPr>
          <w:rFonts w:hint="eastAsia" w:ascii="Times New Roman" w:hAnsi="Times New Roman" w:eastAsia="方正仿宋_GBK" w:cs="Times New Roman"/>
          <w:sz w:val="33"/>
          <w:szCs w:val="33"/>
          <w:highlight w:val="none"/>
          <w:lang w:val="en-US" w:eastAsia="zh-CN"/>
        </w:rPr>
        <w:t>8、</w:t>
      </w:r>
      <w:r>
        <w:rPr>
          <w:rFonts w:hint="default" w:ascii="Times New Roman" w:hAnsi="Times New Roman" w:eastAsia="方正仿宋_GBK" w:cs="Times New Roman"/>
          <w:sz w:val="33"/>
          <w:szCs w:val="33"/>
          <w:highlight w:val="none"/>
          <w:lang w:val="en-US" w:eastAsia="zh-CN"/>
        </w:rPr>
        <w:t>灾害防治及应急管理支出39.83万元。其中应急管理事务34.83万元，自然灾害防治5万元。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3" w:firstLineChars="200"/>
        <w:textAlignment w:val="auto"/>
        <w:outlineLvl w:val="9"/>
        <w:rPr>
          <w:rFonts w:hint="eastAsia" w:ascii="方正楷体_GBK" w:hAnsi="方正楷体_GBK" w:eastAsia="方正楷体_GBK" w:cs="方正楷体_GBK"/>
          <w:b/>
          <w:bCs/>
          <w:sz w:val="33"/>
          <w:szCs w:val="33"/>
          <w:highlight w:val="none"/>
          <w:lang w:eastAsia="zh-CN"/>
        </w:rPr>
      </w:pPr>
      <w:r>
        <w:rPr>
          <w:rFonts w:hint="eastAsia" w:ascii="方正楷体_GBK" w:hAnsi="方正楷体_GBK" w:eastAsia="方正楷体_GBK" w:cs="方正楷体_GBK"/>
          <w:b/>
          <w:bCs/>
          <w:sz w:val="33"/>
          <w:szCs w:val="33"/>
          <w:highlight w:val="none"/>
          <w:lang w:val="en-US" w:eastAsia="zh-CN"/>
        </w:rPr>
        <w:t>（二）</w:t>
      </w:r>
      <w:r>
        <w:rPr>
          <w:rFonts w:hint="eastAsia" w:ascii="方正楷体_GBK" w:hAnsi="方正楷体_GBK" w:eastAsia="方正楷体_GBK" w:cs="方正楷体_GBK"/>
          <w:b/>
          <w:bCs/>
          <w:sz w:val="33"/>
          <w:szCs w:val="33"/>
          <w:highlight w:val="none"/>
          <w:lang w:eastAsia="zh-CN"/>
        </w:rPr>
        <w:t>政府性基金预算执行情况</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default" w:ascii="Times New Roman" w:hAnsi="Times New Roman" w:eastAsia="方正仿宋_GBK" w:cs="Times New Roman"/>
          <w:sz w:val="33"/>
          <w:szCs w:val="33"/>
          <w:highlight w:val="none"/>
        </w:rPr>
        <w:t>20</w:t>
      </w:r>
      <w:r>
        <w:rPr>
          <w:rFonts w:hint="default" w:ascii="Times New Roman" w:hAnsi="Times New Roman" w:eastAsia="方正仿宋_GBK" w:cs="Times New Roman"/>
          <w:sz w:val="33"/>
          <w:szCs w:val="33"/>
          <w:highlight w:val="none"/>
          <w:lang w:val="en-US" w:eastAsia="zh-CN"/>
        </w:rPr>
        <w:t>21</w:t>
      </w:r>
      <w:r>
        <w:rPr>
          <w:rFonts w:hint="default" w:ascii="Times New Roman" w:hAnsi="Times New Roman" w:eastAsia="方正仿宋_GBK" w:cs="Times New Roman"/>
          <w:sz w:val="33"/>
          <w:szCs w:val="33"/>
          <w:highlight w:val="none"/>
        </w:rPr>
        <w:t>年</w:t>
      </w:r>
      <w:r>
        <w:rPr>
          <w:rFonts w:hint="default" w:ascii="Times New Roman" w:hAnsi="Times New Roman" w:eastAsia="方正仿宋_GBK" w:cs="Times New Roman"/>
          <w:sz w:val="33"/>
          <w:szCs w:val="33"/>
          <w:highlight w:val="none"/>
          <w:lang w:eastAsia="zh-CN"/>
        </w:rPr>
        <w:t>，政府性基金预算财政拨款收入</w:t>
      </w:r>
      <w:r>
        <w:rPr>
          <w:rFonts w:hint="default" w:ascii="Times New Roman" w:hAnsi="Times New Roman" w:eastAsia="方正仿宋_GBK" w:cs="Times New Roman"/>
          <w:sz w:val="33"/>
          <w:szCs w:val="33"/>
          <w:highlight w:val="none"/>
          <w:lang w:val="en-US" w:eastAsia="zh-CN"/>
        </w:rPr>
        <w:t>1572.76万元</w:t>
      </w:r>
      <w:r>
        <w:rPr>
          <w:rFonts w:hint="default" w:ascii="Times New Roman" w:hAnsi="Times New Roman" w:eastAsia="方正仿宋_GBK" w:cs="Times New Roman"/>
          <w:sz w:val="33"/>
          <w:szCs w:val="33"/>
          <w:highlight w:val="none"/>
          <w:lang w:eastAsia="zh-CN"/>
        </w:rPr>
        <w:t>；政府性基金预算财政拨款支出</w:t>
      </w:r>
      <w:r>
        <w:rPr>
          <w:rFonts w:hint="default" w:ascii="Times New Roman" w:hAnsi="Times New Roman" w:eastAsia="方正仿宋_GBK" w:cs="Times New Roman"/>
          <w:sz w:val="33"/>
          <w:szCs w:val="33"/>
          <w:highlight w:val="none"/>
          <w:lang w:val="en-US" w:eastAsia="zh-CN"/>
        </w:rPr>
        <w:t>1572.76万元。其中国有土地使用权出让收入安排的支出1572.76万元，主要用于征地拆迁补偿。政府性基金预算财政拨款项目支出决算明细如下：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1、</w:t>
      </w:r>
      <w:r>
        <w:rPr>
          <w:rFonts w:hint="default" w:ascii="Times New Roman" w:hAnsi="Times New Roman" w:eastAsia="方正仿宋_GBK" w:cs="Times New Roman"/>
          <w:sz w:val="33"/>
          <w:szCs w:val="33"/>
          <w:highlight w:val="none"/>
          <w:lang w:val="en-US" w:eastAsia="zh-CN"/>
        </w:rPr>
        <w:t>盐财资建〔2021〕115号下达安宁工业园区剩余征地拆迁补偿款385.75万元。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2、</w:t>
      </w:r>
      <w:r>
        <w:rPr>
          <w:rFonts w:hint="default" w:ascii="Times New Roman" w:hAnsi="Times New Roman" w:eastAsia="方正仿宋_GBK" w:cs="Times New Roman"/>
          <w:sz w:val="33"/>
          <w:szCs w:val="33"/>
          <w:highlight w:val="none"/>
          <w:lang w:val="en-US" w:eastAsia="zh-CN"/>
        </w:rPr>
        <w:t>根据盐财资建〔2021〕165号在国有土地出让金中下达新九镇平谷村德胜组10户居民搬迁资金663.79万元。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3、</w:t>
      </w:r>
      <w:r>
        <w:rPr>
          <w:rFonts w:hint="default" w:ascii="Times New Roman" w:hAnsi="Times New Roman" w:eastAsia="方正仿宋_GBK" w:cs="Times New Roman"/>
          <w:sz w:val="33"/>
          <w:szCs w:val="33"/>
          <w:highlight w:val="none"/>
          <w:lang w:val="en-US" w:eastAsia="zh-CN"/>
        </w:rPr>
        <w:t>根据盐财资建〔2021〕229号下达安宁工业园区四川丞业有限责任公司（原盐边县安宁汽车修理厂）项目征地拆迁补偿资金171.52万元。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sz w:val="33"/>
          <w:szCs w:val="33"/>
          <w:highlight w:val="none"/>
          <w:lang w:val="en-US" w:eastAsia="zh-CN"/>
        </w:rPr>
      </w:pPr>
      <w:r>
        <w:rPr>
          <w:rFonts w:hint="eastAsia" w:ascii="Times New Roman" w:hAnsi="Times New Roman" w:eastAsia="方正仿宋_GBK" w:cs="Times New Roman"/>
          <w:sz w:val="33"/>
          <w:szCs w:val="33"/>
          <w:highlight w:val="none"/>
          <w:lang w:val="en-US" w:eastAsia="zh-CN"/>
        </w:rPr>
        <w:t>4、</w:t>
      </w:r>
      <w:r>
        <w:rPr>
          <w:rFonts w:hint="default" w:ascii="Times New Roman" w:hAnsi="Times New Roman" w:eastAsia="方正仿宋_GBK" w:cs="Times New Roman"/>
          <w:sz w:val="33"/>
          <w:szCs w:val="33"/>
          <w:highlight w:val="none"/>
          <w:lang w:val="en-US" w:eastAsia="zh-CN"/>
        </w:rPr>
        <w:t>根据盐财资建〔2020〕80号下达2021年土地出让金预算（用于广川卫生防护距离搬迁项目征地拆迁补助支出）351.70万元。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3" w:firstLineChars="200"/>
        <w:textAlignment w:val="auto"/>
        <w:outlineLvl w:val="9"/>
        <w:rPr>
          <w:rFonts w:hint="default" w:ascii="方正楷体_GBK" w:hAnsi="方正楷体_GBK" w:eastAsia="方正楷体_GBK" w:cs="方正楷体_GBK"/>
          <w:b/>
          <w:bCs/>
          <w:sz w:val="33"/>
          <w:szCs w:val="33"/>
          <w:highlight w:val="none"/>
          <w:lang w:val="en-US" w:eastAsia="zh-CN"/>
        </w:rPr>
      </w:pPr>
      <w:r>
        <w:rPr>
          <w:rFonts w:hint="eastAsia" w:ascii="方正楷体_GBK" w:hAnsi="方正楷体_GBK" w:eastAsia="方正楷体_GBK" w:cs="方正楷体_GBK"/>
          <w:b/>
          <w:bCs/>
          <w:sz w:val="33"/>
          <w:szCs w:val="33"/>
          <w:highlight w:val="none"/>
          <w:lang w:val="en-US" w:eastAsia="zh-CN"/>
        </w:rPr>
        <w:t>（三）</w:t>
      </w:r>
      <w:r>
        <w:rPr>
          <w:rFonts w:hint="default" w:ascii="方正楷体_GBK" w:hAnsi="方正楷体_GBK" w:eastAsia="方正楷体_GBK" w:cs="方正楷体_GBK"/>
          <w:b/>
          <w:bCs/>
          <w:sz w:val="33"/>
          <w:szCs w:val="33"/>
          <w:highlight w:val="none"/>
          <w:lang w:val="en-US" w:eastAsia="zh-CN"/>
        </w:rPr>
        <w:t>其他收入支出情况</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b/>
          <w:bCs/>
          <w:color w:val="auto"/>
          <w:sz w:val="33"/>
          <w:szCs w:val="33"/>
          <w:highlight w:val="none"/>
          <w:lang w:val="en-US" w:eastAsia="zh-CN"/>
        </w:rPr>
      </w:pPr>
      <w:r>
        <w:rPr>
          <w:rFonts w:hint="default" w:ascii="Times New Roman" w:hAnsi="Times New Roman" w:eastAsia="方正仿宋_GBK" w:cs="Times New Roman"/>
          <w:sz w:val="33"/>
          <w:szCs w:val="33"/>
          <w:highlight w:val="none"/>
        </w:rPr>
        <w:t>20</w:t>
      </w:r>
      <w:r>
        <w:rPr>
          <w:rFonts w:hint="default" w:ascii="Times New Roman" w:hAnsi="Times New Roman" w:eastAsia="方正仿宋_GBK" w:cs="Times New Roman"/>
          <w:sz w:val="33"/>
          <w:szCs w:val="33"/>
          <w:highlight w:val="none"/>
          <w:lang w:val="en-US" w:eastAsia="zh-CN"/>
        </w:rPr>
        <w:t>21</w:t>
      </w:r>
      <w:r>
        <w:rPr>
          <w:rFonts w:hint="default" w:ascii="Times New Roman" w:hAnsi="Times New Roman" w:eastAsia="方正仿宋_GBK" w:cs="Times New Roman"/>
          <w:sz w:val="33"/>
          <w:szCs w:val="33"/>
          <w:highlight w:val="none"/>
        </w:rPr>
        <w:t>年</w:t>
      </w:r>
      <w:r>
        <w:rPr>
          <w:rFonts w:hint="default" w:ascii="Times New Roman" w:hAnsi="Times New Roman" w:eastAsia="方正仿宋_GBK" w:cs="Times New Roman"/>
          <w:sz w:val="33"/>
          <w:szCs w:val="33"/>
          <w:highlight w:val="none"/>
          <w:lang w:eastAsia="zh-CN"/>
        </w:rPr>
        <w:t>，其他收入</w:t>
      </w:r>
      <w:r>
        <w:rPr>
          <w:rFonts w:hint="default" w:ascii="Times New Roman" w:hAnsi="Times New Roman" w:eastAsia="方正仿宋_GBK" w:cs="Times New Roman"/>
          <w:sz w:val="33"/>
          <w:szCs w:val="33"/>
          <w:highlight w:val="none"/>
          <w:lang w:val="en-US" w:eastAsia="zh-CN"/>
        </w:rPr>
        <w:t>869.79万元</w:t>
      </w:r>
      <w:r>
        <w:rPr>
          <w:rFonts w:hint="default" w:ascii="Times New Roman" w:hAnsi="Times New Roman" w:eastAsia="方正仿宋_GBK" w:cs="Times New Roman"/>
          <w:sz w:val="33"/>
          <w:szCs w:val="33"/>
          <w:highlight w:val="none"/>
          <w:lang w:eastAsia="zh-CN"/>
        </w:rPr>
        <w:t>，公路建设支出</w:t>
      </w:r>
      <w:r>
        <w:rPr>
          <w:rFonts w:hint="default" w:ascii="Times New Roman" w:hAnsi="Times New Roman" w:eastAsia="方正仿宋_GBK" w:cs="Times New Roman"/>
          <w:sz w:val="33"/>
          <w:szCs w:val="33"/>
          <w:highlight w:val="none"/>
          <w:lang w:val="en-US" w:eastAsia="zh-CN"/>
        </w:rPr>
        <w:t>869.79万元，主要用于G4216征地和拆迁补偿。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3" w:firstLineChars="200"/>
        <w:textAlignment w:val="auto"/>
        <w:outlineLvl w:val="9"/>
        <w:rPr>
          <w:rFonts w:hint="default" w:ascii="方正楷体_GBK" w:hAnsi="方正楷体_GBK" w:eastAsia="方正楷体_GBK" w:cs="方正楷体_GBK"/>
          <w:b/>
          <w:bCs/>
          <w:sz w:val="33"/>
          <w:szCs w:val="33"/>
          <w:highlight w:val="none"/>
          <w:lang w:val="en-US" w:eastAsia="zh-CN"/>
        </w:rPr>
      </w:pPr>
      <w:r>
        <w:rPr>
          <w:rFonts w:hint="default" w:ascii="方正楷体_GBK" w:hAnsi="方正楷体_GBK" w:eastAsia="方正楷体_GBK" w:cs="方正楷体_GBK"/>
          <w:b/>
          <w:bCs/>
          <w:sz w:val="33"/>
          <w:szCs w:val="33"/>
          <w:highlight w:val="none"/>
          <w:lang w:val="en-US" w:eastAsia="zh-CN"/>
        </w:rPr>
        <w:t>（四）“三公”经费支出情况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0" w:firstLineChars="200"/>
        <w:textAlignment w:val="auto"/>
        <w:outlineLvl w:val="9"/>
        <w:rPr>
          <w:rFonts w:hint="default" w:ascii="Times New Roman" w:hAnsi="Times New Roman" w:eastAsia="方正仿宋_GBK" w:cs="Times New Roman"/>
          <w:b/>
          <w:bCs/>
          <w:color w:val="auto"/>
          <w:sz w:val="33"/>
          <w:szCs w:val="33"/>
          <w:highlight w:val="none"/>
          <w:lang w:val="en-US" w:eastAsia="zh-CN"/>
        </w:rPr>
      </w:pPr>
      <w:r>
        <w:rPr>
          <w:rFonts w:hint="default" w:ascii="Times New Roman" w:hAnsi="Times New Roman" w:eastAsia="方正仿宋_GBK" w:cs="Times New Roman"/>
          <w:color w:val="auto"/>
          <w:sz w:val="33"/>
          <w:szCs w:val="33"/>
          <w:highlight w:val="none"/>
          <w:lang w:val="en-US" w:eastAsia="zh-CN"/>
        </w:rPr>
        <w:t>2021年我镇“三公”经费支出共计16.96万元，其中公务用车运行维护费支出16.83万元，公务接待费支出0.13万元。</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eastAsia" w:ascii="方正黑体_GBK" w:hAnsi="方正黑体_GBK" w:eastAsia="方正黑体_GBK" w:cs="方正黑体_GBK"/>
          <w:sz w:val="33"/>
          <w:szCs w:val="33"/>
          <w:highlight w:val="none"/>
        </w:rPr>
      </w:pPr>
      <w:r>
        <w:rPr>
          <w:rFonts w:hint="eastAsia" w:ascii="方正黑体_GBK" w:hAnsi="方正黑体_GBK" w:eastAsia="方正黑体_GBK" w:cs="方正黑体_GBK"/>
          <w:sz w:val="33"/>
          <w:szCs w:val="33"/>
          <w:highlight w:val="none"/>
          <w:lang w:eastAsia="zh-CN"/>
        </w:rPr>
        <w:t>二、</w:t>
      </w:r>
      <w:r>
        <w:rPr>
          <w:rFonts w:hint="eastAsia" w:ascii="方正黑体_GBK" w:hAnsi="方正黑体_GBK" w:eastAsia="方正黑体_GBK" w:cs="方正黑体_GBK"/>
          <w:sz w:val="33"/>
          <w:szCs w:val="33"/>
          <w:highlight w:val="none"/>
        </w:rPr>
        <w:t>关于</w:t>
      </w:r>
      <w:r>
        <w:rPr>
          <w:rFonts w:hint="eastAsia" w:ascii="方正黑体_GBK" w:hAnsi="方正黑体_GBK" w:eastAsia="方正黑体_GBK" w:cs="方正黑体_GBK"/>
          <w:sz w:val="33"/>
          <w:szCs w:val="33"/>
          <w:highlight w:val="none"/>
          <w:lang w:eastAsia="zh-CN"/>
        </w:rPr>
        <w:t>202</w:t>
      </w:r>
      <w:r>
        <w:rPr>
          <w:rFonts w:hint="eastAsia" w:ascii="方正黑体_GBK" w:hAnsi="方正黑体_GBK" w:eastAsia="方正黑体_GBK" w:cs="方正黑体_GBK"/>
          <w:sz w:val="33"/>
          <w:szCs w:val="33"/>
          <w:highlight w:val="none"/>
          <w:lang w:val="en-US" w:eastAsia="zh-CN"/>
        </w:rPr>
        <w:t>1</w:t>
      </w:r>
      <w:r>
        <w:rPr>
          <w:rFonts w:hint="eastAsia" w:ascii="方正黑体_GBK" w:hAnsi="方正黑体_GBK" w:eastAsia="方正黑体_GBK" w:cs="方正黑体_GBK"/>
          <w:sz w:val="33"/>
          <w:szCs w:val="33"/>
          <w:highlight w:val="none"/>
        </w:rPr>
        <w:t>年财政工作</w:t>
      </w:r>
    </w:p>
    <w:p>
      <w:pPr>
        <w:keepNext w:val="0"/>
        <w:keepLines w:val="0"/>
        <w:pageBreakBefore w:val="0"/>
        <w:widowControl w:val="0"/>
        <w:numPr>
          <w:ilvl w:val="0"/>
          <w:numId w:val="0"/>
        </w:numPr>
        <w:kinsoku/>
        <w:wordWrap/>
        <w:overflowPunct/>
        <w:topLinePunct w:val="0"/>
        <w:autoSpaceDE/>
        <w:autoSpaceDN/>
        <w:bidi w:val="0"/>
        <w:spacing w:line="240" w:lineRule="auto"/>
        <w:ind w:firstLine="663" w:firstLineChars="200"/>
        <w:textAlignment w:val="auto"/>
        <w:rPr>
          <w:rFonts w:hint="default" w:ascii="Times New Roman" w:hAnsi="Times New Roman" w:eastAsia="方正仿宋_GBK" w:cs="Times New Roman"/>
          <w:color w:val="auto"/>
          <w:sz w:val="33"/>
          <w:szCs w:val="33"/>
          <w:highlight w:val="none"/>
          <w:lang w:val="en-US" w:eastAsia="zh-CN"/>
        </w:rPr>
      </w:pPr>
      <w:r>
        <w:rPr>
          <w:rFonts w:hint="default" w:ascii="方正楷体_GBK" w:hAnsi="方正楷体_GBK" w:eastAsia="方正楷体_GBK" w:cs="方正楷体_GBK"/>
          <w:b/>
          <w:bCs/>
          <w:sz w:val="33"/>
          <w:szCs w:val="33"/>
          <w:highlight w:val="none"/>
          <w:lang w:val="en-US" w:eastAsia="zh-CN"/>
        </w:rPr>
        <w:t>（一）严格执行预算管理制度，积极推进依法科学理财。</w:t>
      </w:r>
      <w:r>
        <w:rPr>
          <w:rFonts w:hint="default" w:ascii="Times New Roman" w:hAnsi="Times New Roman" w:eastAsia="方正仿宋_GBK" w:cs="Times New Roman"/>
          <w:color w:val="auto"/>
          <w:sz w:val="33"/>
          <w:szCs w:val="33"/>
          <w:highlight w:val="none"/>
          <w:lang w:val="en-US" w:eastAsia="zh-CN"/>
        </w:rPr>
        <w:t>提高服务标准化，完善制度保障，积极探索实施符合区域实际的财政资金管理机制，全面实行国库集中支付，做到支出有预算，提高预算严肃性。</w:t>
      </w:r>
    </w:p>
    <w:p>
      <w:pPr>
        <w:keepNext w:val="0"/>
        <w:keepLines w:val="0"/>
        <w:pageBreakBefore w:val="0"/>
        <w:widowControl w:val="0"/>
        <w:numPr>
          <w:ilvl w:val="0"/>
          <w:numId w:val="0"/>
        </w:numPr>
        <w:kinsoku/>
        <w:wordWrap/>
        <w:overflowPunct/>
        <w:topLinePunct w:val="0"/>
        <w:autoSpaceDE/>
        <w:autoSpaceDN/>
        <w:bidi w:val="0"/>
        <w:spacing w:line="240" w:lineRule="auto"/>
        <w:ind w:firstLine="663" w:firstLineChars="200"/>
        <w:textAlignment w:val="auto"/>
        <w:rPr>
          <w:rFonts w:hint="default" w:ascii="Times New Roman" w:hAnsi="Times New Roman" w:eastAsia="方正仿宋_GBK" w:cs="Times New Roman"/>
          <w:color w:val="auto"/>
          <w:sz w:val="33"/>
          <w:szCs w:val="33"/>
          <w:highlight w:val="none"/>
          <w:lang w:val="en-US" w:eastAsia="zh-CN"/>
        </w:rPr>
      </w:pPr>
      <w:r>
        <w:rPr>
          <w:rFonts w:hint="default" w:ascii="方正楷体_GBK" w:hAnsi="方正楷体_GBK" w:eastAsia="方正楷体_GBK" w:cs="方正楷体_GBK"/>
          <w:b/>
          <w:bCs/>
          <w:sz w:val="33"/>
          <w:szCs w:val="33"/>
          <w:highlight w:val="none"/>
          <w:lang w:val="en-US" w:eastAsia="zh-CN"/>
        </w:rPr>
        <w:t>（二）严格支出管理，规范审批流程。</w:t>
      </w:r>
      <w:r>
        <w:rPr>
          <w:rFonts w:hint="default" w:ascii="Times New Roman" w:hAnsi="Times New Roman" w:eastAsia="方正仿宋_GBK" w:cs="Times New Roman"/>
          <w:color w:val="auto"/>
          <w:sz w:val="33"/>
          <w:szCs w:val="33"/>
          <w:highlight w:val="none"/>
          <w:lang w:val="en-US" w:eastAsia="zh-CN"/>
        </w:rPr>
        <w:t>认真执行预算资金管理制度，规范预算编制，强化财政审核，加强支出进度管理和资金筹措管理，科学合理调度，切实保障机关正常运转及重点项目支出。</w:t>
      </w:r>
    </w:p>
    <w:p>
      <w:pPr>
        <w:keepNext w:val="0"/>
        <w:keepLines w:val="0"/>
        <w:pageBreakBefore w:val="0"/>
        <w:widowControl w:val="0"/>
        <w:kinsoku/>
        <w:wordWrap/>
        <w:overflowPunct/>
        <w:topLinePunct w:val="0"/>
        <w:autoSpaceDE/>
        <w:autoSpaceDN/>
        <w:bidi w:val="0"/>
        <w:spacing w:line="240" w:lineRule="auto"/>
        <w:ind w:firstLine="663" w:firstLineChars="200"/>
        <w:textAlignment w:val="auto"/>
        <w:rPr>
          <w:rFonts w:hint="default" w:ascii="Times New Roman" w:hAnsi="Times New Roman" w:eastAsia="方正仿宋_GBK" w:cs="Times New Roman"/>
          <w:sz w:val="33"/>
          <w:szCs w:val="33"/>
          <w:highlight w:val="none"/>
        </w:rPr>
      </w:pPr>
      <w:r>
        <w:rPr>
          <w:rFonts w:hint="default" w:ascii="方正楷体_GBK" w:hAnsi="方正楷体_GBK" w:eastAsia="方正楷体_GBK" w:cs="方正楷体_GBK"/>
          <w:b/>
          <w:bCs/>
          <w:sz w:val="33"/>
          <w:szCs w:val="33"/>
          <w:highlight w:val="none"/>
          <w:lang w:val="en-US" w:eastAsia="zh-CN"/>
        </w:rPr>
        <w:t>（三）深化财政管理体制改革，科学理财水平逐步提高。</w:t>
      </w:r>
      <w:r>
        <w:rPr>
          <w:rFonts w:hint="default" w:ascii="Times New Roman" w:hAnsi="Times New Roman" w:eastAsia="方正仿宋_GBK" w:cs="Times New Roman"/>
          <w:sz w:val="33"/>
          <w:szCs w:val="33"/>
          <w:highlight w:val="none"/>
          <w:lang w:eastAsia="zh-CN"/>
        </w:rPr>
        <w:t>202</w:t>
      </w:r>
      <w:r>
        <w:rPr>
          <w:rFonts w:hint="default" w:ascii="Times New Roman" w:hAnsi="Times New Roman" w:eastAsia="方正仿宋_GBK" w:cs="Times New Roman"/>
          <w:sz w:val="33"/>
          <w:szCs w:val="33"/>
          <w:highlight w:val="none"/>
          <w:lang w:val="en-US" w:eastAsia="zh-CN"/>
        </w:rPr>
        <w:t>1</w:t>
      </w:r>
      <w:r>
        <w:rPr>
          <w:rFonts w:hint="default" w:ascii="Times New Roman" w:hAnsi="Times New Roman" w:eastAsia="方正仿宋_GBK" w:cs="Times New Roman"/>
          <w:sz w:val="33"/>
          <w:szCs w:val="33"/>
          <w:highlight w:val="none"/>
        </w:rPr>
        <w:t>年，我</w:t>
      </w:r>
      <w:r>
        <w:rPr>
          <w:rFonts w:hint="default" w:ascii="Times New Roman" w:hAnsi="Times New Roman" w:eastAsia="方正仿宋_GBK" w:cs="Times New Roman"/>
          <w:sz w:val="33"/>
          <w:szCs w:val="33"/>
          <w:highlight w:val="none"/>
          <w:lang w:eastAsia="zh-CN"/>
        </w:rPr>
        <w:t>镇</w:t>
      </w:r>
      <w:r>
        <w:rPr>
          <w:rFonts w:hint="default" w:ascii="Times New Roman" w:hAnsi="Times New Roman" w:eastAsia="方正仿宋_GBK" w:cs="Times New Roman"/>
          <w:sz w:val="33"/>
          <w:szCs w:val="33"/>
          <w:highlight w:val="none"/>
        </w:rPr>
        <w:t>严格按照《预算法》的要求，深化财政管理，提高科学理财水平。</w:t>
      </w:r>
      <w:r>
        <w:rPr>
          <w:rFonts w:hint="default" w:ascii="Times New Roman" w:hAnsi="Times New Roman" w:eastAsia="方正仿宋_GBK" w:cs="Times New Roman"/>
          <w:b/>
          <w:bCs/>
          <w:sz w:val="33"/>
          <w:szCs w:val="33"/>
          <w:highlight w:val="none"/>
          <w:lang w:eastAsia="zh-CN"/>
        </w:rPr>
        <w:t>一是</w:t>
      </w:r>
      <w:r>
        <w:rPr>
          <w:rFonts w:hint="default" w:ascii="Times New Roman" w:hAnsi="Times New Roman" w:eastAsia="方正仿宋_GBK" w:cs="Times New Roman"/>
          <w:b/>
          <w:bCs/>
          <w:sz w:val="33"/>
          <w:szCs w:val="33"/>
          <w:highlight w:val="none"/>
        </w:rPr>
        <w:t>加强绩效管理，严格预算执行</w:t>
      </w:r>
      <w:r>
        <w:rPr>
          <w:rFonts w:hint="default" w:ascii="Times New Roman" w:hAnsi="Times New Roman" w:eastAsia="方正仿宋_GBK" w:cs="Times New Roman"/>
          <w:b/>
          <w:bCs/>
          <w:sz w:val="33"/>
          <w:szCs w:val="33"/>
          <w:highlight w:val="none"/>
          <w:lang w:eastAsia="zh-CN"/>
        </w:rPr>
        <w:t>。</w:t>
      </w:r>
      <w:r>
        <w:rPr>
          <w:rFonts w:hint="default" w:ascii="Times New Roman" w:hAnsi="Times New Roman" w:eastAsia="方正仿宋_GBK" w:cs="Times New Roman"/>
          <w:sz w:val="33"/>
          <w:szCs w:val="33"/>
          <w:highlight w:val="none"/>
        </w:rPr>
        <w:t>严格按照预算进度执行支出，增强单位责任意识和效率意识。</w:t>
      </w:r>
      <w:r>
        <w:rPr>
          <w:rFonts w:hint="default" w:ascii="Times New Roman" w:hAnsi="Times New Roman" w:eastAsia="方正仿宋_GBK" w:cs="Times New Roman"/>
          <w:b/>
          <w:bCs/>
          <w:sz w:val="33"/>
          <w:szCs w:val="33"/>
          <w:highlight w:val="none"/>
        </w:rPr>
        <w:t>二是深入推进预决算公开</w:t>
      </w:r>
      <w:r>
        <w:rPr>
          <w:rFonts w:hint="eastAsia" w:ascii="Times New Roman" w:hAnsi="Times New Roman" w:eastAsia="方正仿宋_GBK" w:cs="Times New Roman"/>
          <w:b/>
          <w:bCs/>
          <w:sz w:val="33"/>
          <w:szCs w:val="33"/>
          <w:highlight w:val="none"/>
          <w:lang w:eastAsia="zh-CN"/>
        </w:rPr>
        <w:t>。</w:t>
      </w:r>
      <w:r>
        <w:rPr>
          <w:rFonts w:hint="default" w:ascii="Times New Roman" w:hAnsi="Times New Roman" w:eastAsia="方正仿宋_GBK" w:cs="Times New Roman"/>
          <w:sz w:val="33"/>
          <w:szCs w:val="33"/>
          <w:highlight w:val="none"/>
          <w:lang w:eastAsia="zh-CN"/>
        </w:rPr>
        <w:t>202</w:t>
      </w:r>
      <w:r>
        <w:rPr>
          <w:rFonts w:hint="default" w:ascii="Times New Roman" w:hAnsi="Times New Roman" w:eastAsia="方正仿宋_GBK" w:cs="Times New Roman"/>
          <w:sz w:val="33"/>
          <w:szCs w:val="33"/>
          <w:highlight w:val="none"/>
          <w:lang w:val="en-US" w:eastAsia="zh-CN"/>
        </w:rPr>
        <w:t>1</w:t>
      </w:r>
      <w:r>
        <w:rPr>
          <w:rFonts w:hint="default" w:ascii="Times New Roman" w:hAnsi="Times New Roman" w:eastAsia="方正仿宋_GBK" w:cs="Times New Roman"/>
          <w:sz w:val="33"/>
          <w:szCs w:val="33"/>
          <w:highlight w:val="none"/>
        </w:rPr>
        <w:t>年我</w:t>
      </w:r>
      <w:r>
        <w:rPr>
          <w:rFonts w:hint="default" w:ascii="Times New Roman" w:hAnsi="Times New Roman" w:eastAsia="方正仿宋_GBK" w:cs="Times New Roman"/>
          <w:sz w:val="33"/>
          <w:szCs w:val="33"/>
          <w:highlight w:val="none"/>
          <w:lang w:eastAsia="zh-CN"/>
        </w:rPr>
        <w:t>镇</w:t>
      </w:r>
      <w:r>
        <w:rPr>
          <w:rFonts w:hint="default" w:ascii="Times New Roman" w:hAnsi="Times New Roman" w:eastAsia="方正仿宋_GBK" w:cs="Times New Roman"/>
          <w:sz w:val="33"/>
          <w:szCs w:val="33"/>
          <w:highlight w:val="none"/>
        </w:rPr>
        <w:t>严格按照预</w:t>
      </w:r>
      <w:r>
        <w:rPr>
          <w:rFonts w:hint="default" w:ascii="Times New Roman" w:hAnsi="Times New Roman" w:eastAsia="方正仿宋_GBK" w:cs="Times New Roman"/>
          <w:sz w:val="33"/>
          <w:szCs w:val="33"/>
          <w:highlight w:val="none"/>
          <w:lang w:val="en-US" w:eastAsia="zh-CN"/>
        </w:rPr>
        <w:t>决</w:t>
      </w:r>
      <w:r>
        <w:rPr>
          <w:rFonts w:hint="default" w:ascii="Times New Roman" w:hAnsi="Times New Roman" w:eastAsia="方正仿宋_GBK" w:cs="Times New Roman"/>
          <w:sz w:val="33"/>
          <w:szCs w:val="33"/>
          <w:highlight w:val="none"/>
        </w:rPr>
        <w:t>算公开的要求对预决算进行公开，提高了预决算透明度。</w:t>
      </w:r>
      <w:r>
        <w:rPr>
          <w:rFonts w:hint="default" w:ascii="Times New Roman" w:hAnsi="Times New Roman" w:eastAsia="方正仿宋_GBK" w:cs="Times New Roman"/>
          <w:b/>
          <w:bCs/>
          <w:sz w:val="33"/>
          <w:szCs w:val="33"/>
          <w:highlight w:val="none"/>
        </w:rPr>
        <w:t>三是逐步建立内部控制管理制度</w:t>
      </w:r>
      <w:r>
        <w:rPr>
          <w:rFonts w:hint="eastAsia" w:ascii="Times New Roman" w:hAnsi="Times New Roman" w:eastAsia="方正仿宋_GBK" w:cs="Times New Roman"/>
          <w:b/>
          <w:bCs/>
          <w:sz w:val="33"/>
          <w:szCs w:val="33"/>
          <w:highlight w:val="none"/>
          <w:lang w:eastAsia="zh-CN"/>
        </w:rPr>
        <w:t>。</w:t>
      </w:r>
      <w:r>
        <w:rPr>
          <w:rFonts w:hint="default" w:ascii="Times New Roman" w:hAnsi="Times New Roman" w:eastAsia="方正仿宋_GBK" w:cs="Times New Roman"/>
          <w:sz w:val="33"/>
          <w:szCs w:val="33"/>
          <w:highlight w:val="none"/>
        </w:rPr>
        <w:t>重点针对预算管理、资金分配等业务环节，实行</w:t>
      </w:r>
      <w:r>
        <w:rPr>
          <w:rFonts w:hint="default" w:ascii="Times New Roman" w:hAnsi="Times New Roman" w:eastAsia="方正仿宋_GBK" w:cs="Times New Roman"/>
          <w:sz w:val="33"/>
          <w:szCs w:val="33"/>
          <w:highlight w:val="none"/>
          <w:lang w:eastAsia="zh-CN"/>
        </w:rPr>
        <w:t>统一领导，分级管理的原则，</w:t>
      </w:r>
      <w:r>
        <w:rPr>
          <w:rFonts w:hint="default" w:ascii="Times New Roman" w:hAnsi="Times New Roman" w:eastAsia="方正仿宋_GBK" w:cs="Times New Roman"/>
          <w:sz w:val="33"/>
          <w:szCs w:val="33"/>
          <w:highlight w:val="none"/>
        </w:rPr>
        <w:t>逐步建立有效的风险应对机制和严格的问责机制。</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default" w:ascii="Times New Roman" w:hAnsi="Times New Roman" w:eastAsia="方正仿宋_GBK" w:cs="Times New Roman"/>
          <w:color w:val="000000"/>
          <w:sz w:val="33"/>
          <w:szCs w:val="33"/>
          <w:highlight w:val="none"/>
        </w:rPr>
      </w:pPr>
      <w:r>
        <w:rPr>
          <w:rFonts w:hint="default" w:ascii="Times New Roman" w:hAnsi="Times New Roman" w:eastAsia="方正仿宋_GBK" w:cs="Times New Roman"/>
          <w:color w:val="000000"/>
          <w:sz w:val="33"/>
          <w:szCs w:val="33"/>
          <w:highlight w:val="none"/>
        </w:rPr>
        <w:t>各位代表！</w:t>
      </w:r>
      <w:r>
        <w:rPr>
          <w:rFonts w:hint="default" w:ascii="Times New Roman" w:hAnsi="Times New Roman" w:eastAsia="方正仿宋_GBK" w:cs="Times New Roman"/>
          <w:color w:val="000000"/>
          <w:sz w:val="33"/>
          <w:szCs w:val="33"/>
          <w:highlight w:val="none"/>
          <w:lang w:eastAsia="zh-CN"/>
        </w:rPr>
        <w:t>202</w:t>
      </w:r>
      <w:r>
        <w:rPr>
          <w:rFonts w:hint="default" w:ascii="Times New Roman" w:hAnsi="Times New Roman" w:eastAsia="方正仿宋_GBK" w:cs="Times New Roman"/>
          <w:color w:val="000000"/>
          <w:sz w:val="33"/>
          <w:szCs w:val="33"/>
          <w:highlight w:val="none"/>
          <w:lang w:val="en-US" w:eastAsia="zh-CN"/>
        </w:rPr>
        <w:t>1</w:t>
      </w:r>
      <w:r>
        <w:rPr>
          <w:rFonts w:hint="default" w:ascii="Times New Roman" w:hAnsi="Times New Roman" w:eastAsia="方正仿宋_GBK" w:cs="Times New Roman"/>
          <w:color w:val="000000"/>
          <w:sz w:val="33"/>
          <w:szCs w:val="33"/>
          <w:highlight w:val="none"/>
        </w:rPr>
        <w:t>年，我</w:t>
      </w:r>
      <w:r>
        <w:rPr>
          <w:rFonts w:hint="default" w:ascii="Times New Roman" w:hAnsi="Times New Roman" w:eastAsia="方正仿宋_GBK" w:cs="Times New Roman"/>
          <w:color w:val="000000"/>
          <w:sz w:val="33"/>
          <w:szCs w:val="33"/>
          <w:highlight w:val="none"/>
          <w:lang w:eastAsia="zh-CN"/>
        </w:rPr>
        <w:t>镇</w:t>
      </w:r>
      <w:r>
        <w:rPr>
          <w:rFonts w:hint="default" w:ascii="Times New Roman" w:hAnsi="Times New Roman" w:eastAsia="方正仿宋_GBK" w:cs="Times New Roman"/>
          <w:color w:val="000000"/>
          <w:sz w:val="33"/>
          <w:szCs w:val="33"/>
          <w:highlight w:val="none"/>
        </w:rPr>
        <w:t>财政运行情况基本正常。但仍存在不少困难和问题：一</w:t>
      </w:r>
      <w:r>
        <w:rPr>
          <w:rFonts w:hint="default" w:ascii="Times New Roman" w:hAnsi="Times New Roman" w:eastAsia="方正仿宋_GBK" w:cs="Times New Roman"/>
          <w:color w:val="000000"/>
          <w:sz w:val="33"/>
          <w:szCs w:val="33"/>
          <w:highlight w:val="none"/>
          <w:lang w:eastAsia="zh-CN"/>
        </w:rPr>
        <w:t>是县级财力紧张，专项资金不能及时到位，导致项目推进滞后</w:t>
      </w:r>
      <w:r>
        <w:rPr>
          <w:rFonts w:hint="default" w:ascii="Times New Roman" w:hAnsi="Times New Roman" w:eastAsia="方正仿宋_GBK" w:cs="Times New Roman"/>
          <w:color w:val="000000"/>
          <w:sz w:val="33"/>
          <w:szCs w:val="33"/>
          <w:highlight w:val="none"/>
        </w:rPr>
        <w:t>；二是</w:t>
      </w:r>
      <w:r>
        <w:rPr>
          <w:rFonts w:hint="default" w:ascii="Times New Roman" w:hAnsi="Times New Roman" w:eastAsia="方正仿宋_GBK" w:cs="Times New Roman"/>
          <w:sz w:val="33"/>
          <w:szCs w:val="33"/>
          <w:highlight w:val="none"/>
          <w:lang w:val="en-US" w:eastAsia="zh-CN"/>
        </w:rPr>
        <w:t>县级下达我镇的财力有限，刚性支出和民生支出增长较快，财政收支矛盾突出</w:t>
      </w:r>
      <w:r>
        <w:rPr>
          <w:rFonts w:hint="default" w:ascii="Times New Roman" w:hAnsi="Times New Roman" w:eastAsia="方正仿宋_GBK" w:cs="Times New Roman"/>
          <w:color w:val="000000"/>
          <w:sz w:val="33"/>
          <w:szCs w:val="33"/>
          <w:highlight w:val="none"/>
        </w:rPr>
        <w:t>。针对这些困难和问题，今后将采取有效措施，努力加以解决。</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eastAsia" w:ascii="方正黑体_GBK" w:hAnsi="方正黑体_GBK" w:eastAsia="方正黑体_GBK" w:cs="方正黑体_GBK"/>
          <w:sz w:val="33"/>
          <w:szCs w:val="33"/>
          <w:highlight w:val="none"/>
        </w:rPr>
      </w:pPr>
      <w:r>
        <w:rPr>
          <w:rFonts w:hint="eastAsia" w:ascii="方正黑体_GBK" w:hAnsi="方正黑体_GBK" w:eastAsia="方正黑体_GBK" w:cs="方正黑体_GBK"/>
          <w:sz w:val="33"/>
          <w:szCs w:val="33"/>
          <w:highlight w:val="none"/>
        </w:rPr>
        <w:t>三、关于</w:t>
      </w:r>
      <w:r>
        <w:rPr>
          <w:rFonts w:hint="eastAsia" w:ascii="方正黑体_GBK" w:hAnsi="方正黑体_GBK" w:eastAsia="方正黑体_GBK" w:cs="方正黑体_GBK"/>
          <w:sz w:val="33"/>
          <w:szCs w:val="33"/>
          <w:highlight w:val="none"/>
          <w:lang w:eastAsia="zh-CN"/>
        </w:rPr>
        <w:t>202</w:t>
      </w:r>
      <w:r>
        <w:rPr>
          <w:rFonts w:hint="eastAsia" w:ascii="方正黑体_GBK" w:hAnsi="方正黑体_GBK" w:eastAsia="方正黑体_GBK" w:cs="方正黑体_GBK"/>
          <w:sz w:val="33"/>
          <w:szCs w:val="33"/>
          <w:highlight w:val="none"/>
          <w:lang w:val="en-US" w:eastAsia="zh-CN"/>
        </w:rPr>
        <w:t>2</w:t>
      </w:r>
      <w:r>
        <w:rPr>
          <w:rFonts w:hint="eastAsia" w:ascii="方正黑体_GBK" w:hAnsi="方正黑体_GBK" w:eastAsia="方正黑体_GBK" w:cs="方正黑体_GBK"/>
          <w:sz w:val="33"/>
          <w:szCs w:val="33"/>
          <w:highlight w:val="none"/>
        </w:rPr>
        <w:t>年财政预算草案</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lang w:eastAsia="zh-CN"/>
        </w:rPr>
        <w:t>202</w:t>
      </w:r>
      <w:r>
        <w:rPr>
          <w:rFonts w:hint="default" w:ascii="Times New Roman" w:hAnsi="Times New Roman" w:eastAsia="方正仿宋_GBK" w:cs="Times New Roman"/>
          <w:sz w:val="33"/>
          <w:szCs w:val="33"/>
          <w:highlight w:val="none"/>
          <w:lang w:val="en-US" w:eastAsia="zh-CN"/>
        </w:rPr>
        <w:t>2</w:t>
      </w:r>
      <w:r>
        <w:rPr>
          <w:rFonts w:hint="default" w:ascii="Times New Roman" w:hAnsi="Times New Roman" w:eastAsia="方正仿宋_GBK" w:cs="Times New Roman"/>
          <w:sz w:val="33"/>
          <w:szCs w:val="33"/>
          <w:highlight w:val="none"/>
        </w:rPr>
        <w:t>年预算编制</w:t>
      </w:r>
      <w:r>
        <w:rPr>
          <w:rFonts w:hint="default" w:ascii="Times New Roman" w:hAnsi="Times New Roman" w:eastAsia="方正仿宋_GBK" w:cs="Times New Roman"/>
          <w:sz w:val="33"/>
          <w:szCs w:val="33"/>
          <w:highlight w:val="none"/>
          <w:lang w:eastAsia="zh-CN"/>
        </w:rPr>
        <w:t>原则</w:t>
      </w:r>
      <w:r>
        <w:rPr>
          <w:rFonts w:hint="default" w:ascii="Times New Roman" w:hAnsi="Times New Roman" w:eastAsia="方正仿宋_GBK" w:cs="Times New Roman"/>
          <w:sz w:val="33"/>
          <w:szCs w:val="33"/>
          <w:highlight w:val="none"/>
        </w:rPr>
        <w:t>，坚持稳字当头、稳中求进工作总基调，实施积极的财政政策，全力做好“六稳”“六保”工作，优化支出结构，</w:t>
      </w:r>
      <w:r>
        <w:rPr>
          <w:rFonts w:hint="default" w:ascii="Times New Roman" w:hAnsi="Times New Roman" w:eastAsia="方正仿宋_GBK" w:cs="Times New Roman"/>
          <w:color w:val="000000"/>
          <w:sz w:val="33"/>
          <w:szCs w:val="33"/>
          <w:highlight w:val="none"/>
        </w:rPr>
        <w:t>积极稳妥</w:t>
      </w:r>
      <w:r>
        <w:rPr>
          <w:rFonts w:hint="default" w:ascii="Times New Roman" w:hAnsi="Times New Roman" w:eastAsia="方正仿宋_GBK" w:cs="Times New Roman"/>
          <w:color w:val="000000"/>
          <w:sz w:val="33"/>
          <w:szCs w:val="33"/>
          <w:highlight w:val="none"/>
          <w:lang w:eastAsia="zh-CN"/>
        </w:rPr>
        <w:t>、</w:t>
      </w:r>
      <w:r>
        <w:rPr>
          <w:rFonts w:hint="default" w:ascii="Times New Roman" w:hAnsi="Times New Roman" w:eastAsia="方正仿宋_GBK" w:cs="Times New Roman"/>
          <w:color w:val="000000"/>
          <w:sz w:val="33"/>
          <w:szCs w:val="33"/>
          <w:highlight w:val="none"/>
        </w:rPr>
        <w:t>科学合理地编制</w:t>
      </w:r>
      <w:r>
        <w:rPr>
          <w:rFonts w:hint="default" w:ascii="Times New Roman" w:hAnsi="Times New Roman" w:eastAsia="方正仿宋_GBK" w:cs="Times New Roman"/>
          <w:color w:val="000000"/>
          <w:sz w:val="33"/>
          <w:szCs w:val="33"/>
          <w:highlight w:val="none"/>
          <w:lang w:val="en-US" w:eastAsia="zh-CN"/>
        </w:rPr>
        <w:t>2022年乡镇财政</w:t>
      </w:r>
      <w:r>
        <w:rPr>
          <w:rFonts w:hint="default" w:ascii="Times New Roman" w:hAnsi="Times New Roman" w:eastAsia="方正仿宋_GBK" w:cs="Times New Roman"/>
          <w:color w:val="000000"/>
          <w:sz w:val="33"/>
          <w:szCs w:val="33"/>
          <w:highlight w:val="none"/>
        </w:rPr>
        <w:t>预算</w:t>
      </w:r>
      <w:r>
        <w:rPr>
          <w:rFonts w:hint="default" w:ascii="Times New Roman" w:hAnsi="Times New Roman" w:eastAsia="方正仿宋_GBK" w:cs="Times New Roman"/>
          <w:sz w:val="33"/>
          <w:szCs w:val="33"/>
          <w:highlight w:val="none"/>
        </w:rPr>
        <w:t>。</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lang w:eastAsia="zh-CN"/>
        </w:rPr>
        <w:t>202</w:t>
      </w:r>
      <w:r>
        <w:rPr>
          <w:rFonts w:hint="default" w:ascii="Times New Roman" w:hAnsi="Times New Roman" w:eastAsia="方正仿宋_GBK" w:cs="Times New Roman"/>
          <w:sz w:val="33"/>
          <w:szCs w:val="33"/>
          <w:highlight w:val="none"/>
          <w:lang w:val="en-US" w:eastAsia="zh-CN"/>
        </w:rPr>
        <w:t>2</w:t>
      </w:r>
      <w:r>
        <w:rPr>
          <w:rFonts w:hint="default" w:ascii="Times New Roman" w:hAnsi="Times New Roman" w:eastAsia="方正仿宋_GBK" w:cs="Times New Roman"/>
          <w:sz w:val="33"/>
          <w:szCs w:val="33"/>
          <w:highlight w:val="none"/>
        </w:rPr>
        <w:t>年的财政收支预算草案</w:t>
      </w:r>
      <w:r>
        <w:rPr>
          <w:rFonts w:hint="default" w:ascii="Times New Roman" w:hAnsi="Times New Roman" w:eastAsia="方正仿宋_GBK" w:cs="Times New Roman"/>
          <w:sz w:val="33"/>
          <w:szCs w:val="33"/>
          <w:highlight w:val="none"/>
          <w:lang w:eastAsia="zh-CN"/>
        </w:rPr>
        <w:t>编制</w:t>
      </w:r>
      <w:r>
        <w:rPr>
          <w:rFonts w:hint="default" w:ascii="Times New Roman" w:hAnsi="Times New Roman" w:eastAsia="方正仿宋_GBK" w:cs="Times New Roman"/>
          <w:sz w:val="33"/>
          <w:szCs w:val="33"/>
          <w:highlight w:val="none"/>
        </w:rPr>
        <w:t>如下：</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rPr>
          <w:rFonts w:hint="default" w:ascii="Times New Roman" w:hAnsi="Times New Roman" w:eastAsia="方正仿宋_GBK" w:cs="Times New Roman"/>
          <w:b/>
          <w:bCs/>
          <w:sz w:val="33"/>
          <w:szCs w:val="33"/>
          <w:highlight w:val="none"/>
        </w:rPr>
      </w:pPr>
      <w:r>
        <w:rPr>
          <w:rFonts w:hint="default" w:ascii="方正楷体_GBK" w:hAnsi="方正楷体_GBK" w:eastAsia="方正楷体_GBK" w:cs="方正楷体_GBK"/>
          <w:b/>
          <w:bCs/>
          <w:sz w:val="33"/>
          <w:szCs w:val="33"/>
          <w:highlight w:val="none"/>
          <w:lang w:val="en-US" w:eastAsia="zh-CN"/>
        </w:rPr>
        <w:t>（一）一般公共财政预算草案</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rPr>
        <w:t>20</w:t>
      </w:r>
      <w:r>
        <w:rPr>
          <w:rFonts w:hint="default" w:ascii="Times New Roman" w:hAnsi="Times New Roman" w:eastAsia="方正仿宋_GBK" w:cs="Times New Roman"/>
          <w:sz w:val="33"/>
          <w:szCs w:val="33"/>
          <w:highlight w:val="none"/>
          <w:lang w:val="en-US" w:eastAsia="zh-CN"/>
        </w:rPr>
        <w:t>22</w:t>
      </w:r>
      <w:r>
        <w:rPr>
          <w:rFonts w:hint="default" w:ascii="Times New Roman" w:hAnsi="Times New Roman" w:eastAsia="方正仿宋_GBK" w:cs="Times New Roman"/>
          <w:sz w:val="33"/>
          <w:szCs w:val="33"/>
          <w:highlight w:val="none"/>
        </w:rPr>
        <w:t>年安排</w:t>
      </w:r>
      <w:r>
        <w:rPr>
          <w:rFonts w:hint="default" w:ascii="Times New Roman" w:hAnsi="Times New Roman" w:eastAsia="方正仿宋_GBK" w:cs="Times New Roman"/>
          <w:sz w:val="33"/>
          <w:szCs w:val="33"/>
          <w:highlight w:val="none"/>
          <w:lang w:eastAsia="zh-CN"/>
        </w:rPr>
        <w:t>当年财政拨款</w:t>
      </w:r>
      <w:r>
        <w:rPr>
          <w:rFonts w:hint="default" w:ascii="Times New Roman" w:hAnsi="Times New Roman" w:eastAsia="方正仿宋_GBK" w:cs="Times New Roman"/>
          <w:sz w:val="33"/>
          <w:szCs w:val="33"/>
          <w:highlight w:val="none"/>
        </w:rPr>
        <w:t>收入</w:t>
      </w:r>
      <w:r>
        <w:rPr>
          <w:rFonts w:hint="default" w:ascii="Times New Roman" w:hAnsi="Times New Roman" w:eastAsia="方正仿宋_GBK" w:cs="Times New Roman"/>
          <w:sz w:val="33"/>
          <w:szCs w:val="33"/>
          <w:highlight w:val="none"/>
          <w:lang w:val="en-US" w:eastAsia="zh-CN"/>
        </w:rPr>
        <w:t>1066.21万元</w:t>
      </w:r>
      <w:r>
        <w:rPr>
          <w:rFonts w:hint="default" w:ascii="Times New Roman" w:hAnsi="Times New Roman" w:eastAsia="方正仿宋_GBK" w:cs="Times New Roman"/>
          <w:sz w:val="33"/>
          <w:szCs w:val="33"/>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rPr>
        <w:t>20</w:t>
      </w:r>
      <w:r>
        <w:rPr>
          <w:rFonts w:hint="default" w:ascii="Times New Roman" w:hAnsi="Times New Roman" w:eastAsia="方正仿宋_GBK" w:cs="Times New Roman"/>
          <w:sz w:val="33"/>
          <w:szCs w:val="33"/>
          <w:highlight w:val="none"/>
          <w:lang w:val="en-US" w:eastAsia="zh-CN"/>
        </w:rPr>
        <w:t>22</w:t>
      </w:r>
      <w:r>
        <w:rPr>
          <w:rFonts w:hint="default" w:ascii="Times New Roman" w:hAnsi="Times New Roman" w:eastAsia="方正仿宋_GBK" w:cs="Times New Roman"/>
          <w:sz w:val="33"/>
          <w:szCs w:val="33"/>
          <w:highlight w:val="none"/>
        </w:rPr>
        <w:t>年支出总计1066.21</w:t>
      </w:r>
      <w:r>
        <w:rPr>
          <w:rFonts w:hint="default" w:ascii="Times New Roman" w:hAnsi="Times New Roman" w:eastAsia="方正仿宋_GBK" w:cs="Times New Roman"/>
          <w:sz w:val="33"/>
          <w:szCs w:val="33"/>
          <w:highlight w:val="none"/>
          <w:lang w:val="en-US" w:eastAsia="zh-CN"/>
        </w:rPr>
        <w:t>万元</w:t>
      </w:r>
      <w:r>
        <w:rPr>
          <w:rFonts w:hint="default" w:ascii="Times New Roman" w:hAnsi="Times New Roman" w:eastAsia="方正仿宋_GBK" w:cs="Times New Roman"/>
          <w:sz w:val="33"/>
          <w:szCs w:val="33"/>
          <w:highlight w:val="none"/>
        </w:rPr>
        <w:t>，其中：人员支出预算</w:t>
      </w:r>
      <w:r>
        <w:rPr>
          <w:rFonts w:hint="default" w:ascii="Times New Roman" w:hAnsi="Times New Roman" w:eastAsia="方正仿宋_GBK" w:cs="Times New Roman"/>
          <w:sz w:val="33"/>
          <w:szCs w:val="33"/>
          <w:highlight w:val="none"/>
          <w:lang w:val="en-US" w:eastAsia="zh-CN"/>
        </w:rPr>
        <w:t>924.03万元</w:t>
      </w:r>
      <w:r>
        <w:rPr>
          <w:rFonts w:hint="default" w:ascii="Times New Roman" w:hAnsi="Times New Roman" w:eastAsia="方正仿宋_GBK" w:cs="Times New Roman"/>
          <w:sz w:val="33"/>
          <w:szCs w:val="33"/>
          <w:highlight w:val="none"/>
        </w:rPr>
        <w:t>，日常公用支出</w:t>
      </w:r>
      <w:r>
        <w:rPr>
          <w:rFonts w:hint="default" w:ascii="Times New Roman" w:hAnsi="Times New Roman" w:eastAsia="方正仿宋_GBK" w:cs="Times New Roman"/>
          <w:sz w:val="33"/>
          <w:szCs w:val="33"/>
          <w:highlight w:val="none"/>
          <w:lang w:val="en-US" w:eastAsia="zh-CN"/>
        </w:rPr>
        <w:t>125.58万</w:t>
      </w:r>
      <w:r>
        <w:rPr>
          <w:rFonts w:hint="default" w:ascii="Times New Roman" w:hAnsi="Times New Roman" w:eastAsia="方正仿宋_GBK" w:cs="Times New Roman"/>
          <w:sz w:val="33"/>
          <w:szCs w:val="33"/>
          <w:highlight w:val="none"/>
        </w:rPr>
        <w:t>元，项目支出</w:t>
      </w:r>
      <w:r>
        <w:rPr>
          <w:rFonts w:hint="default" w:ascii="Times New Roman" w:hAnsi="Times New Roman" w:eastAsia="方正仿宋_GBK" w:cs="Times New Roman"/>
          <w:sz w:val="33"/>
          <w:szCs w:val="33"/>
          <w:highlight w:val="none"/>
          <w:lang w:val="en-US" w:eastAsia="zh-CN"/>
        </w:rPr>
        <w:t>16.60万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r>
        <w:rPr>
          <w:rFonts w:hint="default" w:ascii="Times New Roman" w:hAnsi="Times New Roman" w:eastAsia="方正仿宋_GBK" w:cs="Times New Roman"/>
          <w:sz w:val="33"/>
          <w:szCs w:val="33"/>
          <w:highlight w:val="none"/>
        </w:rPr>
        <w:t>年初预留资金</w:t>
      </w:r>
      <w:r>
        <w:rPr>
          <w:rFonts w:hint="default" w:ascii="Times New Roman" w:hAnsi="Times New Roman" w:eastAsia="方正仿宋_GBK" w:cs="Times New Roman"/>
          <w:sz w:val="33"/>
          <w:szCs w:val="33"/>
          <w:highlight w:val="none"/>
          <w:lang w:val="en-US" w:eastAsia="zh-CN"/>
        </w:rPr>
        <w:t>129.72万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其中人员经费预留</w:t>
      </w:r>
      <w:r>
        <w:rPr>
          <w:rFonts w:hint="default" w:ascii="Times New Roman" w:hAnsi="Times New Roman" w:eastAsia="方正仿宋_GBK" w:cs="Times New Roman"/>
          <w:sz w:val="33"/>
          <w:szCs w:val="33"/>
          <w:highlight w:val="none"/>
          <w:lang w:val="en-US" w:eastAsia="zh-CN"/>
        </w:rPr>
        <w:t>94.12万元，公用经费预留23.60万元，</w:t>
      </w:r>
      <w:r>
        <w:rPr>
          <w:rFonts w:hint="default" w:ascii="Times New Roman" w:hAnsi="Times New Roman" w:eastAsia="方正仿宋_GBK" w:cs="Times New Roman"/>
          <w:sz w:val="33"/>
          <w:szCs w:val="33"/>
          <w:highlight w:val="none"/>
        </w:rPr>
        <w:t>总预备费1</w:t>
      </w:r>
      <w:r>
        <w:rPr>
          <w:rFonts w:hint="default" w:ascii="Times New Roman" w:hAnsi="Times New Roman" w:eastAsia="方正仿宋_GBK" w:cs="Times New Roman"/>
          <w:sz w:val="33"/>
          <w:szCs w:val="33"/>
          <w:highlight w:val="none"/>
          <w:lang w:val="en-US" w:eastAsia="zh-CN"/>
        </w:rPr>
        <w:t>2.00</w:t>
      </w:r>
      <w:r>
        <w:rPr>
          <w:rFonts w:hint="default" w:ascii="Times New Roman" w:hAnsi="Times New Roman" w:eastAsia="方正仿宋_GBK" w:cs="Times New Roman"/>
          <w:sz w:val="33"/>
          <w:szCs w:val="33"/>
          <w:highlight w:val="none"/>
          <w:lang w:eastAsia="zh-CN"/>
        </w:rPr>
        <w:t>万</w:t>
      </w:r>
      <w:r>
        <w:rPr>
          <w:rFonts w:hint="default" w:ascii="Times New Roman" w:hAnsi="Times New Roman" w:eastAsia="方正仿宋_GBK" w:cs="Times New Roman"/>
          <w:sz w:val="33"/>
          <w:szCs w:val="33"/>
          <w:highlight w:val="none"/>
        </w:rPr>
        <w:t>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3" w:firstLineChars="200"/>
        <w:textAlignment w:val="auto"/>
        <w:outlineLvl w:val="9"/>
        <w:rPr>
          <w:rFonts w:hint="default" w:ascii="方正楷体_GBK" w:hAnsi="方正楷体_GBK" w:eastAsia="方正楷体_GBK" w:cs="方正楷体_GBK"/>
          <w:b/>
          <w:bCs/>
          <w:sz w:val="33"/>
          <w:szCs w:val="33"/>
          <w:highlight w:val="none"/>
          <w:lang w:val="en-US" w:eastAsia="zh-CN"/>
        </w:rPr>
      </w:pPr>
      <w:r>
        <w:rPr>
          <w:rFonts w:hint="default" w:ascii="方正楷体_GBK" w:hAnsi="方正楷体_GBK" w:eastAsia="方正楷体_GBK" w:cs="方正楷体_GBK"/>
          <w:b/>
          <w:bCs/>
          <w:sz w:val="33"/>
          <w:szCs w:val="33"/>
          <w:highlight w:val="none"/>
          <w:lang w:val="en-US" w:eastAsia="zh-CN"/>
        </w:rPr>
        <w:t>（二）公共财政预算支出科目情况</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lang w:eastAsia="zh-CN"/>
        </w:rPr>
      </w:pPr>
      <w:r>
        <w:rPr>
          <w:rFonts w:hint="default" w:ascii="Times New Roman" w:hAnsi="Times New Roman" w:eastAsia="方正仿宋_GBK" w:cs="Times New Roman"/>
          <w:sz w:val="33"/>
          <w:szCs w:val="33"/>
          <w:highlight w:val="none"/>
          <w:lang w:val="en-US" w:eastAsia="zh-CN"/>
        </w:rPr>
        <w:t>1、</w:t>
      </w:r>
      <w:r>
        <w:rPr>
          <w:rFonts w:hint="default" w:ascii="Times New Roman" w:hAnsi="Times New Roman" w:eastAsia="方正仿宋_GBK" w:cs="Times New Roman"/>
          <w:sz w:val="33"/>
          <w:szCs w:val="33"/>
          <w:highlight w:val="none"/>
        </w:rPr>
        <w:t>一般公共服务支出</w:t>
      </w:r>
      <w:r>
        <w:rPr>
          <w:rFonts w:hint="default" w:ascii="Times New Roman" w:hAnsi="Times New Roman" w:eastAsia="方正仿宋_GBK" w:cs="Times New Roman"/>
          <w:sz w:val="33"/>
          <w:szCs w:val="33"/>
          <w:highlight w:val="none"/>
          <w:lang w:val="en-US" w:eastAsia="zh-CN"/>
        </w:rPr>
        <w:t>379.37万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r>
        <w:rPr>
          <w:rFonts w:hint="default" w:ascii="Times New Roman" w:hAnsi="Times New Roman" w:eastAsia="方正仿宋_GBK" w:cs="Times New Roman"/>
          <w:sz w:val="33"/>
          <w:szCs w:val="33"/>
          <w:highlight w:val="none"/>
        </w:rPr>
        <w:t>其中人大事务</w:t>
      </w:r>
      <w:r>
        <w:rPr>
          <w:rFonts w:hint="default" w:ascii="Times New Roman" w:hAnsi="Times New Roman" w:eastAsia="方正仿宋_GBK" w:cs="Times New Roman"/>
          <w:sz w:val="33"/>
          <w:szCs w:val="33"/>
          <w:highlight w:val="none"/>
          <w:lang w:val="en-US" w:eastAsia="zh-CN"/>
        </w:rPr>
        <w:t>14.44万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r>
        <w:rPr>
          <w:rFonts w:hint="default" w:ascii="Times New Roman" w:hAnsi="Times New Roman" w:eastAsia="方正仿宋_GBK" w:cs="Times New Roman"/>
          <w:sz w:val="33"/>
          <w:szCs w:val="33"/>
          <w:highlight w:val="none"/>
        </w:rPr>
        <w:t>政府办公厅（室）及相关机构事务</w:t>
      </w:r>
      <w:r>
        <w:rPr>
          <w:rFonts w:hint="default" w:ascii="Times New Roman" w:hAnsi="Times New Roman" w:eastAsia="方正仿宋_GBK" w:cs="Times New Roman"/>
          <w:sz w:val="33"/>
          <w:szCs w:val="33"/>
          <w:highlight w:val="none"/>
          <w:lang w:val="en-US" w:eastAsia="zh-CN"/>
        </w:rPr>
        <w:t>310.62万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r>
        <w:rPr>
          <w:rFonts w:hint="default" w:ascii="Times New Roman" w:hAnsi="Times New Roman" w:eastAsia="方正仿宋_GBK" w:cs="Times New Roman"/>
          <w:sz w:val="33"/>
          <w:szCs w:val="33"/>
          <w:highlight w:val="none"/>
        </w:rPr>
        <w:t>党委办公厅（室）及相关机构事务</w:t>
      </w:r>
      <w:r>
        <w:rPr>
          <w:rFonts w:hint="default" w:ascii="Times New Roman" w:hAnsi="Times New Roman" w:eastAsia="方正仿宋_GBK" w:cs="Times New Roman"/>
          <w:sz w:val="33"/>
          <w:szCs w:val="33"/>
          <w:highlight w:val="none"/>
          <w:lang w:val="en-US" w:eastAsia="zh-CN"/>
        </w:rPr>
        <w:t>53.74万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，民族事务</w:t>
      </w:r>
      <w:r>
        <w:rPr>
          <w:rFonts w:hint="default" w:ascii="Times New Roman" w:hAnsi="Times New Roman" w:eastAsia="方正仿宋_GBK" w:cs="Times New Roman"/>
          <w:sz w:val="33"/>
          <w:szCs w:val="33"/>
          <w:highlight w:val="none"/>
          <w:lang w:val="en-US" w:eastAsia="zh-CN"/>
        </w:rPr>
        <w:t>0.57万元</w:t>
      </w:r>
      <w:r>
        <w:rPr>
          <w:rFonts w:hint="default" w:ascii="Times New Roman" w:hAnsi="Times New Roman" w:eastAsia="方正仿宋_GBK" w:cs="Times New Roman"/>
          <w:sz w:val="33"/>
          <w:szCs w:val="33"/>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lang w:val="en-US" w:eastAsia="zh-CN"/>
        </w:rPr>
        <w:t>2、文化旅游体育与传媒支出18.13万元；</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lang w:val="en-US" w:eastAsia="zh-CN"/>
        </w:rPr>
        <w:t>3、</w:t>
      </w:r>
      <w:r>
        <w:rPr>
          <w:rFonts w:hint="default" w:ascii="Times New Roman" w:hAnsi="Times New Roman" w:eastAsia="方正仿宋_GBK" w:cs="Times New Roman"/>
          <w:sz w:val="33"/>
          <w:szCs w:val="33"/>
          <w:highlight w:val="none"/>
        </w:rPr>
        <w:t>社会保障和就业支出</w:t>
      </w:r>
      <w:r>
        <w:rPr>
          <w:rFonts w:hint="default" w:ascii="Times New Roman" w:hAnsi="Times New Roman" w:eastAsia="方正仿宋_GBK" w:cs="Times New Roman"/>
          <w:sz w:val="33"/>
          <w:szCs w:val="33"/>
          <w:highlight w:val="none"/>
          <w:lang w:val="en-US" w:eastAsia="zh-CN"/>
        </w:rPr>
        <w:t>138.91万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r>
        <w:rPr>
          <w:rFonts w:hint="default" w:ascii="Times New Roman" w:hAnsi="Times New Roman" w:eastAsia="方正仿宋_GBK" w:cs="Times New Roman"/>
          <w:sz w:val="33"/>
          <w:szCs w:val="33"/>
          <w:highlight w:val="none"/>
        </w:rPr>
        <w:t>其中人力资源和社会保障管理事务</w:t>
      </w:r>
      <w:r>
        <w:rPr>
          <w:rFonts w:hint="default" w:ascii="Times New Roman" w:hAnsi="Times New Roman" w:eastAsia="方正仿宋_GBK" w:cs="Times New Roman"/>
          <w:sz w:val="33"/>
          <w:szCs w:val="33"/>
          <w:highlight w:val="none"/>
          <w:lang w:val="en-US" w:eastAsia="zh-CN"/>
        </w:rPr>
        <w:t>64.13万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r>
        <w:rPr>
          <w:rFonts w:hint="default" w:ascii="Times New Roman" w:hAnsi="Times New Roman" w:eastAsia="方正仿宋_GBK" w:cs="Times New Roman"/>
          <w:sz w:val="33"/>
          <w:szCs w:val="33"/>
          <w:highlight w:val="none"/>
          <w:lang w:val="en-US" w:eastAsia="zh-CN"/>
        </w:rPr>
        <w:t>行政事业单位养老支出69.59万元，抚恤支出4.59万元，特困人员救助供养支出0.60万元</w:t>
      </w:r>
      <w:r>
        <w:rPr>
          <w:rFonts w:hint="default" w:ascii="Times New Roman" w:hAnsi="Times New Roman" w:eastAsia="方正仿宋_GBK" w:cs="Times New Roman"/>
          <w:sz w:val="33"/>
          <w:szCs w:val="33"/>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lang w:val="en-US" w:eastAsia="zh-CN"/>
        </w:rPr>
      </w:pPr>
      <w:r>
        <w:rPr>
          <w:rFonts w:hint="default" w:ascii="Times New Roman" w:hAnsi="Times New Roman" w:eastAsia="方正仿宋_GBK" w:cs="Times New Roman"/>
          <w:sz w:val="33"/>
          <w:szCs w:val="33"/>
          <w:highlight w:val="none"/>
          <w:lang w:val="en-US" w:eastAsia="zh-CN"/>
        </w:rPr>
        <w:t>4、</w:t>
      </w:r>
      <w:r>
        <w:rPr>
          <w:rFonts w:hint="default" w:ascii="Times New Roman" w:hAnsi="Times New Roman" w:eastAsia="方正仿宋_GBK" w:cs="Times New Roman"/>
          <w:sz w:val="33"/>
          <w:szCs w:val="33"/>
          <w:highlight w:val="none"/>
        </w:rPr>
        <w:t>卫生健康支出</w:t>
      </w:r>
      <w:r>
        <w:rPr>
          <w:rFonts w:hint="default" w:ascii="Times New Roman" w:hAnsi="Times New Roman" w:eastAsia="方正仿宋_GBK" w:cs="Times New Roman"/>
          <w:sz w:val="33"/>
          <w:szCs w:val="33"/>
          <w:highlight w:val="none"/>
          <w:lang w:val="en-US" w:eastAsia="zh-CN"/>
        </w:rPr>
        <w:t>64.77万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。其中公共卫生</w:t>
      </w:r>
      <w:r>
        <w:rPr>
          <w:rFonts w:hint="default" w:ascii="Times New Roman" w:hAnsi="Times New Roman" w:eastAsia="方正仿宋_GBK" w:cs="Times New Roman"/>
          <w:sz w:val="33"/>
          <w:szCs w:val="33"/>
          <w:highlight w:val="none"/>
          <w:lang w:val="en-US" w:eastAsia="zh-CN"/>
        </w:rPr>
        <w:t>8.42万元，行政事业单位医疗56.35万元。</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lang w:val="en-US" w:eastAsia="zh-CN"/>
        </w:rPr>
      </w:pPr>
      <w:r>
        <w:rPr>
          <w:rFonts w:hint="default" w:ascii="Times New Roman" w:hAnsi="Times New Roman" w:eastAsia="方正仿宋_GBK" w:cs="Times New Roman"/>
          <w:sz w:val="33"/>
          <w:szCs w:val="33"/>
          <w:highlight w:val="none"/>
          <w:lang w:val="en-US" w:eastAsia="zh-CN"/>
        </w:rPr>
        <w:t>5、</w:t>
      </w:r>
      <w:r>
        <w:rPr>
          <w:rFonts w:hint="default" w:ascii="Times New Roman" w:hAnsi="Times New Roman" w:eastAsia="方正仿宋_GBK" w:cs="Times New Roman"/>
          <w:sz w:val="33"/>
          <w:szCs w:val="33"/>
          <w:highlight w:val="none"/>
        </w:rPr>
        <w:t>农林水支出</w:t>
      </w:r>
      <w:r>
        <w:rPr>
          <w:rFonts w:hint="default" w:ascii="Times New Roman" w:hAnsi="Times New Roman" w:eastAsia="方正仿宋_GBK" w:cs="Times New Roman"/>
          <w:sz w:val="33"/>
          <w:szCs w:val="33"/>
          <w:highlight w:val="none"/>
          <w:lang w:val="en-US" w:eastAsia="zh-CN"/>
        </w:rPr>
        <w:t>374.46万元。</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lang w:eastAsia="zh-CN"/>
        </w:rPr>
      </w:pPr>
      <w:r>
        <w:rPr>
          <w:rFonts w:hint="default" w:ascii="Times New Roman" w:hAnsi="Times New Roman" w:eastAsia="方正仿宋_GBK" w:cs="Times New Roman"/>
          <w:sz w:val="33"/>
          <w:szCs w:val="33"/>
          <w:highlight w:val="none"/>
          <w:lang w:val="en-US" w:eastAsia="zh-CN"/>
        </w:rPr>
        <w:t>6、</w:t>
      </w:r>
      <w:r>
        <w:rPr>
          <w:rFonts w:hint="default" w:ascii="Times New Roman" w:hAnsi="Times New Roman" w:eastAsia="方正仿宋_GBK" w:cs="Times New Roman"/>
          <w:sz w:val="33"/>
          <w:szCs w:val="33"/>
          <w:highlight w:val="none"/>
        </w:rPr>
        <w:t>住房保障</w:t>
      </w:r>
      <w:r>
        <w:rPr>
          <w:rFonts w:hint="default" w:ascii="Times New Roman" w:hAnsi="Times New Roman" w:eastAsia="方正仿宋_GBK" w:cs="Times New Roman"/>
          <w:sz w:val="33"/>
          <w:szCs w:val="33"/>
          <w:highlight w:val="none"/>
          <w:lang w:eastAsia="zh-CN"/>
        </w:rPr>
        <w:t>（住房公积金）</w:t>
      </w:r>
      <w:r>
        <w:rPr>
          <w:rFonts w:hint="default" w:ascii="Times New Roman" w:hAnsi="Times New Roman" w:eastAsia="方正仿宋_GBK" w:cs="Times New Roman"/>
          <w:sz w:val="33"/>
          <w:szCs w:val="33"/>
          <w:highlight w:val="none"/>
        </w:rPr>
        <w:t>支出</w:t>
      </w:r>
      <w:r>
        <w:rPr>
          <w:rFonts w:hint="default" w:ascii="Times New Roman" w:hAnsi="Times New Roman" w:eastAsia="方正仿宋_GBK" w:cs="Times New Roman"/>
          <w:sz w:val="33"/>
          <w:szCs w:val="33"/>
          <w:highlight w:val="none"/>
          <w:lang w:val="en-US" w:eastAsia="zh-CN"/>
        </w:rPr>
        <w:t>90.57万</w:t>
      </w:r>
      <w:r>
        <w:rPr>
          <w:rFonts w:hint="default" w:ascii="Times New Roman" w:hAnsi="Times New Roman" w:eastAsia="方正仿宋_GBK" w:cs="Times New Roman"/>
          <w:sz w:val="33"/>
          <w:szCs w:val="33"/>
          <w:highlight w:val="none"/>
        </w:rPr>
        <w:t>元</w:t>
      </w:r>
      <w:r>
        <w:rPr>
          <w:rFonts w:hint="default" w:ascii="Times New Roman" w:hAnsi="Times New Roman" w:eastAsia="方正仿宋_GBK" w:cs="Times New Roman"/>
          <w:sz w:val="33"/>
          <w:szCs w:val="33"/>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sz w:val="33"/>
          <w:szCs w:val="33"/>
          <w:highlight w:val="none"/>
        </w:rPr>
      </w:pPr>
      <w:r>
        <w:rPr>
          <w:rFonts w:hint="default" w:ascii="Times New Roman" w:hAnsi="Times New Roman" w:eastAsia="方正仿宋_GBK" w:cs="Times New Roman"/>
          <w:sz w:val="33"/>
          <w:szCs w:val="33"/>
          <w:highlight w:val="none"/>
        </w:rPr>
        <w:t>以上预算草案，请予审查批准。</w:t>
      </w:r>
    </w:p>
    <w:p>
      <w:pPr>
        <w:keepNext w:val="0"/>
        <w:keepLines w:val="0"/>
        <w:pageBreakBefore w:val="0"/>
        <w:widowControl w:val="0"/>
        <w:kinsoku/>
        <w:wordWrap/>
        <w:overflowPunct/>
        <w:topLinePunct w:val="0"/>
        <w:autoSpaceDE/>
        <w:autoSpaceDN/>
        <w:bidi w:val="0"/>
        <w:spacing w:line="240" w:lineRule="auto"/>
        <w:ind w:firstLine="660" w:firstLineChars="200"/>
        <w:textAlignment w:val="auto"/>
        <w:rPr>
          <w:rFonts w:hint="eastAsia" w:ascii="方正黑体_GBK" w:hAnsi="方正黑体_GBK" w:eastAsia="方正黑体_GBK" w:cs="方正黑体_GBK"/>
          <w:sz w:val="33"/>
          <w:szCs w:val="33"/>
          <w:highlight w:val="none"/>
        </w:rPr>
      </w:pPr>
      <w:r>
        <w:rPr>
          <w:rFonts w:hint="eastAsia" w:ascii="方正黑体_GBK" w:hAnsi="方正黑体_GBK" w:eastAsia="方正黑体_GBK" w:cs="方正黑体_GBK"/>
          <w:sz w:val="33"/>
          <w:szCs w:val="33"/>
          <w:highlight w:val="none"/>
        </w:rPr>
        <w:t>四、关于</w:t>
      </w:r>
      <w:r>
        <w:rPr>
          <w:rFonts w:hint="eastAsia" w:ascii="方正黑体_GBK" w:hAnsi="方正黑体_GBK" w:eastAsia="方正黑体_GBK" w:cs="方正黑体_GBK"/>
          <w:sz w:val="33"/>
          <w:szCs w:val="33"/>
          <w:highlight w:val="none"/>
          <w:lang w:eastAsia="zh-CN"/>
        </w:rPr>
        <w:t>202</w:t>
      </w:r>
      <w:r>
        <w:rPr>
          <w:rFonts w:hint="eastAsia" w:ascii="方正黑体_GBK" w:hAnsi="方正黑体_GBK" w:eastAsia="方正黑体_GBK" w:cs="方正黑体_GBK"/>
          <w:sz w:val="33"/>
          <w:szCs w:val="33"/>
          <w:highlight w:val="none"/>
          <w:lang w:val="en-US" w:eastAsia="zh-CN"/>
        </w:rPr>
        <w:t>2</w:t>
      </w:r>
      <w:r>
        <w:rPr>
          <w:rFonts w:hint="eastAsia" w:ascii="方正黑体_GBK" w:hAnsi="方正黑体_GBK" w:eastAsia="方正黑体_GBK" w:cs="方正黑体_GBK"/>
          <w:sz w:val="33"/>
          <w:szCs w:val="33"/>
          <w:highlight w:val="none"/>
        </w:rPr>
        <w:t>年财政工作</w:t>
      </w:r>
    </w:p>
    <w:p>
      <w:pPr>
        <w:keepNext w:val="0"/>
        <w:keepLines w:val="0"/>
        <w:pageBreakBefore w:val="0"/>
        <w:widowControl w:val="0"/>
        <w:kinsoku/>
        <w:wordWrap/>
        <w:overflowPunct/>
        <w:topLinePunct w:val="0"/>
        <w:autoSpaceDE/>
        <w:autoSpaceDN/>
        <w:bidi w:val="0"/>
        <w:spacing w:line="240" w:lineRule="auto"/>
        <w:ind w:firstLine="663" w:firstLineChars="200"/>
        <w:textAlignment w:val="auto"/>
        <w:rPr>
          <w:rFonts w:hint="default" w:ascii="Times New Roman" w:hAnsi="Times New Roman" w:eastAsia="方正仿宋_GBK" w:cs="Times New Roman"/>
          <w:b/>
          <w:sz w:val="33"/>
          <w:szCs w:val="33"/>
          <w:highlight w:val="none"/>
          <w:lang w:eastAsia="zh-CN"/>
        </w:rPr>
      </w:pPr>
      <w:r>
        <w:rPr>
          <w:rFonts w:hint="eastAsia" w:ascii="方正楷体_GBK" w:hAnsi="方正楷体_GBK" w:eastAsia="方正楷体_GBK" w:cs="方正楷体_GBK"/>
          <w:b/>
          <w:sz w:val="33"/>
          <w:szCs w:val="33"/>
          <w:highlight w:val="none"/>
          <w:lang w:eastAsia="zh-CN"/>
        </w:rPr>
        <w:t>（一）全面</w:t>
      </w:r>
      <w:r>
        <w:rPr>
          <w:rFonts w:hint="eastAsia" w:ascii="方正楷体_GBK" w:hAnsi="方正楷体_GBK" w:eastAsia="方正楷体_GBK" w:cs="方正楷体_GBK"/>
          <w:b/>
          <w:sz w:val="33"/>
          <w:szCs w:val="33"/>
          <w:highlight w:val="none"/>
        </w:rPr>
        <w:t>加强</w:t>
      </w:r>
      <w:r>
        <w:rPr>
          <w:rFonts w:hint="eastAsia" w:ascii="方正楷体_GBK" w:hAnsi="方正楷体_GBK" w:eastAsia="方正楷体_GBK" w:cs="方正楷体_GBK"/>
          <w:b/>
          <w:sz w:val="33"/>
          <w:szCs w:val="33"/>
          <w:highlight w:val="none"/>
          <w:lang w:eastAsia="zh-CN"/>
        </w:rPr>
        <w:t>预算</w:t>
      </w:r>
      <w:r>
        <w:rPr>
          <w:rFonts w:hint="eastAsia" w:ascii="方正楷体_GBK" w:hAnsi="方正楷体_GBK" w:eastAsia="方正楷体_GBK" w:cs="方正楷体_GBK"/>
          <w:b/>
          <w:sz w:val="33"/>
          <w:szCs w:val="33"/>
          <w:highlight w:val="none"/>
        </w:rPr>
        <w:t>绩效管理。</w:t>
      </w:r>
      <w:r>
        <w:rPr>
          <w:rFonts w:hint="default" w:ascii="Times New Roman" w:hAnsi="Times New Roman" w:eastAsia="方正仿宋_GBK" w:cs="Times New Roman"/>
          <w:sz w:val="33"/>
          <w:szCs w:val="33"/>
          <w:highlight w:val="none"/>
        </w:rPr>
        <w:t>推进财政支出绩效评价，科学设立绩效目标，完善绩效管理制度，逐步建立贯穿预算编制、执行、监督全过程的预算绩效管理体系，努力提高财政资金使用绩效。</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rPr>
          <w:rFonts w:hint="default" w:ascii="Times New Roman" w:hAnsi="Times New Roman" w:eastAsia="方正仿宋_GBK" w:cs="Times New Roman"/>
          <w:sz w:val="33"/>
          <w:szCs w:val="33"/>
          <w:highlight w:val="none"/>
          <w:lang w:eastAsia="zh-CN"/>
        </w:rPr>
      </w:pPr>
      <w:r>
        <w:rPr>
          <w:rFonts w:hint="default" w:ascii="方正楷体_GBK" w:hAnsi="方正楷体_GBK" w:eastAsia="方正楷体_GBK" w:cs="方正楷体_GBK"/>
          <w:b/>
          <w:sz w:val="33"/>
          <w:szCs w:val="33"/>
          <w:highlight w:val="none"/>
          <w:lang w:eastAsia="zh-CN"/>
        </w:rPr>
        <w:t>（二）优化支出结构，强化预算执行。</w:t>
      </w:r>
      <w:r>
        <w:rPr>
          <w:rFonts w:hint="default" w:ascii="Times New Roman" w:hAnsi="Times New Roman" w:eastAsia="方正仿宋_GBK" w:cs="Times New Roman"/>
          <w:sz w:val="33"/>
          <w:szCs w:val="33"/>
          <w:highlight w:val="none"/>
        </w:rPr>
        <w:t>进一步优化支出结构，严控“三公经费”等一般性支出，压缩行政成本。</w:t>
      </w:r>
      <w:r>
        <w:rPr>
          <w:rFonts w:hint="default" w:ascii="Times New Roman" w:hAnsi="Times New Roman" w:eastAsia="方正仿宋_GBK" w:cs="Times New Roman"/>
          <w:sz w:val="33"/>
          <w:szCs w:val="33"/>
          <w:highlight w:val="none"/>
          <w:lang w:eastAsia="zh-CN"/>
        </w:rPr>
        <w:t>以财政资金“集中、统一、高效、规范”使用为目标，</w:t>
      </w:r>
      <w:r>
        <w:rPr>
          <w:rFonts w:hint="default" w:ascii="Times New Roman" w:hAnsi="Times New Roman" w:eastAsia="方正仿宋_GBK" w:cs="Times New Roman"/>
          <w:sz w:val="33"/>
          <w:szCs w:val="33"/>
          <w:highlight w:val="none"/>
        </w:rPr>
        <w:t>统筹各</w:t>
      </w:r>
      <w:r>
        <w:rPr>
          <w:rFonts w:hint="default" w:ascii="Times New Roman" w:hAnsi="Times New Roman" w:eastAsia="方正仿宋_GBK" w:cs="Times New Roman"/>
          <w:sz w:val="33"/>
          <w:szCs w:val="33"/>
          <w:highlight w:val="none"/>
          <w:lang w:eastAsia="zh-CN"/>
        </w:rPr>
        <w:t>方面</w:t>
      </w:r>
      <w:r>
        <w:rPr>
          <w:rFonts w:hint="default" w:ascii="Times New Roman" w:hAnsi="Times New Roman" w:eastAsia="方正仿宋_GBK" w:cs="Times New Roman"/>
          <w:sz w:val="33"/>
          <w:szCs w:val="33"/>
          <w:highlight w:val="none"/>
        </w:rPr>
        <w:t>资金，重点</w:t>
      </w:r>
      <w:r>
        <w:rPr>
          <w:rFonts w:hint="default" w:ascii="Times New Roman" w:hAnsi="Times New Roman" w:eastAsia="方正仿宋_GBK" w:cs="Times New Roman"/>
          <w:sz w:val="33"/>
          <w:szCs w:val="33"/>
          <w:highlight w:val="none"/>
          <w:lang w:eastAsia="zh-CN"/>
        </w:rPr>
        <w:t>保障经济发展、社会稳定需求</w:t>
      </w:r>
      <w:r>
        <w:rPr>
          <w:rFonts w:hint="default" w:ascii="Times New Roman" w:hAnsi="Times New Roman" w:eastAsia="方正仿宋_GBK" w:cs="Times New Roman"/>
          <w:sz w:val="33"/>
          <w:szCs w:val="33"/>
          <w:highlight w:val="none"/>
        </w:rPr>
        <w:t>，</w:t>
      </w:r>
      <w:r>
        <w:rPr>
          <w:rFonts w:hint="default" w:ascii="Times New Roman" w:hAnsi="Times New Roman" w:eastAsia="方正仿宋_GBK" w:cs="Times New Roman"/>
          <w:sz w:val="33"/>
          <w:szCs w:val="33"/>
          <w:highlight w:val="none"/>
          <w:lang w:eastAsia="zh-CN"/>
        </w:rPr>
        <w:t>着力打造廉洁高效的政府。</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rPr>
          <w:rFonts w:hint="default" w:ascii="Times New Roman" w:hAnsi="Times New Roman" w:eastAsia="方正仿宋_GBK" w:cs="Times New Roman"/>
          <w:sz w:val="33"/>
          <w:szCs w:val="33"/>
          <w:highlight w:val="none"/>
          <w:lang w:val="en-US" w:eastAsia="zh-CN"/>
        </w:rPr>
      </w:pPr>
      <w:r>
        <w:rPr>
          <w:rFonts w:hint="eastAsia" w:ascii="方正楷体_GBK" w:hAnsi="方正楷体_GBK" w:eastAsia="方正楷体_GBK" w:cs="方正楷体_GBK"/>
          <w:b/>
          <w:bCs/>
          <w:sz w:val="33"/>
          <w:szCs w:val="33"/>
          <w:highlight w:val="none"/>
          <w:lang w:eastAsia="zh-CN"/>
        </w:rPr>
        <w:t>（三）加强财政队伍建设，提升财政管理水平。</w:t>
      </w:r>
      <w:r>
        <w:rPr>
          <w:rFonts w:hint="default" w:ascii="Times New Roman" w:hAnsi="Times New Roman" w:eastAsia="方正仿宋_GBK" w:cs="Times New Roman"/>
          <w:sz w:val="33"/>
          <w:szCs w:val="33"/>
          <w:highlight w:val="none"/>
          <w:lang w:eastAsia="zh-CN"/>
        </w:rPr>
        <w:t>加强对</w:t>
      </w:r>
      <w:r>
        <w:rPr>
          <w:rFonts w:hint="default" w:ascii="Times New Roman" w:hAnsi="Times New Roman" w:eastAsia="方正仿宋_GBK" w:cs="Times New Roman"/>
          <w:sz w:val="33"/>
          <w:szCs w:val="33"/>
          <w:highlight w:val="none"/>
        </w:rPr>
        <w:t>《新预算法》《会计法》及</w:t>
      </w:r>
      <w:r>
        <w:rPr>
          <w:rFonts w:hint="default" w:ascii="Times New Roman" w:hAnsi="Times New Roman" w:eastAsia="方正仿宋_GBK" w:cs="Times New Roman"/>
          <w:sz w:val="33"/>
          <w:szCs w:val="33"/>
          <w:highlight w:val="none"/>
          <w:lang w:eastAsia="zh-CN"/>
        </w:rPr>
        <w:t>相关</w:t>
      </w:r>
      <w:r>
        <w:rPr>
          <w:rFonts w:hint="default" w:ascii="Times New Roman" w:hAnsi="Times New Roman" w:eastAsia="方正仿宋_GBK" w:cs="Times New Roman"/>
          <w:sz w:val="33"/>
          <w:szCs w:val="33"/>
          <w:highlight w:val="none"/>
          <w:lang w:val="en-US" w:eastAsia="zh-CN"/>
        </w:rPr>
        <w:t>法律法规的学习，进一步规范财务管理，完善基本支出和项目支出的标准体系，严格执行财经纪律和预算管理。</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color w:val="auto"/>
          <w:sz w:val="33"/>
          <w:szCs w:val="33"/>
          <w:highlight w:val="none"/>
          <w:lang w:val="en-US" w:eastAsia="zh-CN"/>
        </w:rPr>
      </w:pPr>
      <w:r>
        <w:rPr>
          <w:rFonts w:hint="default" w:ascii="Times New Roman" w:hAnsi="Times New Roman" w:eastAsia="方正仿宋_GBK" w:cs="Times New Roman"/>
          <w:color w:val="auto"/>
          <w:sz w:val="33"/>
          <w:szCs w:val="33"/>
          <w:highlight w:val="none"/>
          <w:lang w:val="en-US" w:eastAsia="zh-CN"/>
        </w:rPr>
        <w:t>各位代表，2022年的财政工作任务依旧艰巨，责任重大。我们将在镇党委、政府的正确领导下，在镇人大监督指导和上级部门的关心支持下，以更加开阔的思路、更加有效的措施、更加务实的作风，攻坚克难、开拓创新、振奋精神、扎实工作，为圆满完成2022年财政工作而努力奋斗。</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60" w:firstLineChars="200"/>
        <w:textAlignment w:val="auto"/>
        <w:rPr>
          <w:rFonts w:hint="default" w:ascii="Times New Roman" w:hAnsi="Times New Roman" w:eastAsia="方正仿宋_GBK" w:cs="Times New Roman"/>
          <w:color w:val="auto"/>
          <w:sz w:val="33"/>
          <w:szCs w:val="33"/>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5610" w:firstLineChars="1700"/>
        <w:textAlignment w:val="auto"/>
        <w:rPr>
          <w:rFonts w:hint="default" w:ascii="Times New Roman" w:hAnsi="Times New Roman" w:eastAsia="方正仿宋_GBK" w:cs="Times New Roman"/>
          <w:color w:val="auto"/>
          <w:sz w:val="33"/>
          <w:szCs w:val="33"/>
          <w:highlight w:val="none"/>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3" w:bottom="1440" w:left="1803" w:header="851" w:footer="1418"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posOffset>5285740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16.2pt;margin-top:0pt;height:144pt;width:144pt;mso-position-horizontal-relative:margin;mso-wrap-style:none;z-index:251659264;mso-width-relative:page;mso-height-relative:page;" filled="f" stroked="f" coordsize="21600,21600" o:gfxdata="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BUWA5tUAAAAJAQAADwAAAAAAAAABACAAAAAiAAAAZHJzL2Rvd25yZXYueG1sUEsB&#10;AhQAFAAAAAgAh07iQCSCRrQxAgAAYQQAAA4AAAAAAAAAAQAgAAAAJAEAAGRycy9lMm9Eb2MueG1s&#10;UEsFBgAAAAAGAAYAWQEAAMcFA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Pr>
    </w:pPr>
    <w:r>
      <w:fldChar w:fldCharType="begin"/>
    </w:r>
    <w:r>
      <w:rPr>
        <w:rStyle w:val="20"/>
      </w:rPr>
      <w:instrText xml:space="preserve">PAGE  </w:instrText>
    </w:r>
    <w: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chineseCountingThousand"/>
      <w:pStyle w:val="27"/>
      <w:lvlText w:val="第%1部分 "/>
      <w:lvlJc w:val="center"/>
      <w:pPr>
        <w:tabs>
          <w:tab w:val="left" w:pos="1276"/>
        </w:tabs>
        <w:ind w:left="1276" w:firstLine="0"/>
      </w:pPr>
      <w:rPr>
        <w:rFonts w:hint="eastAsia"/>
      </w:rPr>
    </w:lvl>
    <w:lvl w:ilvl="1" w:tentative="0">
      <w:start w:val="1"/>
      <w:numFmt w:val="none"/>
      <w:pStyle w:val="24"/>
      <w:suff w:val="nothing"/>
      <w:lvlText w:val=""/>
      <w:lvlJc w:val="left"/>
      <w:pPr>
        <w:ind w:left="1276" w:firstLine="0"/>
      </w:pPr>
      <w:rPr>
        <w:rFonts w:hint="eastAsia"/>
        <w:sz w:val="32"/>
      </w:rPr>
    </w:lvl>
    <w:lvl w:ilvl="2" w:tentative="0">
      <w:start w:val="1"/>
      <w:numFmt w:val="none"/>
      <w:pStyle w:val="30"/>
      <w:suff w:val="nothing"/>
      <w:lvlText w:val="1. "/>
      <w:lvlJc w:val="left"/>
      <w:pPr>
        <w:ind w:left="1276" w:firstLine="0"/>
      </w:pPr>
      <w:rPr>
        <w:rFonts w:hint="eastAsia"/>
      </w:rPr>
    </w:lvl>
    <w:lvl w:ilvl="3" w:tentative="0">
      <w:start w:val="1"/>
      <w:numFmt w:val="none"/>
      <w:pStyle w:val="28"/>
      <w:suff w:val="nothing"/>
      <w:lvlText w:val=""/>
      <w:lvlJc w:val="left"/>
      <w:pPr>
        <w:ind w:left="1276" w:firstLine="0"/>
      </w:pPr>
      <w:rPr>
        <w:rFonts w:hint="eastAsia"/>
      </w:rPr>
    </w:lvl>
    <w:lvl w:ilvl="4" w:tentative="0">
      <w:start w:val="1"/>
      <w:numFmt w:val="none"/>
      <w:pStyle w:val="4"/>
      <w:suff w:val="nothing"/>
      <w:lvlText w:val=""/>
      <w:lvlJc w:val="left"/>
      <w:pPr>
        <w:ind w:left="1276" w:firstLine="0"/>
      </w:pPr>
      <w:rPr>
        <w:rFonts w:hint="eastAsia"/>
      </w:rPr>
    </w:lvl>
    <w:lvl w:ilvl="5" w:tentative="0">
      <w:start w:val="1"/>
      <w:numFmt w:val="none"/>
      <w:pStyle w:val="5"/>
      <w:suff w:val="nothing"/>
      <w:lvlText w:val=""/>
      <w:lvlJc w:val="left"/>
      <w:pPr>
        <w:ind w:left="1276" w:firstLine="0"/>
      </w:pPr>
      <w:rPr>
        <w:rFonts w:hint="eastAsia"/>
      </w:rPr>
    </w:lvl>
    <w:lvl w:ilvl="6" w:tentative="0">
      <w:start w:val="1"/>
      <w:numFmt w:val="none"/>
      <w:pStyle w:val="6"/>
      <w:suff w:val="nothing"/>
      <w:lvlText w:val=""/>
      <w:lvlJc w:val="left"/>
      <w:pPr>
        <w:ind w:left="1276" w:firstLine="0"/>
      </w:pPr>
      <w:rPr>
        <w:rFonts w:hint="eastAsia"/>
      </w:rPr>
    </w:lvl>
    <w:lvl w:ilvl="7" w:tentative="0">
      <w:start w:val="1"/>
      <w:numFmt w:val="none"/>
      <w:pStyle w:val="7"/>
      <w:suff w:val="nothing"/>
      <w:lvlText w:val=""/>
      <w:lvlJc w:val="left"/>
      <w:pPr>
        <w:ind w:left="1276" w:firstLine="0"/>
      </w:pPr>
      <w:rPr>
        <w:rFonts w:hint="eastAsia"/>
      </w:rPr>
    </w:lvl>
    <w:lvl w:ilvl="8" w:tentative="0">
      <w:start w:val="1"/>
      <w:numFmt w:val="none"/>
      <w:pStyle w:val="8"/>
      <w:suff w:val="nothing"/>
      <w:lvlText w:val=""/>
      <w:lvlJc w:val="left"/>
      <w:pPr>
        <w:ind w:left="1276"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wMmI3YzFkZTVlYjYwZGM1NjM0OWVlNDBmMGI2NTUifQ=="/>
  </w:docVars>
  <w:rsids>
    <w:rsidRoot w:val="00172A27"/>
    <w:rsid w:val="00000D2D"/>
    <w:rsid w:val="00003E0E"/>
    <w:rsid w:val="00056531"/>
    <w:rsid w:val="000728A9"/>
    <w:rsid w:val="000B236A"/>
    <w:rsid w:val="000B521B"/>
    <w:rsid w:val="000E1C36"/>
    <w:rsid w:val="00111DDF"/>
    <w:rsid w:val="00112DA8"/>
    <w:rsid w:val="00155D82"/>
    <w:rsid w:val="00172A27"/>
    <w:rsid w:val="0018328B"/>
    <w:rsid w:val="00186AB0"/>
    <w:rsid w:val="001C04E9"/>
    <w:rsid w:val="001F21C4"/>
    <w:rsid w:val="002218C5"/>
    <w:rsid w:val="00227694"/>
    <w:rsid w:val="00243D36"/>
    <w:rsid w:val="00255FC8"/>
    <w:rsid w:val="002606D4"/>
    <w:rsid w:val="00264D8B"/>
    <w:rsid w:val="002D1E52"/>
    <w:rsid w:val="003000DF"/>
    <w:rsid w:val="003014BF"/>
    <w:rsid w:val="00333715"/>
    <w:rsid w:val="00351D86"/>
    <w:rsid w:val="00371050"/>
    <w:rsid w:val="00376176"/>
    <w:rsid w:val="003B0ED6"/>
    <w:rsid w:val="003B3206"/>
    <w:rsid w:val="003C642A"/>
    <w:rsid w:val="003E0A35"/>
    <w:rsid w:val="004025DF"/>
    <w:rsid w:val="00436EE4"/>
    <w:rsid w:val="004557D9"/>
    <w:rsid w:val="00462AC1"/>
    <w:rsid w:val="0049349A"/>
    <w:rsid w:val="00495BE6"/>
    <w:rsid w:val="004C0D6D"/>
    <w:rsid w:val="004D3EFC"/>
    <w:rsid w:val="004E01B4"/>
    <w:rsid w:val="004E1D72"/>
    <w:rsid w:val="00503CE9"/>
    <w:rsid w:val="00511C55"/>
    <w:rsid w:val="005131D8"/>
    <w:rsid w:val="00543648"/>
    <w:rsid w:val="00575F37"/>
    <w:rsid w:val="00581353"/>
    <w:rsid w:val="005B110C"/>
    <w:rsid w:val="005D1AB4"/>
    <w:rsid w:val="005E1F5A"/>
    <w:rsid w:val="005E6F35"/>
    <w:rsid w:val="00604B74"/>
    <w:rsid w:val="0061116B"/>
    <w:rsid w:val="00613DFC"/>
    <w:rsid w:val="00626502"/>
    <w:rsid w:val="0063685D"/>
    <w:rsid w:val="00670B70"/>
    <w:rsid w:val="006745CE"/>
    <w:rsid w:val="006E74EB"/>
    <w:rsid w:val="00710099"/>
    <w:rsid w:val="00757B4C"/>
    <w:rsid w:val="00762942"/>
    <w:rsid w:val="00763D13"/>
    <w:rsid w:val="00797BB6"/>
    <w:rsid w:val="007B195A"/>
    <w:rsid w:val="007B701E"/>
    <w:rsid w:val="007C1FD3"/>
    <w:rsid w:val="007C4E73"/>
    <w:rsid w:val="007D3946"/>
    <w:rsid w:val="007D41FD"/>
    <w:rsid w:val="007E58C6"/>
    <w:rsid w:val="007E6D6C"/>
    <w:rsid w:val="00846EC5"/>
    <w:rsid w:val="008532B3"/>
    <w:rsid w:val="00871E69"/>
    <w:rsid w:val="00881929"/>
    <w:rsid w:val="0088243F"/>
    <w:rsid w:val="0089736F"/>
    <w:rsid w:val="008B0279"/>
    <w:rsid w:val="008C4CCC"/>
    <w:rsid w:val="008C709D"/>
    <w:rsid w:val="008C72D1"/>
    <w:rsid w:val="008C7377"/>
    <w:rsid w:val="008C7AA5"/>
    <w:rsid w:val="008E591F"/>
    <w:rsid w:val="008F3AA7"/>
    <w:rsid w:val="008F3F96"/>
    <w:rsid w:val="00905642"/>
    <w:rsid w:val="00942469"/>
    <w:rsid w:val="00946616"/>
    <w:rsid w:val="009637C8"/>
    <w:rsid w:val="0098251E"/>
    <w:rsid w:val="00993C9E"/>
    <w:rsid w:val="009A4607"/>
    <w:rsid w:val="009A5A01"/>
    <w:rsid w:val="009A6052"/>
    <w:rsid w:val="009A6792"/>
    <w:rsid w:val="009A6D1B"/>
    <w:rsid w:val="009B79D4"/>
    <w:rsid w:val="009C28D9"/>
    <w:rsid w:val="009C6080"/>
    <w:rsid w:val="009E05F2"/>
    <w:rsid w:val="009E2A34"/>
    <w:rsid w:val="009E70ED"/>
    <w:rsid w:val="009F4220"/>
    <w:rsid w:val="00A3572D"/>
    <w:rsid w:val="00A36D8E"/>
    <w:rsid w:val="00A37781"/>
    <w:rsid w:val="00A66A54"/>
    <w:rsid w:val="00AB179E"/>
    <w:rsid w:val="00AD7928"/>
    <w:rsid w:val="00B24C2F"/>
    <w:rsid w:val="00B25735"/>
    <w:rsid w:val="00B31917"/>
    <w:rsid w:val="00B33647"/>
    <w:rsid w:val="00B46E73"/>
    <w:rsid w:val="00B7484B"/>
    <w:rsid w:val="00B81625"/>
    <w:rsid w:val="00B87B37"/>
    <w:rsid w:val="00BD485C"/>
    <w:rsid w:val="00BF517B"/>
    <w:rsid w:val="00C22E5C"/>
    <w:rsid w:val="00C510C0"/>
    <w:rsid w:val="00C52A57"/>
    <w:rsid w:val="00C8000C"/>
    <w:rsid w:val="00C94A4D"/>
    <w:rsid w:val="00CB09DB"/>
    <w:rsid w:val="00CD6603"/>
    <w:rsid w:val="00CF4045"/>
    <w:rsid w:val="00CF69A0"/>
    <w:rsid w:val="00CF75C4"/>
    <w:rsid w:val="00D11022"/>
    <w:rsid w:val="00D25A6B"/>
    <w:rsid w:val="00D861AC"/>
    <w:rsid w:val="00D9213A"/>
    <w:rsid w:val="00DC5B30"/>
    <w:rsid w:val="00DE522C"/>
    <w:rsid w:val="00DF17FF"/>
    <w:rsid w:val="00E30640"/>
    <w:rsid w:val="00E32C49"/>
    <w:rsid w:val="00E55801"/>
    <w:rsid w:val="00E63EDF"/>
    <w:rsid w:val="00E67409"/>
    <w:rsid w:val="00E86273"/>
    <w:rsid w:val="00E96F15"/>
    <w:rsid w:val="00EA36AD"/>
    <w:rsid w:val="00ED0083"/>
    <w:rsid w:val="00ED771C"/>
    <w:rsid w:val="00EF2FF0"/>
    <w:rsid w:val="00EF63D6"/>
    <w:rsid w:val="00EF6662"/>
    <w:rsid w:val="00F030D8"/>
    <w:rsid w:val="00F06389"/>
    <w:rsid w:val="00F2544B"/>
    <w:rsid w:val="00F259D9"/>
    <w:rsid w:val="00F406B6"/>
    <w:rsid w:val="00F55463"/>
    <w:rsid w:val="00F76FEB"/>
    <w:rsid w:val="00F83D9F"/>
    <w:rsid w:val="00F8720E"/>
    <w:rsid w:val="00F94820"/>
    <w:rsid w:val="00FB278D"/>
    <w:rsid w:val="033E67F6"/>
    <w:rsid w:val="09426483"/>
    <w:rsid w:val="095660A9"/>
    <w:rsid w:val="16FB6BF7"/>
    <w:rsid w:val="1A9F6766"/>
    <w:rsid w:val="1E3D3153"/>
    <w:rsid w:val="214348D2"/>
    <w:rsid w:val="21CE1071"/>
    <w:rsid w:val="26A955B5"/>
    <w:rsid w:val="2DB8371F"/>
    <w:rsid w:val="2E0C5492"/>
    <w:rsid w:val="2FC15BAB"/>
    <w:rsid w:val="310E428E"/>
    <w:rsid w:val="31C15444"/>
    <w:rsid w:val="34A17798"/>
    <w:rsid w:val="36E474D0"/>
    <w:rsid w:val="37862735"/>
    <w:rsid w:val="38536B21"/>
    <w:rsid w:val="396C55F9"/>
    <w:rsid w:val="3EEB68D4"/>
    <w:rsid w:val="40D24765"/>
    <w:rsid w:val="45AD5439"/>
    <w:rsid w:val="4C9D1855"/>
    <w:rsid w:val="4D1A70D0"/>
    <w:rsid w:val="521B2E2F"/>
    <w:rsid w:val="537A1000"/>
    <w:rsid w:val="53EC78EE"/>
    <w:rsid w:val="54342332"/>
    <w:rsid w:val="551B071E"/>
    <w:rsid w:val="55695D90"/>
    <w:rsid w:val="56BE128C"/>
    <w:rsid w:val="5C3A721D"/>
    <w:rsid w:val="65592A89"/>
    <w:rsid w:val="68C242ED"/>
    <w:rsid w:val="74806D71"/>
    <w:rsid w:val="77601F9C"/>
    <w:rsid w:val="7B185464"/>
    <w:rsid w:val="7B7E7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5"/>
    <w:basedOn w:val="1"/>
    <w:next w:val="1"/>
    <w:qFormat/>
    <w:uiPriority w:val="0"/>
    <w:pPr>
      <w:keepNext/>
      <w:keepLines/>
      <w:numPr>
        <w:ilvl w:val="4"/>
        <w:numId w:val="1"/>
      </w:numPr>
      <w:spacing w:before="120" w:after="120"/>
      <w:outlineLvl w:val="4"/>
    </w:pPr>
    <w:rPr>
      <w:b/>
      <w:bCs/>
      <w:szCs w:val="28"/>
    </w:rPr>
  </w:style>
  <w:style w:type="paragraph" w:styleId="5">
    <w:name w:val="heading 6"/>
    <w:basedOn w:val="1"/>
    <w:next w:val="1"/>
    <w:qFormat/>
    <w:uiPriority w:val="0"/>
    <w:pPr>
      <w:keepNext/>
      <w:keepLines/>
      <w:numPr>
        <w:ilvl w:val="5"/>
        <w:numId w:val="1"/>
      </w:numPr>
      <w:spacing w:before="240" w:after="64" w:line="317" w:lineRule="auto"/>
      <w:outlineLvl w:val="5"/>
    </w:pPr>
    <w:rPr>
      <w:rFonts w:ascii="Arial" w:hAnsi="Arial"/>
      <w:b/>
      <w:bCs/>
    </w:rPr>
  </w:style>
  <w:style w:type="paragraph" w:styleId="6">
    <w:name w:val="heading 7"/>
    <w:basedOn w:val="1"/>
    <w:next w:val="1"/>
    <w:qFormat/>
    <w:uiPriority w:val="0"/>
    <w:pPr>
      <w:keepNext/>
      <w:keepLines/>
      <w:numPr>
        <w:ilvl w:val="6"/>
        <w:numId w:val="1"/>
      </w:numPr>
      <w:spacing w:before="240" w:after="64" w:line="317" w:lineRule="auto"/>
      <w:outlineLvl w:val="6"/>
    </w:pPr>
    <w:rPr>
      <w:b/>
      <w:bCs/>
    </w:rPr>
  </w:style>
  <w:style w:type="paragraph" w:styleId="7">
    <w:name w:val="heading 8"/>
    <w:basedOn w:val="1"/>
    <w:next w:val="1"/>
    <w:qFormat/>
    <w:uiPriority w:val="0"/>
    <w:pPr>
      <w:widowControl/>
      <w:numPr>
        <w:ilvl w:val="7"/>
        <w:numId w:val="1"/>
      </w:numPr>
      <w:overflowPunct w:val="0"/>
      <w:autoSpaceDE w:val="0"/>
      <w:autoSpaceDN w:val="0"/>
      <w:adjustRightInd w:val="0"/>
      <w:spacing w:before="240" w:after="60" w:line="360" w:lineRule="auto"/>
      <w:textAlignment w:val="baseline"/>
      <w:outlineLvl w:val="7"/>
    </w:pPr>
    <w:rPr>
      <w:rFonts w:ascii="Arial" w:hAnsi="Arial"/>
      <w:i/>
      <w:kern w:val="0"/>
      <w:sz w:val="24"/>
      <w:szCs w:val="20"/>
    </w:rPr>
  </w:style>
  <w:style w:type="paragraph" w:styleId="8">
    <w:name w:val="heading 9"/>
    <w:basedOn w:val="1"/>
    <w:next w:val="1"/>
    <w:qFormat/>
    <w:uiPriority w:val="0"/>
    <w:pPr>
      <w:widowControl/>
      <w:numPr>
        <w:ilvl w:val="8"/>
        <w:numId w:val="1"/>
      </w:numPr>
      <w:overflowPunct w:val="0"/>
      <w:autoSpaceDE w:val="0"/>
      <w:autoSpaceDN w:val="0"/>
      <w:adjustRightInd w:val="0"/>
      <w:spacing w:before="240" w:after="60" w:line="360" w:lineRule="auto"/>
      <w:textAlignment w:val="baseline"/>
      <w:outlineLvl w:val="8"/>
    </w:pPr>
    <w:rPr>
      <w:rFonts w:ascii="Arial" w:hAnsi="Arial"/>
      <w:i/>
      <w:kern w:val="0"/>
      <w:sz w:val="18"/>
      <w:szCs w:val="20"/>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9">
    <w:name w:val="Document Map"/>
    <w:basedOn w:val="1"/>
    <w:qFormat/>
    <w:uiPriority w:val="0"/>
    <w:pPr>
      <w:shd w:val="clear" w:color="auto" w:fill="000080"/>
    </w:pPr>
  </w:style>
  <w:style w:type="paragraph" w:styleId="10">
    <w:name w:val="annotation text"/>
    <w:basedOn w:val="1"/>
    <w:qFormat/>
    <w:uiPriority w:val="0"/>
    <w:pPr>
      <w:jc w:val="left"/>
    </w:pPr>
  </w:style>
  <w:style w:type="paragraph" w:styleId="11">
    <w:name w:val="Body Text Indent"/>
    <w:basedOn w:val="1"/>
    <w:qFormat/>
    <w:uiPriority w:val="0"/>
    <w:pPr>
      <w:adjustRightInd w:val="0"/>
      <w:snapToGrid w:val="0"/>
      <w:spacing w:line="560" w:lineRule="exact"/>
      <w:ind w:firstLine="640" w:firstLineChars="200"/>
    </w:pPr>
    <w:rPr>
      <w:rFonts w:ascii="楷体_GB2312" w:hAnsi="华文仿宋" w:eastAsia="楷体_GB2312"/>
      <w:sz w:val="32"/>
      <w:szCs w:val="32"/>
    </w:rPr>
  </w:style>
  <w:style w:type="paragraph" w:styleId="12">
    <w:name w:val="Balloon Text"/>
    <w:basedOn w:val="1"/>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HTML Preformatted"/>
    <w:basedOn w:val="1"/>
    <w:link w:val="2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00" w:firstLineChars="200"/>
      <w:jc w:val="left"/>
    </w:pPr>
    <w:rPr>
      <w:rFonts w:ascii="宋体" w:hAnsi="宋体" w:eastAsia="仿宋" w:cs="宋体"/>
      <w:kern w:val="0"/>
      <w:sz w:val="24"/>
    </w:rPr>
  </w:style>
  <w:style w:type="paragraph" w:styleId="16">
    <w:name w:val="Normal (Web)"/>
    <w:qFormat/>
    <w:uiPriority w:val="0"/>
    <w:pPr>
      <w:spacing w:before="100" w:beforeAutospacing="1" w:after="100" w:afterAutospacing="1"/>
    </w:pPr>
    <w:rPr>
      <w:rFonts w:ascii="宋体" w:hAnsi="宋体" w:eastAsia="宋体" w:cs="宋体"/>
      <w:sz w:val="24"/>
      <w:lang w:val="en-US" w:eastAsia="zh-CN" w:bidi="ar-SA"/>
    </w:rPr>
  </w:style>
  <w:style w:type="paragraph" w:styleId="17">
    <w:name w:val="annotation subject"/>
    <w:basedOn w:val="10"/>
    <w:next w:val="10"/>
    <w:qFormat/>
    <w:uiPriority w:val="0"/>
    <w:rPr>
      <w:b/>
      <w:bCs/>
    </w:rPr>
  </w:style>
  <w:style w:type="character" w:styleId="20">
    <w:name w:val="page number"/>
    <w:basedOn w:val="19"/>
    <w:qFormat/>
    <w:uiPriority w:val="0"/>
  </w:style>
  <w:style w:type="character" w:styleId="21">
    <w:name w:val="annotation reference"/>
    <w:basedOn w:val="19"/>
    <w:qFormat/>
    <w:uiPriority w:val="0"/>
    <w:rPr>
      <w:sz w:val="21"/>
      <w:szCs w:val="21"/>
    </w:rPr>
  </w:style>
  <w:style w:type="character" w:customStyle="1" w:styleId="22">
    <w:name w:val="HTML 预设格式 Char"/>
    <w:link w:val="15"/>
    <w:qFormat/>
    <w:uiPriority w:val="0"/>
    <w:rPr>
      <w:rFonts w:ascii="宋体" w:hAnsi="宋体" w:eastAsia="仿宋" w:cs="宋体"/>
      <w:sz w:val="24"/>
      <w:szCs w:val="24"/>
      <w:lang w:val="en-US" w:eastAsia="zh-CN" w:bidi="ar-SA"/>
    </w:rPr>
  </w:style>
  <w:style w:type="paragraph" w:customStyle="1" w:styleId="23">
    <w:name w:val="Char Char Char Char Char Char Char Char Char Char Char Char Char Char Char Char Char Char Char"/>
    <w:basedOn w:val="2"/>
    <w:qFormat/>
    <w:uiPriority w:val="0"/>
    <w:pPr>
      <w:snapToGrid w:val="0"/>
      <w:spacing w:before="240" w:after="240" w:line="348" w:lineRule="auto"/>
    </w:pPr>
  </w:style>
  <w:style w:type="paragraph" w:customStyle="1" w:styleId="24">
    <w:name w:val="样式 标题 2一级条标题l22Heading 2 CharH2H3二级h22nd levelheading ...1"/>
    <w:basedOn w:val="3"/>
    <w:qFormat/>
    <w:uiPriority w:val="0"/>
    <w:pPr>
      <w:numPr>
        <w:ilvl w:val="1"/>
        <w:numId w:val="1"/>
      </w:numPr>
      <w:spacing w:beforeLines="50" w:afterLines="50" w:line="240" w:lineRule="auto"/>
    </w:pPr>
    <w:rPr>
      <w:rFonts w:ascii="黑体" w:hAnsi="Times New Roman"/>
      <w:b w:val="0"/>
      <w:color w:val="000000"/>
    </w:rPr>
  </w:style>
  <w:style w:type="paragraph" w:customStyle="1" w:styleId="25">
    <w:name w:val="Char Char Char Char Char Char Char Char Char Char Char Char"/>
    <w:basedOn w:val="1"/>
    <w:qFormat/>
    <w:uiPriority w:val="0"/>
    <w:pPr>
      <w:spacing w:line="240" w:lineRule="atLeast"/>
      <w:ind w:left="420" w:firstLine="420"/>
    </w:pPr>
    <w:rPr>
      <w:rFonts w:eastAsia="方正仿宋简体"/>
      <w:kern w:val="0"/>
      <w:sz w:val="32"/>
      <w:szCs w:val="21"/>
    </w:rPr>
  </w:style>
  <w:style w:type="paragraph" w:customStyle="1" w:styleId="26">
    <w:name w:val="Char Char Char Char Char Char1 Char Char Char Char Char Char Char Char Char Char"/>
    <w:basedOn w:val="1"/>
    <w:qFormat/>
    <w:uiPriority w:val="0"/>
    <w:rPr>
      <w:szCs w:val="21"/>
    </w:rPr>
  </w:style>
  <w:style w:type="paragraph" w:customStyle="1" w:styleId="27">
    <w:name w:val="样式5"/>
    <w:basedOn w:val="2"/>
    <w:qFormat/>
    <w:uiPriority w:val="0"/>
    <w:pPr>
      <w:widowControl/>
      <w:numPr>
        <w:ilvl w:val="0"/>
        <w:numId w:val="1"/>
      </w:numPr>
      <w:tabs>
        <w:tab w:val="left" w:pos="794"/>
        <w:tab w:val="left" w:pos="2127"/>
        <w:tab w:val="left" w:pos="2410"/>
        <w:tab w:val="left" w:pos="2921"/>
        <w:tab w:val="left" w:pos="3261"/>
        <w:tab w:val="clear" w:pos="1276"/>
      </w:tabs>
      <w:overflowPunct w:val="0"/>
      <w:autoSpaceDE w:val="0"/>
      <w:autoSpaceDN w:val="0"/>
      <w:adjustRightInd w:val="0"/>
      <w:spacing w:beforeLines="50" w:afterLines="50" w:line="240" w:lineRule="auto"/>
      <w:jc w:val="center"/>
      <w:textAlignment w:val="baseline"/>
    </w:pPr>
    <w:rPr>
      <w:rFonts w:ascii="黑体" w:eastAsia="黑体"/>
      <w:b w:val="0"/>
      <w:kern w:val="0"/>
      <w:sz w:val="36"/>
      <w:szCs w:val="36"/>
      <w:lang w:val="en-GB"/>
    </w:rPr>
  </w:style>
  <w:style w:type="paragraph" w:customStyle="1" w:styleId="28">
    <w:name w:val="Char Char Char Char Char Char Char"/>
    <w:basedOn w:val="9"/>
    <w:qFormat/>
    <w:uiPriority w:val="0"/>
    <w:pPr>
      <w:numPr>
        <w:ilvl w:val="3"/>
        <w:numId w:val="1"/>
      </w:numPr>
      <w:adjustRightInd w:val="0"/>
      <w:spacing w:line="360" w:lineRule="auto"/>
      <w:jc w:val="center"/>
      <w:outlineLvl w:val="3"/>
    </w:pPr>
    <w:rPr>
      <w:rFonts w:ascii="Tahoma" w:hAnsi="Tahoma"/>
      <w:sz w:val="24"/>
    </w:rPr>
  </w:style>
  <w:style w:type="paragraph" w:customStyle="1" w:styleId="29">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0">
    <w:name w:val="样式 标题 3二级条标题h3第二层条第三层1.1.1 标题 3l3CT3h4Heading 3 - old...2"/>
    <w:basedOn w:val="1"/>
    <w:qFormat/>
    <w:uiPriority w:val="0"/>
    <w:pPr>
      <w:numPr>
        <w:ilvl w:val="2"/>
        <w:numId w:val="1"/>
      </w:numPr>
    </w:pPr>
  </w:style>
  <w:style w:type="paragraph" w:customStyle="1" w:styleId="31">
    <w:name w:val="_Style 12"/>
    <w:basedOn w:val="1"/>
    <w:qFormat/>
    <w:uiPriority w:val="0"/>
    <w:pPr>
      <w:widowControl/>
      <w:jc w:val="left"/>
    </w:pPr>
  </w:style>
  <w:style w:type="paragraph" w:customStyle="1" w:styleId="32">
    <w:name w:val="Char Char Char Char Char Char Char Char Char Char Char Char Char Char Char Char Char Char Char Char Char1 Char Char Char Char Char Char Char Char Char1 Char Char Char Char Char Char Char"/>
    <w:basedOn w:val="1"/>
    <w:qFormat/>
    <w:uiPriority w:val="0"/>
    <w:rPr>
      <w:rFonts w:eastAsia="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2503</Words>
  <Characters>2902</Characters>
  <Lines>23</Lines>
  <Paragraphs>6</Paragraphs>
  <TotalTime>0</TotalTime>
  <ScaleCrop>false</ScaleCrop>
  <LinksUpToDate>false</LinksUpToDate>
  <CharactersWithSpaces>2919</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2020-06-17T03:44:00Z</dcterms:created>
  <dc:creator>杨鸿</dc:creator>
  <cp:lastModifiedBy>马韵蕾</cp:lastModifiedBy>
  <cp:lastPrinted>2022-05-13T04:32:00Z</cp:lastPrinted>
  <dcterms:modified xsi:type="dcterms:W3CDTF">2022-05-15T09:01:33Z</dcterms:modified>
  <dc:title>关于盐边县2012年财政预算执行情况和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AB4DE96411224406B30BFE84607870FD</vt:lpwstr>
  </property>
</Properties>
</file>