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600" w:lineRule="exact"/>
        <w:jc w:val="center"/>
        <w:rPr>
          <w:rFonts w:ascii="Times New Roman" w:hAnsi="Times New Roman" w:eastAsia="方正小标宋_GBK"/>
          <w:sz w:val="36"/>
          <w:szCs w:val="36"/>
        </w:rPr>
      </w:pPr>
      <w:r>
        <w:rPr>
          <w:rFonts w:hint="eastAsia" w:ascii="Times New Roman" w:hAnsi="Times New Roman" w:eastAsia="方正小标宋_GBK"/>
          <w:sz w:val="36"/>
          <w:szCs w:val="36"/>
        </w:rPr>
        <w:t>盐边县</w:t>
      </w:r>
      <w:r>
        <w:rPr>
          <w:rFonts w:hint="eastAsia" w:ascii="Times New Roman" w:hAnsi="Times New Roman" w:eastAsia="方正小标宋_GBK"/>
          <w:sz w:val="36"/>
          <w:szCs w:val="36"/>
          <w:lang w:eastAsia="zh-CN"/>
        </w:rPr>
        <w:t>住房和城乡建设局</w:t>
      </w:r>
    </w:p>
    <w:p>
      <w:pPr>
        <w:pStyle w:val="2"/>
        <w:spacing w:line="600" w:lineRule="exact"/>
        <w:jc w:val="center"/>
        <w:rPr>
          <w:rFonts w:ascii="Times New Roman" w:hAnsi="Times New Roman" w:eastAsia="方正小标宋_GBK"/>
          <w:sz w:val="36"/>
          <w:szCs w:val="36"/>
        </w:rPr>
      </w:pPr>
      <w:r>
        <w:rPr>
          <w:rFonts w:ascii="Times New Roman" w:hAnsi="Times New Roman" w:eastAsia="方正小标宋_GBK"/>
          <w:sz w:val="36"/>
          <w:szCs w:val="36"/>
        </w:rPr>
        <w:t>部门预算整体绩效自评报告</w:t>
      </w:r>
    </w:p>
    <w:p>
      <w:pPr>
        <w:pStyle w:val="2"/>
        <w:spacing w:line="600" w:lineRule="exact"/>
        <w:ind w:firstLine="640" w:firstLineChars="200"/>
        <w:jc w:val="left"/>
        <w:rPr>
          <w:rFonts w:ascii="Times New Roman" w:hAnsi="Times New Roman" w:eastAsia="仿宋_GB2312"/>
          <w:sz w:val="32"/>
          <w:szCs w:val="32"/>
        </w:rPr>
      </w:pPr>
    </w:p>
    <w:p>
      <w:pPr>
        <w:widowControl/>
        <w:numPr>
          <w:ilvl w:val="0"/>
          <w:numId w:val="1"/>
        </w:numPr>
        <w:adjustRightInd w:val="0"/>
        <w:snapToGrid w:val="0"/>
        <w:spacing w:line="580" w:lineRule="exact"/>
        <w:ind w:firstLine="640" w:firstLineChars="200"/>
        <w:contextualSpacing/>
        <w:jc w:val="left"/>
        <w:rPr>
          <w:rFonts w:ascii="Times New Roman" w:hAnsi="Times New Roman" w:eastAsia="黑体"/>
          <w:sz w:val="32"/>
          <w:szCs w:val="32"/>
        </w:rPr>
      </w:pPr>
      <w:r>
        <w:rPr>
          <w:rFonts w:ascii="Times New Roman" w:hAnsi="Times New Roman" w:eastAsia="黑体"/>
          <w:sz w:val="32"/>
          <w:szCs w:val="32"/>
        </w:rPr>
        <w:t>部门概况</w:t>
      </w:r>
    </w:p>
    <w:p>
      <w:pPr>
        <w:widowControl/>
        <w:adjustRightInd w:val="0"/>
        <w:snapToGrid w:val="0"/>
        <w:spacing w:line="580" w:lineRule="exact"/>
        <w:ind w:firstLine="640" w:firstLineChars="200"/>
        <w:contextualSpacing/>
        <w:jc w:val="left"/>
        <w:rPr>
          <w:rFonts w:hint="eastAsia" w:ascii="仿宋_GB2312" w:hAnsi="仿宋_GB2312" w:eastAsia="仿宋_GB2312" w:cs="仿宋_GB2312"/>
          <w:sz w:val="32"/>
        </w:rPr>
      </w:pPr>
      <w:r>
        <w:rPr>
          <w:rFonts w:hint="eastAsia" w:ascii="仿宋_GB2312" w:hAnsi="仿宋_GB2312" w:eastAsia="仿宋_GB2312" w:cs="仿宋_GB2312"/>
          <w:sz w:val="32"/>
          <w:lang w:val="en-US" w:eastAsia="zh-CN"/>
        </w:rPr>
        <w:t>盐边县住房和城乡建设局</w:t>
      </w:r>
      <w:r>
        <w:rPr>
          <w:rFonts w:hint="eastAsia" w:ascii="仿宋_GB2312" w:hAnsi="仿宋_GB2312" w:eastAsia="仿宋_GB2312" w:cs="仿宋_GB2312"/>
          <w:sz w:val="32"/>
        </w:rPr>
        <w:t>下属非独立核算单位</w:t>
      </w:r>
      <w:r>
        <w:rPr>
          <w:rFonts w:hint="eastAsia" w:ascii="仿宋_GB2312" w:hAnsi="仿宋_GB2312" w:eastAsia="仿宋_GB2312" w:cs="仿宋_GB2312"/>
          <w:sz w:val="32"/>
          <w:lang w:val="en-US" w:eastAsia="zh-CN"/>
        </w:rPr>
        <w:t>2</w:t>
      </w:r>
      <w:r>
        <w:rPr>
          <w:rFonts w:hint="eastAsia" w:ascii="仿宋_GB2312" w:hAnsi="仿宋_GB2312" w:eastAsia="仿宋_GB2312" w:cs="仿宋_GB2312"/>
          <w:sz w:val="32"/>
        </w:rPr>
        <w:t>个，其中行政单位</w:t>
      </w:r>
      <w:r>
        <w:rPr>
          <w:rFonts w:hint="eastAsia" w:ascii="仿宋_GB2312" w:hAnsi="仿宋_GB2312" w:eastAsia="仿宋_GB2312" w:cs="仿宋_GB2312"/>
          <w:sz w:val="32"/>
          <w:lang w:val="en-US" w:eastAsia="zh-CN"/>
        </w:rPr>
        <w:t>0</w:t>
      </w:r>
      <w:r>
        <w:rPr>
          <w:rFonts w:hint="eastAsia" w:ascii="仿宋_GB2312" w:hAnsi="仿宋_GB2312" w:eastAsia="仿宋_GB2312" w:cs="仿宋_GB2312"/>
          <w:sz w:val="32"/>
        </w:rPr>
        <w:t>个，参照公务员法管理的事业单位</w:t>
      </w:r>
      <w:r>
        <w:rPr>
          <w:rFonts w:hint="eastAsia" w:ascii="仿宋_GB2312" w:hAnsi="仿宋_GB2312" w:eastAsia="仿宋_GB2312" w:cs="仿宋_GB2312"/>
          <w:sz w:val="32"/>
          <w:lang w:val="en-US" w:eastAsia="zh-CN"/>
        </w:rPr>
        <w:t>0</w:t>
      </w:r>
      <w:r>
        <w:rPr>
          <w:rFonts w:hint="eastAsia" w:ascii="仿宋_GB2312" w:hAnsi="仿宋_GB2312" w:eastAsia="仿宋_GB2312" w:cs="仿宋_GB2312"/>
          <w:sz w:val="32"/>
        </w:rPr>
        <w:t>个，其他事业单位</w:t>
      </w:r>
      <w:r>
        <w:rPr>
          <w:rFonts w:hint="eastAsia" w:ascii="仿宋_GB2312" w:hAnsi="仿宋_GB2312" w:eastAsia="仿宋_GB2312" w:cs="仿宋_GB2312"/>
          <w:sz w:val="32"/>
          <w:lang w:val="en-US" w:eastAsia="zh-CN"/>
        </w:rPr>
        <w:t>2</w:t>
      </w:r>
      <w:r>
        <w:rPr>
          <w:rFonts w:hint="eastAsia" w:ascii="仿宋_GB2312" w:hAnsi="仿宋_GB2312" w:eastAsia="仿宋_GB2312" w:cs="仿宋_GB2312"/>
          <w:sz w:val="32"/>
        </w:rPr>
        <w:t>个。主要包括：盐边县</w:t>
      </w:r>
      <w:r>
        <w:rPr>
          <w:rFonts w:hint="eastAsia" w:ascii="仿宋_GB2312" w:hAnsi="仿宋_GB2312" w:eastAsia="仿宋_GB2312" w:cs="仿宋_GB2312"/>
          <w:sz w:val="32"/>
          <w:lang w:eastAsia="zh-CN"/>
        </w:rPr>
        <w:t>城乡建设发展中心、盐边县房地产事务中心</w:t>
      </w:r>
      <w:r>
        <w:rPr>
          <w:rFonts w:hint="eastAsia" w:ascii="仿宋_GB2312" w:hAnsi="仿宋_GB2312" w:eastAsia="仿宋_GB2312" w:cs="仿宋_GB2312"/>
          <w:sz w:val="32"/>
        </w:rPr>
        <w:t>。</w:t>
      </w:r>
    </w:p>
    <w:p>
      <w:pPr>
        <w:widowControl/>
        <w:adjustRightInd w:val="0"/>
        <w:snapToGrid w:val="0"/>
        <w:spacing w:line="580" w:lineRule="exact"/>
        <w:ind w:firstLine="640" w:firstLineChars="200"/>
        <w:contextualSpacing/>
        <w:jc w:val="left"/>
        <w:rPr>
          <w:rFonts w:hint="eastAsia" w:ascii="黑体" w:hAnsi="黑体" w:eastAsia="黑体" w:cs="黑体"/>
          <w:color w:val="000000"/>
          <w:sz w:val="32"/>
          <w:szCs w:val="32"/>
        </w:rPr>
      </w:pPr>
      <w:r>
        <w:rPr>
          <w:rFonts w:hint="eastAsia" w:ascii="黑体" w:hAnsi="黑体" w:eastAsia="黑体" w:cs="黑体"/>
          <w:color w:val="000000"/>
          <w:sz w:val="32"/>
          <w:szCs w:val="32"/>
        </w:rPr>
        <w:t>（二）机构职能。</w:t>
      </w:r>
    </w:p>
    <w:p>
      <w:pPr>
        <w:ind w:firstLine="636"/>
        <w:rPr>
          <w:rFonts w:ascii="仿宋_GB2312" w:hAnsi="仿宋" w:eastAsia="仿宋_GB2312"/>
          <w:sz w:val="32"/>
          <w:szCs w:val="32"/>
        </w:rPr>
      </w:pPr>
      <w:r>
        <w:rPr>
          <w:rFonts w:hint="eastAsia" w:ascii="仿宋_GB2312" w:hAnsi="仿宋" w:eastAsia="仿宋_GB2312"/>
          <w:sz w:val="32"/>
          <w:szCs w:val="32"/>
        </w:rPr>
        <w:t>（一）</w:t>
      </w:r>
      <w:r>
        <w:rPr>
          <w:rFonts w:hint="eastAsia" w:ascii="仿宋_GB2312" w:hAnsi="仿宋" w:eastAsia="仿宋_GB2312"/>
          <w:sz w:val="32"/>
          <w:szCs w:val="32"/>
          <w:lang w:eastAsia="zh-CN"/>
        </w:rPr>
        <w:t>贯彻执行国家省市人民防空工作的方针政策和法律法规，拟订全县人民防空发展规划和有关政策。负责防空地下室的管理。负责组织发放防空警报和灾情警报，指导人民防空专业队伍建设，组织防空防灾演练。负责人民防空工程避难场所的建设与管理。制定人民防空宣传教育计划，开展避难知识宣传教育，普及公民防护基本知识和技能。负责人民防空工程使用费和人防易地建设费的征收和管理。</w:t>
      </w:r>
    </w:p>
    <w:p>
      <w:pPr>
        <w:ind w:firstLine="636"/>
        <w:rPr>
          <w:rFonts w:hint="eastAsia" w:ascii="仿宋_GB2312" w:hAnsi="仿宋" w:eastAsia="仿宋_GB2312"/>
          <w:sz w:val="32"/>
          <w:szCs w:val="32"/>
          <w:lang w:eastAsia="zh-CN"/>
        </w:rPr>
      </w:pPr>
      <w:r>
        <w:rPr>
          <w:rFonts w:hint="eastAsia" w:ascii="仿宋_GB2312" w:hAnsi="仿宋" w:eastAsia="仿宋_GB2312"/>
          <w:sz w:val="32"/>
          <w:szCs w:val="32"/>
        </w:rPr>
        <w:t>（二）</w:t>
      </w:r>
      <w:r>
        <w:rPr>
          <w:rFonts w:hint="eastAsia" w:ascii="仿宋_GB2312" w:hAnsi="仿宋" w:eastAsia="仿宋_GB2312"/>
          <w:sz w:val="32"/>
          <w:szCs w:val="32"/>
          <w:lang w:eastAsia="zh-CN"/>
        </w:rPr>
        <w:t>负责城市市政设施年度建设计划编制。指导城市市政设施建设和城市地铁、轨道交通等城市公共交通设施的建设。参与城市总体规划和专项规划编制和审核。参与城市市政基础设施建设项目竣工验收、移交工作。指导全县乡镇和村庄建设工作。指导全县公用设施建设、小城镇建设、建筑工匠培训和管理。</w:t>
      </w:r>
    </w:p>
    <w:p>
      <w:pPr>
        <w:ind w:firstLine="636"/>
        <w:rPr>
          <w:rFonts w:hint="eastAsia" w:ascii="仿宋_GB2312" w:hAnsi="仿宋" w:eastAsia="仿宋_GB2312"/>
          <w:sz w:val="32"/>
          <w:szCs w:val="32"/>
          <w:lang w:eastAsia="zh-CN"/>
        </w:rPr>
      </w:pPr>
      <w:r>
        <w:rPr>
          <w:rFonts w:hint="eastAsia" w:ascii="仿宋_GB2312" w:hAnsi="仿宋" w:eastAsia="仿宋_GB2312"/>
          <w:sz w:val="32"/>
          <w:szCs w:val="32"/>
        </w:rPr>
        <w:t>（三）</w:t>
      </w:r>
      <w:r>
        <w:rPr>
          <w:rFonts w:hint="eastAsia" w:ascii="仿宋_GB2312" w:hAnsi="仿宋" w:eastAsia="仿宋_GB2312"/>
          <w:sz w:val="32"/>
          <w:szCs w:val="32"/>
          <w:lang w:eastAsia="zh-CN"/>
        </w:rPr>
        <w:t>负责全县建设工程监理、检测、质量监督和工程造价工作；参与全县工程建设投资项目的可行性论证工作；负责全县建设工程施工许可的管理工作；承担全县建设工程勘察、设计的行业管理工作；负责全县建设工程勘察、设计及相关咨询单位的资质监管工作；负责工程建设项目的竣工验收备案；监督管理重点项目建设；指导、监督全县在工程建设、建设市场等方面的工作；负责住建系统项目入库材料的推进和协调、项目申报工作的管理、监督和考核，有效的做好住建系统项目的计划、申报、跟踪、验收。</w:t>
      </w:r>
    </w:p>
    <w:p>
      <w:pPr>
        <w:ind w:firstLine="636"/>
        <w:rPr>
          <w:rFonts w:hint="eastAsia" w:ascii="仿宋_GB2312" w:hAnsi="仿宋" w:eastAsia="仿宋_GB2312"/>
          <w:sz w:val="32"/>
          <w:szCs w:val="32"/>
          <w:lang w:eastAsia="zh-CN"/>
        </w:rPr>
      </w:pPr>
      <w:r>
        <w:rPr>
          <w:rFonts w:hint="eastAsia" w:ascii="仿宋_GB2312" w:hAnsi="仿宋" w:eastAsia="仿宋_GB2312"/>
          <w:sz w:val="32"/>
          <w:szCs w:val="32"/>
        </w:rPr>
        <w:t>（四）</w:t>
      </w:r>
      <w:r>
        <w:rPr>
          <w:rFonts w:hint="eastAsia" w:ascii="仿宋_GB2312" w:hAnsi="仿宋" w:eastAsia="仿宋_GB2312"/>
          <w:sz w:val="32"/>
          <w:szCs w:val="32"/>
          <w:lang w:eastAsia="zh-CN"/>
        </w:rPr>
        <w:t>贯彻执行工程质量监督政策和管理规章。研究拟订建筑行业安全保护措施。全面贯彻安全生产劳动保护的法律、法规及标准。负责房屋建筑和市政基础设施工程的施工质量、安全生产和文明施工管理工作。负责工程质量竣工验收备案管理工作。负责行业安全生产大检查。指挥、处理房屋建筑和市政基础设施建设工程质量和安全突发应急事件。组织或参与重大工程质量问题、安全事故调查处理。</w:t>
      </w:r>
    </w:p>
    <w:p>
      <w:pPr>
        <w:ind w:firstLine="636"/>
        <w:rPr>
          <w:rFonts w:ascii="仿宋_GB2312" w:hAnsi="仿宋" w:eastAsia="仿宋_GB2312"/>
          <w:sz w:val="32"/>
          <w:szCs w:val="32"/>
        </w:rPr>
      </w:pPr>
      <w:r>
        <w:rPr>
          <w:rFonts w:hint="eastAsia" w:ascii="仿宋_GB2312" w:hAnsi="仿宋" w:eastAsia="仿宋_GB2312"/>
          <w:sz w:val="32"/>
          <w:szCs w:val="32"/>
        </w:rPr>
        <w:t>（五）</w:t>
      </w:r>
      <w:r>
        <w:rPr>
          <w:rFonts w:hint="eastAsia" w:ascii="仿宋_GB2312" w:hAnsi="仿宋" w:eastAsia="仿宋_GB2312"/>
          <w:sz w:val="32"/>
          <w:szCs w:val="32"/>
          <w:lang w:eastAsia="zh-CN"/>
        </w:rPr>
        <w:t>负责住房保障和住房制度改革的调研工作，拟订全县住房保障和住房制度改革的规范性文件；组织拟订编制全县住房保障规划和年度计划、危旧房改造工作目标；指导全县农村住房建设、危房改造工作；负责全县享受廉租住房和经济适用住房、经济适用住房政策性补贴、县政府直接投资的公用租赁住房、限价商品房等事项保障对象的资格准入核准、公示、销售方案的认定等组织工作；指导政府组织的廉租住房、公共租赁住房等保障性住房的收购、分配及日常管理工作；牵头住房保障和住房制度改革统计工作；负责全县住房保障和住房制度改革工作的组织协调与推动，对政策实施和执行情况进行督查考核，配合有关部门查处违反住房保障、房改政策的行为。</w:t>
      </w:r>
    </w:p>
    <w:p>
      <w:pPr>
        <w:widowControl/>
        <w:adjustRightInd w:val="0"/>
        <w:snapToGrid w:val="0"/>
        <w:spacing w:line="580" w:lineRule="exact"/>
        <w:ind w:firstLine="640" w:firstLineChars="200"/>
        <w:contextualSpacing/>
        <w:jc w:val="left"/>
        <w:rPr>
          <w:rFonts w:hint="eastAsia" w:ascii="仿宋_GB2312" w:hAnsi="仿宋" w:eastAsia="仿宋_GB2312"/>
          <w:sz w:val="32"/>
          <w:szCs w:val="32"/>
          <w:lang w:eastAsia="zh-CN"/>
        </w:rPr>
      </w:pPr>
      <w:r>
        <w:rPr>
          <w:rFonts w:hint="eastAsia" w:ascii="仿宋_GB2312" w:hAnsi="仿宋" w:eastAsia="仿宋_GB2312"/>
          <w:sz w:val="32"/>
          <w:szCs w:val="32"/>
        </w:rPr>
        <w:t>（六）</w:t>
      </w:r>
      <w:r>
        <w:rPr>
          <w:rFonts w:hint="eastAsia" w:ascii="仿宋_GB2312" w:hAnsi="仿宋" w:eastAsia="仿宋_GB2312"/>
          <w:sz w:val="32"/>
          <w:szCs w:val="32"/>
          <w:lang w:eastAsia="zh-CN"/>
        </w:rPr>
        <w:t>研究拟订全县房地产业的发展规划、产业政策和规章制度。负责全县房地产业监督管理工作。负责房地产开发经营管理、物业管理、房屋产权交易和权属管理、房地产中介机构管理工作。负责房地产市场秩序的整治和监管。参与全县城镇土地开发项目土地拍卖条件意见及规划编制方案审核工作。</w:t>
      </w:r>
      <w:bookmarkStart w:id="0" w:name="_GoBack"/>
      <w:r>
        <w:rPr>
          <w:rFonts w:hint="eastAsia" w:ascii="仿宋_GB2312" w:hAnsi="仿宋" w:eastAsia="仿宋_GB2312"/>
          <w:sz w:val="32"/>
          <w:szCs w:val="32"/>
          <w:lang w:eastAsia="zh-CN"/>
        </w:rPr>
        <w:t>参与协调处理房地产交易的矛盾纠纷。</w:t>
      </w:r>
    </w:p>
    <w:bookmarkEnd w:id="0"/>
    <w:p>
      <w:pPr>
        <w:widowControl/>
        <w:adjustRightInd w:val="0"/>
        <w:snapToGrid w:val="0"/>
        <w:spacing w:line="580" w:lineRule="exact"/>
        <w:ind w:firstLine="640" w:firstLineChars="200"/>
        <w:contextualSpacing/>
        <w:jc w:val="left"/>
        <w:rPr>
          <w:rFonts w:hint="eastAsia" w:ascii="黑体" w:hAnsi="黑体" w:eastAsia="黑体" w:cs="黑体"/>
          <w:color w:val="000000"/>
          <w:sz w:val="32"/>
          <w:szCs w:val="32"/>
        </w:rPr>
      </w:pPr>
      <w:r>
        <w:rPr>
          <w:rFonts w:hint="eastAsia" w:ascii="黑体" w:hAnsi="黑体" w:eastAsia="黑体" w:cs="黑体"/>
          <w:color w:val="000000"/>
          <w:sz w:val="32"/>
          <w:szCs w:val="32"/>
        </w:rPr>
        <w:t>（三）人员概况。</w:t>
      </w:r>
    </w:p>
    <w:p>
      <w:pPr>
        <w:snapToGrid w:val="0"/>
        <w:spacing w:line="520" w:lineRule="exact"/>
        <w:ind w:firstLine="640" w:firstLineChars="200"/>
        <w:rPr>
          <w:rFonts w:ascii="仿宋_GB2312" w:hAnsi="仿宋" w:eastAsia="仿宋_GB2312"/>
          <w:sz w:val="32"/>
          <w:szCs w:val="32"/>
        </w:rPr>
      </w:pPr>
      <w:r>
        <w:rPr>
          <w:rFonts w:hint="eastAsia" w:ascii="仿宋_GB2312" w:hAnsi="仿宋" w:eastAsia="仿宋_GB2312"/>
          <w:color w:val="000000"/>
          <w:sz w:val="32"/>
          <w:szCs w:val="32"/>
        </w:rPr>
        <w:t xml:space="preserve"> </w:t>
      </w:r>
      <w:r>
        <w:rPr>
          <w:rFonts w:hint="eastAsia" w:ascii="仿宋_GB2312" w:hAnsi="仿宋" w:eastAsia="仿宋_GB2312"/>
          <w:color w:val="000000"/>
          <w:sz w:val="32"/>
          <w:szCs w:val="32"/>
          <w:lang w:val="en-US" w:eastAsia="zh-CN"/>
        </w:rPr>
        <w:t>2021年</w:t>
      </w:r>
      <w:r>
        <w:rPr>
          <w:rFonts w:hint="eastAsia" w:ascii="仿宋_GB2312" w:hAnsi="仿宋" w:eastAsia="仿宋_GB2312"/>
          <w:sz w:val="32"/>
          <w:szCs w:val="32"/>
        </w:rPr>
        <w:t>盐边县</w:t>
      </w:r>
      <w:r>
        <w:rPr>
          <w:rFonts w:hint="eastAsia" w:ascii="仿宋_GB2312" w:hAnsi="仿宋" w:eastAsia="仿宋_GB2312"/>
          <w:sz w:val="32"/>
          <w:szCs w:val="32"/>
          <w:lang w:eastAsia="zh-CN"/>
        </w:rPr>
        <w:t>住房和城乡建设</w:t>
      </w:r>
      <w:r>
        <w:rPr>
          <w:rFonts w:hint="eastAsia" w:ascii="仿宋_GB2312" w:hAnsi="仿宋" w:eastAsia="仿宋_GB2312"/>
          <w:sz w:val="32"/>
          <w:szCs w:val="32"/>
        </w:rPr>
        <w:t>局单位性质为行政单位，编制情况，行政编制</w:t>
      </w:r>
      <w:r>
        <w:rPr>
          <w:rFonts w:hint="eastAsia" w:ascii="仿宋_GB2312" w:hAnsi="仿宋" w:eastAsia="仿宋_GB2312"/>
          <w:sz w:val="32"/>
          <w:szCs w:val="32"/>
          <w:lang w:val="en-US" w:eastAsia="zh-CN"/>
        </w:rPr>
        <w:t>7</w:t>
      </w:r>
      <w:r>
        <w:rPr>
          <w:rFonts w:hint="eastAsia" w:ascii="仿宋_GB2312" w:hAnsi="仿宋" w:eastAsia="仿宋_GB2312"/>
          <w:sz w:val="32"/>
          <w:szCs w:val="32"/>
        </w:rPr>
        <w:t>名，</w:t>
      </w:r>
      <w:r>
        <w:rPr>
          <w:rFonts w:hint="eastAsia" w:ascii="仿宋_GB2312" w:hAnsi="仿宋" w:eastAsia="仿宋_GB2312"/>
          <w:sz w:val="32"/>
          <w:szCs w:val="32"/>
          <w:lang w:eastAsia="zh-CN"/>
        </w:rPr>
        <w:t>事业编制</w:t>
      </w:r>
      <w:r>
        <w:rPr>
          <w:rFonts w:hint="eastAsia" w:ascii="仿宋_GB2312" w:hAnsi="仿宋" w:eastAsia="仿宋_GB2312"/>
          <w:sz w:val="32"/>
          <w:szCs w:val="32"/>
          <w:lang w:val="en-US" w:eastAsia="zh-CN"/>
        </w:rPr>
        <w:t>25名</w:t>
      </w:r>
      <w:r>
        <w:rPr>
          <w:rFonts w:hint="eastAsia" w:ascii="仿宋_GB2312" w:hAnsi="仿宋" w:eastAsia="仿宋_GB2312"/>
          <w:sz w:val="32"/>
          <w:szCs w:val="32"/>
        </w:rPr>
        <w:t>，</w:t>
      </w:r>
      <w:r>
        <w:rPr>
          <w:rFonts w:hint="eastAsia" w:ascii="仿宋_GB2312" w:hAnsi="仿宋" w:eastAsia="仿宋_GB2312"/>
          <w:sz w:val="32"/>
          <w:szCs w:val="32"/>
          <w:lang w:eastAsia="zh-CN"/>
        </w:rPr>
        <w:t>机关工勤编制</w:t>
      </w:r>
      <w:r>
        <w:rPr>
          <w:rFonts w:hint="eastAsia" w:ascii="仿宋_GB2312" w:hAnsi="仿宋" w:eastAsia="仿宋_GB2312"/>
          <w:sz w:val="32"/>
          <w:szCs w:val="32"/>
          <w:lang w:val="en-US" w:eastAsia="zh-CN"/>
        </w:rPr>
        <w:t>1名，</w:t>
      </w:r>
      <w:r>
        <w:rPr>
          <w:rFonts w:hint="eastAsia" w:ascii="仿宋_GB2312" w:hAnsi="仿宋" w:eastAsia="仿宋_GB2312"/>
          <w:sz w:val="32"/>
          <w:szCs w:val="32"/>
        </w:rPr>
        <w:t>编制数</w:t>
      </w:r>
      <w:r>
        <w:rPr>
          <w:rFonts w:hint="eastAsia" w:ascii="仿宋_GB2312" w:hAnsi="仿宋" w:eastAsia="仿宋_GB2312"/>
          <w:sz w:val="32"/>
          <w:szCs w:val="32"/>
          <w:lang w:val="en-US" w:eastAsia="zh-CN"/>
        </w:rPr>
        <w:t>33</w:t>
      </w:r>
      <w:r>
        <w:rPr>
          <w:rFonts w:hint="eastAsia" w:ascii="仿宋_GB2312" w:hAnsi="仿宋" w:eastAsia="仿宋_GB2312"/>
          <w:sz w:val="32"/>
          <w:szCs w:val="32"/>
        </w:rPr>
        <w:t>名。年末实有人数</w:t>
      </w:r>
      <w:r>
        <w:rPr>
          <w:rFonts w:hint="eastAsia" w:ascii="仿宋_GB2312" w:hAnsi="仿宋" w:eastAsia="仿宋_GB2312"/>
          <w:sz w:val="32"/>
          <w:szCs w:val="32"/>
          <w:lang w:eastAsia="zh-CN"/>
        </w:rPr>
        <w:t>行政人员</w:t>
      </w:r>
      <w:r>
        <w:rPr>
          <w:rFonts w:hint="eastAsia" w:ascii="仿宋_GB2312" w:hAnsi="仿宋" w:eastAsia="仿宋_GB2312"/>
          <w:sz w:val="32"/>
          <w:szCs w:val="32"/>
          <w:lang w:val="en-US" w:eastAsia="zh-CN"/>
        </w:rPr>
        <w:t>7</w:t>
      </w:r>
      <w:r>
        <w:rPr>
          <w:rFonts w:hint="eastAsia" w:ascii="仿宋_GB2312" w:hAnsi="仿宋" w:eastAsia="仿宋_GB2312"/>
          <w:sz w:val="32"/>
          <w:szCs w:val="32"/>
        </w:rPr>
        <w:t>人，事业</w:t>
      </w:r>
      <w:r>
        <w:rPr>
          <w:rFonts w:hint="eastAsia" w:ascii="仿宋_GB2312" w:hAnsi="仿宋" w:eastAsia="仿宋_GB2312"/>
          <w:sz w:val="32"/>
          <w:szCs w:val="32"/>
          <w:lang w:eastAsia="zh-CN"/>
        </w:rPr>
        <w:t>人员</w:t>
      </w:r>
      <w:r>
        <w:rPr>
          <w:rFonts w:hint="eastAsia" w:ascii="仿宋_GB2312" w:hAnsi="仿宋" w:eastAsia="仿宋_GB2312"/>
          <w:sz w:val="32"/>
          <w:szCs w:val="32"/>
          <w:lang w:val="en-US" w:eastAsia="zh-CN"/>
        </w:rPr>
        <w:t>23</w:t>
      </w:r>
      <w:r>
        <w:rPr>
          <w:rFonts w:hint="eastAsia" w:ascii="仿宋_GB2312" w:hAnsi="仿宋" w:eastAsia="仿宋_GB2312"/>
          <w:sz w:val="32"/>
          <w:szCs w:val="32"/>
        </w:rPr>
        <w:t>人</w:t>
      </w:r>
      <w:r>
        <w:rPr>
          <w:rFonts w:hint="eastAsia" w:ascii="仿宋_GB2312" w:hAnsi="仿宋" w:eastAsia="仿宋_GB2312"/>
          <w:sz w:val="32"/>
          <w:szCs w:val="32"/>
          <w:lang w:eastAsia="zh-CN"/>
        </w:rPr>
        <w:t>，机关工勤人员</w:t>
      </w:r>
      <w:r>
        <w:rPr>
          <w:rFonts w:hint="eastAsia" w:ascii="仿宋_GB2312" w:hAnsi="仿宋" w:eastAsia="仿宋_GB2312"/>
          <w:sz w:val="32"/>
          <w:szCs w:val="32"/>
          <w:lang w:val="en-US" w:eastAsia="zh-CN"/>
        </w:rPr>
        <w:t>2人，县纪委派驻人员5人</w:t>
      </w:r>
      <w:r>
        <w:rPr>
          <w:rFonts w:hint="eastAsia" w:ascii="仿宋_GB2312" w:hAnsi="仿宋" w:eastAsia="仿宋_GB2312"/>
          <w:sz w:val="32"/>
          <w:szCs w:val="32"/>
        </w:rPr>
        <w:t>。</w:t>
      </w:r>
    </w:p>
    <w:p>
      <w:pPr>
        <w:snapToGrid w:val="0"/>
        <w:spacing w:line="520" w:lineRule="exact"/>
        <w:ind w:firstLine="640" w:firstLineChars="200"/>
        <w:rPr>
          <w:rFonts w:ascii="仿宋_GB2312" w:hAnsi="仿宋" w:eastAsia="仿宋_GB2312"/>
          <w:color w:val="000000"/>
          <w:sz w:val="32"/>
          <w:szCs w:val="32"/>
        </w:rPr>
      </w:pPr>
    </w:p>
    <w:p>
      <w:pPr>
        <w:pStyle w:val="2"/>
        <w:spacing w:line="600" w:lineRule="exact"/>
        <w:ind w:firstLine="640" w:firstLineChars="200"/>
        <w:jc w:val="left"/>
        <w:rPr>
          <w:rFonts w:ascii="Times New Roman" w:hAnsi="Times New Roman" w:eastAsia="仿宋_GB2312"/>
          <w:sz w:val="32"/>
          <w:szCs w:val="32"/>
        </w:rPr>
      </w:pPr>
      <w:r>
        <w:rPr>
          <w:rFonts w:ascii="Times New Roman" w:hAnsi="Times New Roman" w:eastAsia="黑体"/>
          <w:sz w:val="32"/>
          <w:szCs w:val="32"/>
        </w:rPr>
        <w:t>二、部门</w:t>
      </w:r>
      <w:r>
        <w:rPr>
          <w:rFonts w:hint="eastAsia" w:ascii="Times New Roman" w:hAnsi="Times New Roman" w:eastAsia="黑体"/>
          <w:sz w:val="32"/>
          <w:szCs w:val="32"/>
        </w:rPr>
        <w:t>财政</w:t>
      </w:r>
      <w:r>
        <w:rPr>
          <w:rFonts w:ascii="Times New Roman" w:hAnsi="Times New Roman" w:eastAsia="黑体"/>
          <w:sz w:val="32"/>
          <w:szCs w:val="32"/>
        </w:rPr>
        <w:t>资金基本情况</w:t>
      </w:r>
    </w:p>
    <w:p>
      <w:pPr>
        <w:widowControl/>
        <w:adjustRightInd w:val="0"/>
        <w:snapToGrid w:val="0"/>
        <w:spacing w:line="580" w:lineRule="exact"/>
        <w:ind w:firstLine="640" w:firstLineChars="200"/>
        <w:contextualSpacing/>
        <w:jc w:val="left"/>
        <w:rPr>
          <w:rFonts w:ascii="Times New Roman" w:hAnsi="Times New Roman" w:eastAsia="仿宋_GB2312"/>
          <w:color w:val="000000"/>
          <w:sz w:val="32"/>
          <w:szCs w:val="32"/>
        </w:rPr>
      </w:pPr>
      <w:r>
        <w:rPr>
          <w:rFonts w:ascii="Times New Roman" w:hAnsi="Times New Roman" w:eastAsia="仿宋_GB2312"/>
          <w:color w:val="000000"/>
          <w:sz w:val="32"/>
          <w:szCs w:val="32"/>
        </w:rPr>
        <w:t>（一）财政资金收入情况。</w:t>
      </w:r>
    </w:p>
    <w:p>
      <w:pPr>
        <w:spacing w:line="560" w:lineRule="exact"/>
        <w:ind w:firstLine="739" w:firstLineChars="231"/>
        <w:rPr>
          <w:rFonts w:hint="eastAsia" w:ascii="仿宋_GB2312" w:hAnsi="宋体" w:eastAsia="仿宋_GB2312" w:cs="仿宋_GB2312"/>
          <w:color w:val="000000"/>
          <w:kern w:val="0"/>
          <w:sz w:val="32"/>
          <w:szCs w:val="32"/>
          <w:shd w:val="clear" w:color="auto" w:fill="FFFFFF"/>
          <w:lang w:eastAsia="zh-CN"/>
        </w:rPr>
      </w:pPr>
      <w:r>
        <w:rPr>
          <w:rFonts w:hint="eastAsia" w:ascii="Times New Roman" w:hAnsi="Times New Roman" w:eastAsia="仿宋_GB2312"/>
          <w:color w:val="000000"/>
          <w:sz w:val="32"/>
          <w:szCs w:val="32"/>
        </w:rPr>
        <w:t xml:space="preserve"> </w:t>
      </w:r>
      <w:r>
        <w:rPr>
          <w:rFonts w:hint="eastAsia" w:ascii="仿宋_GB2312" w:hAnsi="宋体" w:eastAsia="仿宋_GB2312" w:cs="仿宋_GB2312"/>
          <w:color w:val="000000"/>
          <w:kern w:val="0"/>
          <w:sz w:val="32"/>
          <w:szCs w:val="32"/>
          <w:shd w:val="clear" w:color="auto" w:fill="FFFFFF"/>
        </w:rPr>
        <w:t>2021年度财政资金收入合计</w:t>
      </w:r>
      <w:r>
        <w:rPr>
          <w:rFonts w:hint="eastAsia" w:ascii="仿宋_GB2312" w:hAnsi="宋体" w:eastAsia="仿宋_GB2312" w:cs="仿宋_GB2312"/>
          <w:color w:val="000000"/>
          <w:kern w:val="0"/>
          <w:sz w:val="32"/>
          <w:szCs w:val="32"/>
          <w:shd w:val="clear" w:color="auto" w:fill="FFFFFF"/>
          <w:lang w:val="en-US" w:eastAsia="zh-CN"/>
        </w:rPr>
        <w:t>33758.43</w:t>
      </w:r>
      <w:r>
        <w:rPr>
          <w:rFonts w:hint="eastAsia" w:ascii="仿宋_GB2312" w:hAnsi="宋体" w:eastAsia="仿宋_GB2312" w:cs="仿宋_GB2312"/>
          <w:color w:val="000000"/>
          <w:kern w:val="0"/>
          <w:sz w:val="32"/>
          <w:szCs w:val="32"/>
          <w:shd w:val="clear" w:color="auto" w:fill="FFFFFF"/>
        </w:rPr>
        <w:t>万元，</w:t>
      </w:r>
      <w:r>
        <w:rPr>
          <w:rFonts w:hint="eastAsia" w:ascii="仿宋_GB2312" w:hAnsi="宋体" w:eastAsia="仿宋_GB2312" w:cs="仿宋_GB2312"/>
          <w:color w:val="000000"/>
          <w:kern w:val="0"/>
          <w:sz w:val="32"/>
          <w:szCs w:val="32"/>
          <w:shd w:val="clear" w:color="auto" w:fill="FFFFFF"/>
          <w:lang w:eastAsia="zh-CN"/>
        </w:rPr>
        <w:t>其中</w:t>
      </w:r>
      <w:r>
        <w:rPr>
          <w:rFonts w:hint="eastAsia" w:ascii="仿宋_GB2312" w:hAnsi="宋体" w:eastAsia="仿宋_GB2312" w:cs="仿宋_GB2312"/>
          <w:color w:val="000000"/>
          <w:kern w:val="0"/>
          <w:sz w:val="32"/>
          <w:szCs w:val="32"/>
          <w:shd w:val="clear" w:color="auto" w:fill="FFFFFF"/>
        </w:rPr>
        <w:t>一般公共预算财政拨款收入</w:t>
      </w:r>
      <w:r>
        <w:rPr>
          <w:rFonts w:hint="eastAsia" w:ascii="仿宋_GB2312" w:hAnsi="宋体" w:eastAsia="仿宋_GB2312" w:cs="仿宋_GB2312"/>
          <w:color w:val="000000"/>
          <w:kern w:val="0"/>
          <w:sz w:val="32"/>
          <w:szCs w:val="32"/>
          <w:shd w:val="clear" w:color="auto" w:fill="FFFFFF"/>
          <w:lang w:val="en-US" w:eastAsia="zh-CN"/>
        </w:rPr>
        <w:t>3444.05万元</w:t>
      </w:r>
      <w:r>
        <w:rPr>
          <w:rFonts w:hint="eastAsia" w:ascii="仿宋_GB2312" w:hAnsi="宋体" w:eastAsia="仿宋_GB2312" w:cs="仿宋_GB2312"/>
          <w:color w:val="000000"/>
          <w:kern w:val="0"/>
          <w:sz w:val="32"/>
          <w:szCs w:val="32"/>
          <w:shd w:val="clear" w:color="auto" w:fill="FFFFFF"/>
        </w:rPr>
        <w:t>，</w:t>
      </w:r>
      <w:r>
        <w:rPr>
          <w:rFonts w:hint="eastAsia" w:ascii="仿宋_GB2312" w:hAnsi="宋体" w:eastAsia="仿宋_GB2312" w:cs="仿宋_GB2312"/>
          <w:color w:val="000000"/>
          <w:kern w:val="0"/>
          <w:sz w:val="32"/>
          <w:szCs w:val="32"/>
          <w:shd w:val="clear" w:color="auto" w:fill="FFFFFF"/>
          <w:lang w:eastAsia="zh-CN"/>
        </w:rPr>
        <w:t>政府性基金预算财政拨款收入</w:t>
      </w:r>
      <w:r>
        <w:rPr>
          <w:rFonts w:hint="eastAsia" w:ascii="仿宋_GB2312" w:hAnsi="宋体" w:eastAsia="仿宋_GB2312" w:cs="仿宋_GB2312"/>
          <w:color w:val="000000"/>
          <w:kern w:val="0"/>
          <w:sz w:val="32"/>
          <w:szCs w:val="32"/>
          <w:shd w:val="clear" w:color="auto" w:fill="FFFFFF"/>
          <w:lang w:val="en-US" w:eastAsia="zh-CN"/>
        </w:rPr>
        <w:t>30314.38万元。</w:t>
      </w:r>
      <w:r>
        <w:rPr>
          <w:rFonts w:hint="eastAsia" w:ascii="仿宋_GB2312" w:hAnsi="宋体" w:eastAsia="仿宋_GB2312" w:cs="仿宋_GB2312"/>
          <w:color w:val="000000"/>
          <w:kern w:val="0"/>
          <w:sz w:val="32"/>
          <w:szCs w:val="32"/>
          <w:shd w:val="clear" w:color="auto" w:fill="FFFFFF"/>
        </w:rPr>
        <w:t>年初结转资金</w:t>
      </w:r>
      <w:r>
        <w:rPr>
          <w:rFonts w:hint="eastAsia" w:ascii="仿宋_GB2312" w:hAnsi="宋体" w:eastAsia="仿宋_GB2312" w:cs="仿宋_GB2312"/>
          <w:color w:val="000000"/>
          <w:kern w:val="0"/>
          <w:sz w:val="32"/>
          <w:szCs w:val="32"/>
          <w:shd w:val="clear" w:color="auto" w:fill="FFFFFF"/>
          <w:lang w:val="en-US" w:eastAsia="zh-CN"/>
        </w:rPr>
        <w:t>5291.90</w:t>
      </w:r>
      <w:r>
        <w:rPr>
          <w:rFonts w:hint="eastAsia" w:ascii="仿宋_GB2312" w:hAnsi="宋体" w:eastAsia="仿宋_GB2312" w:cs="仿宋_GB2312"/>
          <w:color w:val="000000"/>
          <w:kern w:val="0"/>
          <w:sz w:val="32"/>
          <w:szCs w:val="32"/>
          <w:shd w:val="clear" w:color="auto" w:fill="FFFFFF"/>
        </w:rPr>
        <w:t>万元</w:t>
      </w:r>
      <w:r>
        <w:rPr>
          <w:rFonts w:hint="eastAsia" w:ascii="仿宋_GB2312" w:hAnsi="宋体" w:eastAsia="仿宋_GB2312" w:cs="仿宋_GB2312"/>
          <w:color w:val="000000"/>
          <w:kern w:val="0"/>
          <w:sz w:val="32"/>
          <w:szCs w:val="32"/>
          <w:shd w:val="clear" w:color="auto" w:fill="FFFFFF"/>
          <w:lang w:eastAsia="zh-CN"/>
        </w:rPr>
        <w:t>。</w:t>
      </w:r>
    </w:p>
    <w:p>
      <w:pPr>
        <w:widowControl/>
        <w:adjustRightInd w:val="0"/>
        <w:snapToGrid w:val="0"/>
        <w:spacing w:line="580" w:lineRule="exact"/>
        <w:ind w:firstLine="640" w:firstLineChars="200"/>
        <w:contextualSpacing/>
        <w:jc w:val="left"/>
        <w:rPr>
          <w:rFonts w:ascii="Times New Roman" w:hAnsi="Times New Roman" w:eastAsia="仿宋_GB2312"/>
          <w:color w:val="000000"/>
          <w:sz w:val="32"/>
          <w:szCs w:val="32"/>
        </w:rPr>
      </w:pPr>
      <w:r>
        <w:rPr>
          <w:rFonts w:ascii="Times New Roman" w:hAnsi="Times New Roman" w:eastAsia="仿宋_GB2312"/>
          <w:color w:val="000000"/>
          <w:sz w:val="32"/>
          <w:szCs w:val="32"/>
        </w:rPr>
        <w:t>（二）财政资金支出情况。</w:t>
      </w:r>
    </w:p>
    <w:p>
      <w:pPr>
        <w:snapToGrid w:val="0"/>
        <w:spacing w:line="520" w:lineRule="exact"/>
        <w:ind w:firstLine="640" w:firstLineChars="200"/>
        <w:rPr>
          <w:rFonts w:ascii="仿宋_GB2312" w:hAnsi="仿宋" w:eastAsia="仿宋_GB2312"/>
          <w:sz w:val="32"/>
          <w:szCs w:val="32"/>
        </w:rPr>
      </w:pPr>
      <w:r>
        <w:rPr>
          <w:rFonts w:hint="eastAsia" w:ascii="仿宋_GB2312" w:hAnsi="仿宋" w:eastAsia="仿宋_GB2312"/>
          <w:sz w:val="32"/>
          <w:szCs w:val="32"/>
        </w:rPr>
        <w:t>2021年基本支出安排</w:t>
      </w:r>
      <w:r>
        <w:rPr>
          <w:rFonts w:hint="eastAsia" w:ascii="仿宋_GB2312" w:hAnsi="仿宋" w:eastAsia="仿宋_GB2312"/>
          <w:sz w:val="32"/>
          <w:szCs w:val="32"/>
          <w:lang w:val="en-US" w:eastAsia="zh-CN"/>
        </w:rPr>
        <w:t>721.63</w:t>
      </w:r>
      <w:r>
        <w:rPr>
          <w:rFonts w:hint="eastAsia" w:ascii="仿宋_GB2312" w:hAnsi="仿宋" w:eastAsia="仿宋_GB2312"/>
          <w:sz w:val="32"/>
          <w:szCs w:val="32"/>
        </w:rPr>
        <w:t>万元</w:t>
      </w:r>
      <w:r>
        <w:rPr>
          <w:rFonts w:hint="eastAsia" w:ascii="仿宋_GB2312" w:hAnsi="仿宋" w:eastAsia="仿宋_GB2312"/>
          <w:sz w:val="32"/>
          <w:szCs w:val="32"/>
          <w:lang w:eastAsia="zh-CN"/>
        </w:rPr>
        <w:t>。</w:t>
      </w:r>
      <w:r>
        <w:rPr>
          <w:rFonts w:hint="eastAsia" w:ascii="仿宋_GB2312" w:hAnsi="仿宋" w:eastAsia="仿宋_GB2312"/>
          <w:sz w:val="32"/>
          <w:szCs w:val="32"/>
        </w:rPr>
        <w:t>按支出功能科目分类，社会保障和就业支出</w:t>
      </w:r>
      <w:r>
        <w:rPr>
          <w:rFonts w:hint="eastAsia" w:ascii="仿宋_GB2312" w:hAnsi="仿宋" w:eastAsia="仿宋_GB2312"/>
          <w:sz w:val="32"/>
          <w:szCs w:val="32"/>
          <w:lang w:val="en-US" w:eastAsia="zh-CN"/>
        </w:rPr>
        <w:t>99.13</w:t>
      </w:r>
      <w:r>
        <w:rPr>
          <w:rFonts w:hint="eastAsia" w:ascii="仿宋_GB2312" w:hAnsi="仿宋" w:eastAsia="仿宋_GB2312"/>
          <w:sz w:val="32"/>
          <w:szCs w:val="32"/>
        </w:rPr>
        <w:t>万元(主要发生于机关事业单位基本养老保险费、职业年金缴费、退休职工福利费、退休职工生活补助、退休职工死亡抚恤金、伤残抚恤金)；卫生健康支出</w:t>
      </w:r>
      <w:r>
        <w:rPr>
          <w:rFonts w:hint="eastAsia" w:ascii="仿宋_GB2312" w:hAnsi="仿宋" w:eastAsia="仿宋_GB2312"/>
          <w:sz w:val="32"/>
          <w:szCs w:val="32"/>
          <w:lang w:val="en-US" w:eastAsia="zh-CN"/>
        </w:rPr>
        <w:t>33.32</w:t>
      </w:r>
      <w:r>
        <w:rPr>
          <w:rFonts w:hint="eastAsia" w:ascii="仿宋_GB2312" w:hAnsi="仿宋" w:eastAsia="仿宋_GB2312"/>
          <w:sz w:val="32"/>
          <w:szCs w:val="32"/>
        </w:rPr>
        <w:t>万元（主要发生于职工基本医疗保险缴费、公务员医疗补助缴费）；</w:t>
      </w:r>
      <w:r>
        <w:rPr>
          <w:rFonts w:hint="eastAsia" w:ascii="仿宋_GB2312" w:hAnsi="仿宋" w:eastAsia="仿宋_GB2312"/>
          <w:sz w:val="32"/>
          <w:szCs w:val="32"/>
          <w:lang w:eastAsia="zh-CN"/>
        </w:rPr>
        <w:t>城乡社区</w:t>
      </w:r>
      <w:r>
        <w:rPr>
          <w:rFonts w:hint="eastAsia" w:ascii="仿宋_GB2312" w:hAnsi="仿宋" w:eastAsia="仿宋_GB2312"/>
          <w:sz w:val="32"/>
          <w:szCs w:val="32"/>
        </w:rPr>
        <w:t>支出</w:t>
      </w:r>
      <w:r>
        <w:rPr>
          <w:rFonts w:hint="eastAsia" w:ascii="仿宋_GB2312" w:hAnsi="仿宋" w:eastAsia="仿宋_GB2312"/>
          <w:sz w:val="32"/>
          <w:szCs w:val="32"/>
          <w:lang w:val="en-US" w:eastAsia="zh-CN"/>
        </w:rPr>
        <w:t>437.26</w:t>
      </w:r>
      <w:r>
        <w:rPr>
          <w:rFonts w:hint="eastAsia" w:ascii="仿宋_GB2312" w:hAnsi="仿宋" w:eastAsia="仿宋_GB2312"/>
          <w:sz w:val="32"/>
          <w:szCs w:val="32"/>
        </w:rPr>
        <w:t>万元（主要发生于工资福利支出，单位日常公用经费）；住房保障支出</w:t>
      </w:r>
      <w:r>
        <w:rPr>
          <w:rFonts w:hint="eastAsia" w:ascii="仿宋_GB2312" w:hAnsi="仿宋" w:eastAsia="仿宋_GB2312"/>
          <w:sz w:val="32"/>
          <w:szCs w:val="32"/>
          <w:lang w:val="en-US" w:eastAsia="zh-CN"/>
        </w:rPr>
        <w:t>151.92</w:t>
      </w:r>
      <w:r>
        <w:rPr>
          <w:rFonts w:hint="eastAsia" w:ascii="仿宋_GB2312" w:hAnsi="仿宋" w:eastAsia="仿宋_GB2312"/>
          <w:sz w:val="32"/>
          <w:szCs w:val="32"/>
        </w:rPr>
        <w:t>万元（发生于住房公积金</w:t>
      </w:r>
      <w:r>
        <w:rPr>
          <w:rFonts w:hint="eastAsia" w:ascii="仿宋_GB2312" w:hAnsi="仿宋" w:eastAsia="仿宋_GB2312"/>
          <w:sz w:val="32"/>
          <w:szCs w:val="32"/>
          <w:lang w:eastAsia="zh-CN"/>
        </w:rPr>
        <w:t>，购房补贴</w:t>
      </w:r>
      <w:r>
        <w:rPr>
          <w:rFonts w:hint="eastAsia" w:ascii="仿宋_GB2312" w:hAnsi="仿宋" w:eastAsia="仿宋_GB2312"/>
          <w:sz w:val="32"/>
          <w:szCs w:val="32"/>
        </w:rPr>
        <w:t>）。</w:t>
      </w:r>
    </w:p>
    <w:p>
      <w:pPr>
        <w:snapToGrid w:val="0"/>
        <w:spacing w:line="520" w:lineRule="exact"/>
        <w:ind w:left="19" w:leftChars="9" w:firstLine="617" w:firstLineChars="193"/>
        <w:rPr>
          <w:rFonts w:ascii="仿宋_GB2312" w:hAnsi="仿宋" w:eastAsia="仿宋_GB2312"/>
          <w:sz w:val="32"/>
          <w:szCs w:val="32"/>
        </w:rPr>
      </w:pPr>
      <w:r>
        <w:rPr>
          <w:rFonts w:hint="eastAsia" w:ascii="仿宋_GB2312" w:hAnsi="仿宋" w:eastAsia="仿宋_GB2312"/>
          <w:sz w:val="32"/>
          <w:szCs w:val="32"/>
        </w:rPr>
        <w:t>2021年基本支出安排</w:t>
      </w:r>
      <w:r>
        <w:rPr>
          <w:rFonts w:hint="eastAsia" w:ascii="仿宋_GB2312" w:hAnsi="仿宋" w:eastAsia="仿宋_GB2312"/>
          <w:sz w:val="32"/>
          <w:szCs w:val="32"/>
          <w:lang w:val="en-US" w:eastAsia="zh-CN"/>
        </w:rPr>
        <w:t>721.63</w:t>
      </w:r>
      <w:r>
        <w:rPr>
          <w:rFonts w:hint="eastAsia" w:ascii="仿宋_GB2312" w:hAnsi="仿宋" w:eastAsia="仿宋_GB2312"/>
          <w:sz w:val="32"/>
          <w:szCs w:val="32"/>
        </w:rPr>
        <w:t>万元，其中人员经费</w:t>
      </w:r>
      <w:r>
        <w:rPr>
          <w:rFonts w:hint="eastAsia" w:ascii="仿宋_GB2312" w:hAnsi="仿宋" w:eastAsia="仿宋_GB2312"/>
          <w:sz w:val="32"/>
          <w:szCs w:val="32"/>
          <w:lang w:val="en-US" w:eastAsia="zh-CN"/>
        </w:rPr>
        <w:t>680.41</w:t>
      </w:r>
      <w:r>
        <w:rPr>
          <w:rFonts w:hint="eastAsia" w:ascii="仿宋_GB2312" w:hAnsi="仿宋" w:eastAsia="仿宋_GB2312"/>
          <w:sz w:val="32"/>
          <w:szCs w:val="32"/>
        </w:rPr>
        <w:t>万元，日常公用经费</w:t>
      </w:r>
      <w:r>
        <w:rPr>
          <w:rFonts w:hint="eastAsia" w:ascii="仿宋_GB2312" w:hAnsi="仿宋" w:eastAsia="仿宋_GB2312"/>
          <w:sz w:val="32"/>
          <w:szCs w:val="32"/>
          <w:lang w:val="en-US" w:eastAsia="zh-CN"/>
        </w:rPr>
        <w:t>41.22</w:t>
      </w:r>
      <w:r>
        <w:rPr>
          <w:rFonts w:hint="eastAsia" w:ascii="仿宋_GB2312" w:hAnsi="仿宋" w:eastAsia="仿宋_GB2312"/>
          <w:sz w:val="32"/>
          <w:szCs w:val="32"/>
        </w:rPr>
        <w:t>万元。</w:t>
      </w:r>
    </w:p>
    <w:p>
      <w:pPr>
        <w:pStyle w:val="2"/>
        <w:spacing w:line="600" w:lineRule="exact"/>
        <w:ind w:firstLine="640" w:firstLineChars="200"/>
        <w:jc w:val="left"/>
        <w:rPr>
          <w:rFonts w:ascii="Times New Roman" w:hAnsi="Times New Roman" w:eastAsia="仿宋_GB2312"/>
          <w:sz w:val="32"/>
          <w:szCs w:val="32"/>
        </w:rPr>
      </w:pPr>
      <w:r>
        <w:rPr>
          <w:rFonts w:hint="eastAsia" w:ascii="仿宋_GB2312" w:hAnsi="仿宋" w:eastAsia="仿宋_GB2312"/>
          <w:sz w:val="32"/>
          <w:szCs w:val="32"/>
        </w:rPr>
        <w:t>2.</w:t>
      </w:r>
      <w:r>
        <w:rPr>
          <w:rFonts w:ascii="Times New Roman" w:hAnsi="Times New Roman" w:eastAsia="仿宋_GB2312"/>
          <w:sz w:val="32"/>
          <w:szCs w:val="32"/>
        </w:rPr>
        <w:t>部门预算项目安排及支出情况</w:t>
      </w:r>
    </w:p>
    <w:p>
      <w:pPr>
        <w:pStyle w:val="2"/>
        <w:spacing w:line="60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部门预算项目支出安排</w:t>
      </w:r>
      <w:r>
        <w:rPr>
          <w:rFonts w:hint="eastAsia" w:ascii="仿宋_GB2312" w:hAnsi="仿宋" w:eastAsia="仿宋_GB2312"/>
          <w:sz w:val="32"/>
          <w:szCs w:val="32"/>
          <w:lang w:val="en-US" w:eastAsia="zh-CN"/>
        </w:rPr>
        <w:t>38328.70</w:t>
      </w:r>
      <w:r>
        <w:rPr>
          <w:rFonts w:hint="eastAsia" w:ascii="仿宋_GB2312" w:hAnsi="仿宋" w:eastAsia="仿宋_GB2312"/>
          <w:sz w:val="32"/>
          <w:szCs w:val="32"/>
        </w:rPr>
        <w:t>万元。</w:t>
      </w:r>
    </w:p>
    <w:p>
      <w:pPr>
        <w:pStyle w:val="2"/>
        <w:spacing w:line="60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w:t>
      </w:r>
      <w:r>
        <w:rPr>
          <w:rFonts w:hint="eastAsia" w:ascii="Times New Roman" w:hAnsi="Times New Roman" w:eastAsia="仿宋_GB2312"/>
          <w:sz w:val="32"/>
          <w:szCs w:val="32"/>
        </w:rPr>
        <w:t>三</w:t>
      </w:r>
      <w:r>
        <w:rPr>
          <w:rFonts w:ascii="Times New Roman" w:hAnsi="Times New Roman" w:eastAsia="仿宋_GB2312"/>
          <w:sz w:val="32"/>
          <w:szCs w:val="32"/>
        </w:rPr>
        <w:t>）财政资金</w:t>
      </w:r>
      <w:r>
        <w:rPr>
          <w:rFonts w:hint="eastAsia" w:ascii="Times New Roman" w:hAnsi="Times New Roman" w:eastAsia="仿宋_GB2312"/>
          <w:sz w:val="32"/>
          <w:szCs w:val="32"/>
        </w:rPr>
        <w:t>结转结余</w:t>
      </w:r>
      <w:r>
        <w:rPr>
          <w:rFonts w:ascii="Times New Roman" w:hAnsi="Times New Roman" w:eastAsia="仿宋_GB2312"/>
          <w:sz w:val="32"/>
          <w:szCs w:val="32"/>
        </w:rPr>
        <w:t>情况。</w:t>
      </w:r>
    </w:p>
    <w:p>
      <w:pPr>
        <w:pStyle w:val="2"/>
        <w:spacing w:line="600" w:lineRule="exact"/>
        <w:ind w:firstLine="640" w:firstLineChars="200"/>
        <w:jc w:val="left"/>
        <w:rPr>
          <w:rFonts w:ascii="Times New Roman" w:hAnsi="Times New Roman" w:eastAsia="仿宋_GB2312"/>
          <w:sz w:val="32"/>
          <w:szCs w:val="32"/>
        </w:rPr>
      </w:pPr>
      <w:r>
        <w:rPr>
          <w:rFonts w:hint="eastAsia" w:ascii="Times New Roman" w:hAnsi="Times New Roman" w:eastAsia="仿宋_GB2312"/>
          <w:sz w:val="32"/>
          <w:szCs w:val="32"/>
        </w:rPr>
        <w:t xml:space="preserve"> 2021年我单位没有结转结余资金。</w:t>
      </w:r>
    </w:p>
    <w:p>
      <w:pPr>
        <w:widowControl/>
        <w:adjustRightInd w:val="0"/>
        <w:snapToGrid w:val="0"/>
        <w:spacing w:line="580" w:lineRule="exact"/>
        <w:ind w:firstLine="640" w:firstLineChars="200"/>
        <w:contextualSpacing/>
        <w:jc w:val="left"/>
        <w:rPr>
          <w:rFonts w:ascii="Times New Roman" w:hAnsi="Times New Roman" w:eastAsia="黑体"/>
          <w:color w:val="000000"/>
          <w:sz w:val="32"/>
          <w:szCs w:val="32"/>
        </w:rPr>
      </w:pPr>
      <w:r>
        <w:rPr>
          <w:rFonts w:ascii="Times New Roman" w:hAnsi="Times New Roman" w:eastAsia="黑体"/>
          <w:color w:val="000000"/>
          <w:sz w:val="32"/>
          <w:szCs w:val="32"/>
        </w:rPr>
        <w:t>三、部门预算绩效管理情况</w:t>
      </w:r>
    </w:p>
    <w:p>
      <w:pPr>
        <w:widowControl/>
        <w:adjustRightInd w:val="0"/>
        <w:snapToGrid w:val="0"/>
        <w:spacing w:line="580" w:lineRule="exact"/>
        <w:ind w:firstLine="640" w:firstLineChars="200"/>
        <w:contextualSpacing/>
        <w:jc w:val="left"/>
        <w:rPr>
          <w:rFonts w:ascii="Times New Roman" w:hAnsi="Times New Roman" w:eastAsia="仿宋_GB2312"/>
          <w:color w:val="000000"/>
          <w:sz w:val="32"/>
          <w:szCs w:val="32"/>
        </w:rPr>
      </w:pPr>
      <w:r>
        <w:rPr>
          <w:rFonts w:ascii="Times New Roman" w:hAnsi="Times New Roman" w:eastAsia="仿宋_GB2312"/>
          <w:color w:val="000000"/>
          <w:sz w:val="32"/>
          <w:szCs w:val="32"/>
        </w:rPr>
        <w:t>（一）部门预算绩效管理。</w:t>
      </w:r>
    </w:p>
    <w:p>
      <w:pPr>
        <w:ind w:firstLine="640" w:firstLineChars="200"/>
        <w:rPr>
          <w:rFonts w:ascii="仿宋_GB2312" w:hAnsi="仿宋_GB2312" w:eastAsia="仿宋_GB2312"/>
          <w:bCs/>
          <w:color w:val="000000"/>
          <w:sz w:val="32"/>
          <w:szCs w:val="28"/>
        </w:rPr>
      </w:pPr>
      <w:r>
        <w:rPr>
          <w:rFonts w:hint="eastAsia" w:ascii="仿宋_GB2312" w:hAnsi="仿宋_GB2312" w:eastAsia="仿宋_GB2312"/>
          <w:bCs/>
          <w:color w:val="000000"/>
          <w:sz w:val="32"/>
          <w:szCs w:val="28"/>
        </w:rPr>
        <w:t>我</w:t>
      </w:r>
      <w:r>
        <w:rPr>
          <w:rFonts w:hint="eastAsia" w:ascii="仿宋_GB2312" w:hAnsi="仿宋_GB2312" w:eastAsia="仿宋_GB2312"/>
          <w:bCs/>
          <w:color w:val="000000"/>
          <w:sz w:val="32"/>
          <w:szCs w:val="28"/>
          <w:lang w:val="en-US" w:eastAsia="zh-CN"/>
        </w:rPr>
        <w:t>局</w:t>
      </w:r>
      <w:r>
        <w:rPr>
          <w:rFonts w:hint="eastAsia" w:ascii="仿宋_GB2312" w:hAnsi="仿宋_GB2312" w:eastAsia="仿宋_GB2312"/>
          <w:bCs/>
          <w:color w:val="000000"/>
          <w:sz w:val="32"/>
          <w:szCs w:val="28"/>
        </w:rPr>
        <w:t>2021年总支出</w:t>
      </w:r>
      <w:r>
        <w:rPr>
          <w:rFonts w:hint="eastAsia" w:ascii="仿宋_GB2312" w:hAnsi="仿宋_GB2312" w:eastAsia="仿宋_GB2312"/>
          <w:bCs/>
          <w:color w:val="000000"/>
          <w:sz w:val="32"/>
          <w:szCs w:val="28"/>
          <w:lang w:val="en-US" w:eastAsia="zh-CN"/>
        </w:rPr>
        <w:t>39050.33</w:t>
      </w:r>
      <w:r>
        <w:rPr>
          <w:rFonts w:hint="eastAsia" w:ascii="仿宋_GB2312" w:hAnsi="仿宋_GB2312" w:eastAsia="仿宋_GB2312"/>
          <w:bCs/>
          <w:color w:val="000000"/>
          <w:sz w:val="32"/>
          <w:szCs w:val="28"/>
        </w:rPr>
        <w:t>万元。</w:t>
      </w:r>
    </w:p>
    <w:p>
      <w:pPr>
        <w:widowControl/>
        <w:adjustRightInd w:val="0"/>
        <w:snapToGrid w:val="0"/>
        <w:spacing w:line="580" w:lineRule="exact"/>
        <w:ind w:firstLine="640" w:firstLineChars="200"/>
        <w:contextualSpacing/>
        <w:jc w:val="left"/>
        <w:rPr>
          <w:rFonts w:ascii="Times New Roman" w:hAnsi="Times New Roman" w:eastAsia="仿宋_GB2312"/>
          <w:color w:val="000000"/>
          <w:sz w:val="32"/>
          <w:szCs w:val="32"/>
        </w:rPr>
      </w:pPr>
      <w:r>
        <w:rPr>
          <w:rFonts w:hint="eastAsia" w:ascii="Times New Roman" w:hAnsi="Times New Roman" w:eastAsia="仿宋_GB2312"/>
          <w:color w:val="000000"/>
          <w:sz w:val="32"/>
          <w:szCs w:val="32"/>
        </w:rPr>
        <w:t>人员经费支出：2021年人员经费支出</w:t>
      </w:r>
      <w:r>
        <w:rPr>
          <w:rFonts w:hint="eastAsia" w:ascii="仿宋_GB2312" w:hAnsi="仿宋" w:eastAsia="仿宋_GB2312"/>
          <w:sz w:val="32"/>
          <w:szCs w:val="32"/>
          <w:lang w:val="en-US" w:eastAsia="zh-CN"/>
        </w:rPr>
        <w:t>680.41万</w:t>
      </w:r>
      <w:r>
        <w:rPr>
          <w:rFonts w:hint="eastAsia" w:ascii="Times New Roman" w:hAnsi="Times New Roman" w:eastAsia="仿宋_GB2312"/>
          <w:color w:val="000000"/>
          <w:sz w:val="32"/>
          <w:szCs w:val="32"/>
        </w:rPr>
        <w:t>元，占总支出的</w:t>
      </w:r>
      <w:r>
        <w:rPr>
          <w:rFonts w:hint="eastAsia" w:ascii="Times New Roman" w:hAnsi="Times New Roman" w:eastAsia="仿宋_GB2312"/>
          <w:color w:val="000000"/>
          <w:sz w:val="32"/>
          <w:szCs w:val="32"/>
          <w:lang w:val="en-US" w:eastAsia="zh-CN"/>
        </w:rPr>
        <w:t>1.74</w:t>
      </w:r>
      <w:r>
        <w:rPr>
          <w:rFonts w:hint="eastAsia" w:ascii="Times New Roman" w:hAnsi="Times New Roman" w:eastAsia="仿宋_GB2312"/>
          <w:color w:val="000000"/>
          <w:sz w:val="32"/>
          <w:szCs w:val="32"/>
        </w:rPr>
        <w:t>%。其中工资福利支出</w:t>
      </w:r>
      <w:r>
        <w:rPr>
          <w:rFonts w:hint="eastAsia" w:ascii="Times New Roman" w:hAnsi="Times New Roman" w:eastAsia="仿宋_GB2312"/>
          <w:color w:val="000000"/>
          <w:sz w:val="32"/>
          <w:szCs w:val="32"/>
          <w:lang w:val="en-US" w:eastAsia="zh-CN"/>
        </w:rPr>
        <w:t>631.42</w:t>
      </w:r>
      <w:r>
        <w:rPr>
          <w:rFonts w:hint="eastAsia" w:ascii="Times New Roman" w:hAnsi="Times New Roman" w:eastAsia="仿宋_GB2312"/>
          <w:color w:val="000000"/>
          <w:sz w:val="32"/>
          <w:szCs w:val="32"/>
        </w:rPr>
        <w:t>万元，主要用于工资、奖金、保险类等支出</w:t>
      </w:r>
      <w:r>
        <w:rPr>
          <w:rFonts w:hint="eastAsia" w:ascii="Times New Roman" w:hAnsi="Times New Roman" w:eastAsia="仿宋_GB2312"/>
          <w:color w:val="000000"/>
          <w:sz w:val="32"/>
          <w:szCs w:val="32"/>
          <w:lang w:eastAsia="zh-CN"/>
        </w:rPr>
        <w:t>；</w:t>
      </w:r>
      <w:r>
        <w:rPr>
          <w:rFonts w:hint="eastAsia" w:ascii="Times New Roman" w:hAnsi="Times New Roman" w:eastAsia="仿宋_GB2312"/>
          <w:color w:val="000000"/>
          <w:sz w:val="32"/>
          <w:szCs w:val="32"/>
          <w:lang w:val="en-US" w:eastAsia="zh-CN"/>
        </w:rPr>
        <w:t>商品和服务</w:t>
      </w:r>
      <w:r>
        <w:rPr>
          <w:rFonts w:hint="eastAsia" w:ascii="Times New Roman" w:hAnsi="Times New Roman" w:eastAsia="仿宋_GB2312"/>
          <w:color w:val="000000"/>
          <w:sz w:val="32"/>
          <w:szCs w:val="32"/>
        </w:rPr>
        <w:t>支出</w:t>
      </w:r>
      <w:r>
        <w:rPr>
          <w:rFonts w:hint="eastAsia" w:ascii="Times New Roman" w:hAnsi="Times New Roman" w:eastAsia="仿宋_GB2312"/>
          <w:color w:val="000000"/>
          <w:sz w:val="32"/>
          <w:szCs w:val="32"/>
          <w:lang w:val="en-US" w:eastAsia="zh-CN"/>
        </w:rPr>
        <w:t>41.22</w:t>
      </w:r>
      <w:r>
        <w:rPr>
          <w:rFonts w:hint="eastAsia" w:ascii="Times New Roman" w:hAnsi="Times New Roman" w:eastAsia="仿宋_GB2312"/>
          <w:color w:val="000000"/>
          <w:sz w:val="32"/>
          <w:szCs w:val="32"/>
        </w:rPr>
        <w:t>万元</w:t>
      </w:r>
      <w:r>
        <w:rPr>
          <w:rFonts w:hint="eastAsia" w:ascii="Times New Roman" w:hAnsi="Times New Roman" w:eastAsia="仿宋_GB2312"/>
          <w:color w:val="000000"/>
          <w:sz w:val="32"/>
          <w:szCs w:val="32"/>
          <w:lang w:eastAsia="zh-CN"/>
        </w:rPr>
        <w:t>；对个人和家庭的补助</w:t>
      </w:r>
      <w:r>
        <w:rPr>
          <w:rFonts w:hint="eastAsia" w:ascii="Times New Roman" w:hAnsi="Times New Roman" w:eastAsia="仿宋_GB2312"/>
          <w:color w:val="000000"/>
          <w:sz w:val="32"/>
          <w:szCs w:val="32"/>
          <w:lang w:val="en-US" w:eastAsia="zh-CN"/>
        </w:rPr>
        <w:t>48.99万元。</w:t>
      </w:r>
      <w:r>
        <w:rPr>
          <w:rFonts w:hint="eastAsia" w:ascii="Times New Roman" w:hAnsi="Times New Roman" w:eastAsia="仿宋_GB2312"/>
          <w:color w:val="000000"/>
          <w:sz w:val="32"/>
          <w:szCs w:val="32"/>
        </w:rPr>
        <w:t>2021年人员经费持续有效支出，执行进度为100%,支出完成年初预算的100%，无违规情况。</w:t>
      </w:r>
    </w:p>
    <w:p>
      <w:pPr>
        <w:widowControl/>
        <w:adjustRightInd w:val="0"/>
        <w:snapToGrid w:val="0"/>
        <w:spacing w:line="580" w:lineRule="exact"/>
        <w:ind w:firstLine="640" w:firstLineChars="200"/>
        <w:contextualSpacing/>
        <w:jc w:val="left"/>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公用经费支出：2021年日常公用经费支出</w:t>
      </w:r>
      <w:r>
        <w:rPr>
          <w:rFonts w:hint="eastAsia" w:ascii="仿宋_GB2312" w:hAnsi="仿宋" w:eastAsia="仿宋_GB2312"/>
          <w:sz w:val="32"/>
          <w:szCs w:val="32"/>
          <w:lang w:val="en-US" w:eastAsia="zh-CN"/>
        </w:rPr>
        <w:t>41.22</w:t>
      </w:r>
      <w:r>
        <w:rPr>
          <w:rFonts w:hint="eastAsia" w:ascii="Times New Roman" w:hAnsi="Times New Roman" w:eastAsia="仿宋_GB2312"/>
          <w:color w:val="000000"/>
          <w:sz w:val="32"/>
          <w:szCs w:val="32"/>
        </w:rPr>
        <w:t>万元，占总支出的</w:t>
      </w:r>
      <w:r>
        <w:rPr>
          <w:rFonts w:hint="eastAsia" w:ascii="Times New Roman" w:hAnsi="Times New Roman" w:eastAsia="仿宋_GB2312"/>
          <w:color w:val="000000"/>
          <w:sz w:val="32"/>
          <w:szCs w:val="32"/>
          <w:lang w:val="en-US" w:eastAsia="zh-CN"/>
        </w:rPr>
        <w:t>0.11</w:t>
      </w:r>
      <w:r>
        <w:rPr>
          <w:rFonts w:hint="eastAsia" w:ascii="Times New Roman" w:hAnsi="Times New Roman" w:eastAsia="仿宋_GB2312"/>
          <w:color w:val="000000"/>
          <w:sz w:val="32"/>
          <w:szCs w:val="32"/>
        </w:rPr>
        <w:t>%。主要用于办公费、差旅费、水电费、电话费、公务接待费、维护费等日常开支。2021年公用经费持续有效支出，执行进度为100%,支出完成年初预算的100%，无违规情况。</w:t>
      </w:r>
    </w:p>
    <w:p>
      <w:pPr>
        <w:widowControl/>
        <w:adjustRightInd w:val="0"/>
        <w:snapToGrid w:val="0"/>
        <w:spacing w:line="580" w:lineRule="exact"/>
        <w:ind w:firstLine="640" w:firstLineChars="200"/>
        <w:contextualSpacing/>
        <w:jc w:val="left"/>
        <w:rPr>
          <w:rFonts w:ascii="Times New Roman" w:hAnsi="Times New Roman" w:eastAsia="仿宋_GB2312"/>
          <w:color w:val="000000"/>
          <w:sz w:val="32"/>
          <w:szCs w:val="32"/>
        </w:rPr>
      </w:pPr>
      <w:r>
        <w:rPr>
          <w:rFonts w:hint="eastAsia" w:ascii="Times New Roman" w:hAnsi="Times New Roman" w:eastAsia="仿宋_GB2312"/>
          <w:color w:val="000000"/>
          <w:sz w:val="32"/>
          <w:szCs w:val="32"/>
        </w:rPr>
        <w:t>项目经费支出：2021年项目经费</w:t>
      </w:r>
      <w:r>
        <w:rPr>
          <w:rFonts w:hint="eastAsia" w:ascii="Times New Roman" w:hAnsi="Times New Roman" w:eastAsia="仿宋_GB2312"/>
          <w:color w:val="000000"/>
          <w:sz w:val="32"/>
          <w:szCs w:val="32"/>
          <w:lang w:val="en-US" w:eastAsia="zh-CN"/>
        </w:rPr>
        <w:t>38328.70</w:t>
      </w:r>
      <w:r>
        <w:rPr>
          <w:rFonts w:hint="eastAsia" w:ascii="Times New Roman" w:hAnsi="Times New Roman" w:eastAsia="仿宋_GB2312"/>
          <w:color w:val="000000"/>
          <w:sz w:val="32"/>
          <w:szCs w:val="32"/>
        </w:rPr>
        <w:t>万元。资金执行进度为100%,支出完成年初预算的100%，资金结余率为0，无违规情况。</w:t>
      </w:r>
    </w:p>
    <w:p>
      <w:pPr>
        <w:widowControl/>
        <w:adjustRightInd w:val="0"/>
        <w:snapToGrid w:val="0"/>
        <w:spacing w:line="580" w:lineRule="exact"/>
        <w:ind w:firstLine="640" w:firstLineChars="200"/>
        <w:contextualSpacing/>
        <w:jc w:val="left"/>
        <w:rPr>
          <w:rFonts w:ascii="Times New Roman" w:hAnsi="Times New Roman" w:eastAsia="仿宋_GB2312"/>
          <w:color w:val="000000"/>
          <w:sz w:val="32"/>
          <w:szCs w:val="32"/>
        </w:rPr>
      </w:pPr>
      <w:r>
        <w:rPr>
          <w:rFonts w:ascii="Times New Roman" w:hAnsi="Times New Roman" w:eastAsia="仿宋_GB2312"/>
          <w:color w:val="000000"/>
          <w:sz w:val="32"/>
          <w:szCs w:val="32"/>
        </w:rPr>
        <w:t>（二）结果应用情况。</w:t>
      </w:r>
    </w:p>
    <w:p>
      <w:pPr>
        <w:spacing w:line="560" w:lineRule="exact"/>
        <w:ind w:firstLine="419" w:firstLineChars="131"/>
        <w:rPr>
          <w:rFonts w:ascii="Times New Roman" w:hAnsi="Times New Roman" w:eastAsia="仿宋_GB2312"/>
          <w:sz w:val="32"/>
          <w:szCs w:val="32"/>
        </w:rPr>
      </w:pPr>
      <w:r>
        <w:rPr>
          <w:rFonts w:hint="eastAsia" w:ascii="Times New Roman" w:hAnsi="Times New Roman" w:eastAsia="仿宋_GB2312"/>
          <w:sz w:val="32"/>
          <w:szCs w:val="32"/>
        </w:rPr>
        <w:t xml:space="preserve">  绩效自评工作完成后，我单位将督促各项目及时整理、归纳、分析绩效评价结果，根据绩效自评结果，改进管理措施，完善管理办法，调整和优化支出结构，对绩效自评中发现的问题及时制定整改措施。绩效自评结果将按照政府信息公开有关规定，在规定范围内公开。</w:t>
      </w:r>
    </w:p>
    <w:p>
      <w:pPr>
        <w:widowControl/>
        <w:adjustRightInd w:val="0"/>
        <w:snapToGrid w:val="0"/>
        <w:spacing w:line="580" w:lineRule="exact"/>
        <w:ind w:firstLine="640" w:firstLineChars="200"/>
        <w:contextualSpacing/>
        <w:jc w:val="left"/>
        <w:rPr>
          <w:rFonts w:ascii="Times New Roman" w:hAnsi="Times New Roman" w:eastAsia="黑体"/>
          <w:color w:val="000000"/>
          <w:sz w:val="32"/>
          <w:szCs w:val="32"/>
        </w:rPr>
      </w:pPr>
      <w:r>
        <w:rPr>
          <w:rFonts w:ascii="Times New Roman" w:hAnsi="Times New Roman" w:eastAsia="黑体"/>
          <w:color w:val="000000"/>
          <w:sz w:val="32"/>
          <w:szCs w:val="32"/>
        </w:rPr>
        <w:t>四、评价结论及建议</w:t>
      </w:r>
    </w:p>
    <w:p>
      <w:pPr>
        <w:widowControl/>
        <w:adjustRightInd w:val="0"/>
        <w:snapToGrid w:val="0"/>
        <w:spacing w:line="580" w:lineRule="exact"/>
        <w:ind w:firstLine="640" w:firstLineChars="200"/>
        <w:contextualSpacing/>
        <w:jc w:val="left"/>
        <w:rPr>
          <w:rFonts w:ascii="Times New Roman" w:hAnsi="Times New Roman" w:eastAsia="仿宋_GB2312"/>
          <w:color w:val="000000"/>
          <w:sz w:val="32"/>
          <w:szCs w:val="32"/>
        </w:rPr>
      </w:pPr>
      <w:r>
        <w:rPr>
          <w:rFonts w:ascii="Times New Roman" w:hAnsi="Times New Roman" w:eastAsia="仿宋_GB2312"/>
          <w:color w:val="000000"/>
          <w:sz w:val="32"/>
          <w:szCs w:val="32"/>
        </w:rPr>
        <w:t>（一）评价结论。</w:t>
      </w:r>
    </w:p>
    <w:p>
      <w:pPr>
        <w:widowControl/>
        <w:adjustRightInd w:val="0"/>
        <w:snapToGrid w:val="0"/>
        <w:spacing w:line="580" w:lineRule="exact"/>
        <w:ind w:firstLine="640" w:firstLineChars="200"/>
        <w:contextualSpacing/>
        <w:jc w:val="left"/>
        <w:rPr>
          <w:rFonts w:ascii="Times New Roman" w:hAnsi="Times New Roman" w:eastAsia="仿宋_GB2312"/>
          <w:color w:val="000000"/>
          <w:sz w:val="32"/>
          <w:szCs w:val="32"/>
        </w:rPr>
      </w:pPr>
      <w:r>
        <w:rPr>
          <w:rFonts w:hint="eastAsia" w:ascii="Times New Roman" w:hAnsi="Times New Roman" w:eastAsia="仿宋_GB2312"/>
          <w:color w:val="000000"/>
          <w:sz w:val="32"/>
          <w:szCs w:val="32"/>
        </w:rPr>
        <w:t>我单位整体绩效评价等级良。</w:t>
      </w:r>
    </w:p>
    <w:p>
      <w:pPr>
        <w:widowControl/>
        <w:adjustRightInd w:val="0"/>
        <w:snapToGrid w:val="0"/>
        <w:spacing w:line="580" w:lineRule="exact"/>
        <w:ind w:firstLine="640" w:firstLineChars="200"/>
        <w:contextualSpacing/>
        <w:jc w:val="left"/>
        <w:rPr>
          <w:rFonts w:ascii="Times New Roman" w:hAnsi="Times New Roman" w:eastAsia="仿宋_GB2312"/>
          <w:color w:val="000000"/>
          <w:sz w:val="32"/>
          <w:szCs w:val="32"/>
        </w:rPr>
      </w:pPr>
      <w:r>
        <w:rPr>
          <w:rFonts w:ascii="Times New Roman" w:hAnsi="Times New Roman" w:eastAsia="仿宋_GB2312"/>
          <w:color w:val="000000"/>
          <w:sz w:val="32"/>
          <w:szCs w:val="32"/>
        </w:rPr>
        <w:t>（二）存在问题。</w:t>
      </w:r>
    </w:p>
    <w:p>
      <w:pPr>
        <w:ind w:firstLine="640" w:firstLineChars="200"/>
        <w:rPr>
          <w:rFonts w:ascii="仿宋_GB2312" w:hAnsi="仿宋" w:eastAsia="仿宋_GB2312" w:cs="仿宋"/>
          <w:color w:val="000000"/>
          <w:sz w:val="32"/>
          <w:szCs w:val="32"/>
        </w:rPr>
      </w:pPr>
      <w:r>
        <w:rPr>
          <w:rFonts w:hint="eastAsia" w:ascii="Times New Roman" w:hAnsi="Times New Roman" w:eastAsia="仿宋_GB2312"/>
          <w:color w:val="000000"/>
          <w:sz w:val="32"/>
          <w:szCs w:val="32"/>
        </w:rPr>
        <w:t xml:space="preserve"> </w:t>
      </w:r>
      <w:r>
        <w:rPr>
          <w:rFonts w:hint="eastAsia" w:ascii="仿宋_GB2312" w:hAnsi="仿宋" w:eastAsia="仿宋_GB2312" w:cs="仿宋"/>
          <w:color w:val="000000"/>
          <w:sz w:val="32"/>
          <w:szCs w:val="32"/>
        </w:rPr>
        <w:t>绩效指标细化量化不达标。</w:t>
      </w:r>
    </w:p>
    <w:p>
      <w:pPr>
        <w:widowControl/>
        <w:adjustRightInd w:val="0"/>
        <w:snapToGrid w:val="0"/>
        <w:spacing w:line="580" w:lineRule="exact"/>
        <w:ind w:firstLine="640" w:firstLineChars="200"/>
        <w:contextualSpacing/>
        <w:jc w:val="left"/>
        <w:rPr>
          <w:rFonts w:ascii="Times New Roman" w:hAnsi="Times New Roman" w:eastAsia="仿宋_GB2312"/>
          <w:color w:val="000000"/>
          <w:sz w:val="32"/>
          <w:szCs w:val="32"/>
        </w:rPr>
      </w:pPr>
      <w:r>
        <w:rPr>
          <w:rFonts w:ascii="Times New Roman" w:hAnsi="Times New Roman" w:eastAsia="仿宋_GB2312"/>
          <w:color w:val="000000"/>
          <w:sz w:val="32"/>
          <w:szCs w:val="32"/>
        </w:rPr>
        <w:t>（三）改进建议。</w:t>
      </w:r>
    </w:p>
    <w:p>
      <w:pPr>
        <w:spacing w:line="560" w:lineRule="exact"/>
        <w:ind w:firstLine="640" w:firstLineChars="200"/>
        <w:rPr>
          <w:rFonts w:ascii="仿宋_GB2312" w:hAnsi="仿宋" w:eastAsia="仿宋_GB2312" w:cs="仿宋"/>
          <w:color w:val="000000"/>
          <w:sz w:val="32"/>
          <w:szCs w:val="32"/>
        </w:rPr>
      </w:pPr>
      <w:r>
        <w:rPr>
          <w:rFonts w:hint="eastAsia" w:ascii="Times New Roman" w:hAnsi="Times New Roman" w:eastAsia="仿宋_GB2312"/>
          <w:color w:val="000000"/>
          <w:sz w:val="32"/>
          <w:szCs w:val="32"/>
        </w:rPr>
        <w:t xml:space="preserve"> </w:t>
      </w:r>
      <w:r>
        <w:rPr>
          <w:rFonts w:hint="eastAsia" w:ascii="仿宋_GB2312" w:hAnsi="仿宋" w:eastAsia="仿宋_GB2312" w:cs="仿宋"/>
          <w:color w:val="000000"/>
          <w:sz w:val="32"/>
          <w:szCs w:val="32"/>
        </w:rPr>
        <w:t>绩效指标要细化量化到位，便于更好地绩效监控，适时调整工作进度和工作方法。</w:t>
      </w:r>
    </w:p>
    <w:p>
      <w:pPr>
        <w:pStyle w:val="2"/>
        <w:spacing w:line="600" w:lineRule="exact"/>
        <w:ind w:firstLine="640" w:firstLineChars="200"/>
        <w:jc w:val="left"/>
        <w:rPr>
          <w:rFonts w:ascii="Times New Roman" w:hAnsi="Times New Roman" w:eastAsia="黑体"/>
          <w:sz w:val="32"/>
          <w:szCs w:val="32"/>
        </w:rPr>
      </w:pPr>
      <w:r>
        <w:rPr>
          <w:rFonts w:hint="eastAsia" w:ascii="仿宋_GB2312" w:hAnsi="仿宋" w:eastAsia="仿宋_GB2312" w:cs="仿宋"/>
          <w:color w:val="000000"/>
          <w:sz w:val="32"/>
          <w:szCs w:val="32"/>
        </w:rPr>
        <w:t xml:space="preserve"> </w:t>
      </w:r>
    </w:p>
    <w:p>
      <w:r>
        <w:rPr>
          <w:rFonts w:hint="eastAsia"/>
        </w:rPr>
        <w:t xml:space="preserve">   </w:t>
      </w:r>
    </w:p>
    <w:sectPr>
      <w:pgSz w:w="12240" w:h="15840"/>
      <w:pgMar w:top="1440" w:right="1463" w:bottom="1440" w:left="1463"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Arial Unicode MS"/>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D5C601E"/>
    <w:multiLevelType w:val="singleLevel"/>
    <w:tmpl w:val="3D5C601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01025"/>
    <w:rsid w:val="00020ED9"/>
    <w:rsid w:val="000542CA"/>
    <w:rsid w:val="0008320B"/>
    <w:rsid w:val="000B7B1D"/>
    <w:rsid w:val="000E0B70"/>
    <w:rsid w:val="000E31D6"/>
    <w:rsid w:val="000F0608"/>
    <w:rsid w:val="000F405B"/>
    <w:rsid w:val="00167D3B"/>
    <w:rsid w:val="00180A6E"/>
    <w:rsid w:val="001E0936"/>
    <w:rsid w:val="001F0785"/>
    <w:rsid w:val="001F2B94"/>
    <w:rsid w:val="001F5B3F"/>
    <w:rsid w:val="002266AA"/>
    <w:rsid w:val="0024637C"/>
    <w:rsid w:val="002544B4"/>
    <w:rsid w:val="00270B56"/>
    <w:rsid w:val="002808C6"/>
    <w:rsid w:val="00292BF2"/>
    <w:rsid w:val="002944E9"/>
    <w:rsid w:val="002A2FCE"/>
    <w:rsid w:val="002F24B7"/>
    <w:rsid w:val="003C5130"/>
    <w:rsid w:val="003F3C8B"/>
    <w:rsid w:val="00407DAE"/>
    <w:rsid w:val="00423A92"/>
    <w:rsid w:val="0044454C"/>
    <w:rsid w:val="00457B5D"/>
    <w:rsid w:val="004622F2"/>
    <w:rsid w:val="004A0E0D"/>
    <w:rsid w:val="004B72FD"/>
    <w:rsid w:val="00516EC8"/>
    <w:rsid w:val="00520118"/>
    <w:rsid w:val="00522084"/>
    <w:rsid w:val="005A318A"/>
    <w:rsid w:val="005B1967"/>
    <w:rsid w:val="005C4A7C"/>
    <w:rsid w:val="005D5F92"/>
    <w:rsid w:val="005E1FFD"/>
    <w:rsid w:val="005E2DD6"/>
    <w:rsid w:val="005F521C"/>
    <w:rsid w:val="00645A5A"/>
    <w:rsid w:val="006A3A6A"/>
    <w:rsid w:val="006A5F3B"/>
    <w:rsid w:val="006B560C"/>
    <w:rsid w:val="006D47CD"/>
    <w:rsid w:val="006E675E"/>
    <w:rsid w:val="007070F2"/>
    <w:rsid w:val="00766182"/>
    <w:rsid w:val="00774828"/>
    <w:rsid w:val="0078430F"/>
    <w:rsid w:val="00790CF6"/>
    <w:rsid w:val="00796882"/>
    <w:rsid w:val="007B19E8"/>
    <w:rsid w:val="007E0DDE"/>
    <w:rsid w:val="007E0EC4"/>
    <w:rsid w:val="008149CE"/>
    <w:rsid w:val="00834EA4"/>
    <w:rsid w:val="008972BF"/>
    <w:rsid w:val="008A3B3C"/>
    <w:rsid w:val="008C1733"/>
    <w:rsid w:val="008C5B3C"/>
    <w:rsid w:val="008E2C01"/>
    <w:rsid w:val="00901025"/>
    <w:rsid w:val="00931FF0"/>
    <w:rsid w:val="00945FBF"/>
    <w:rsid w:val="00946E9A"/>
    <w:rsid w:val="009472A5"/>
    <w:rsid w:val="0094751C"/>
    <w:rsid w:val="00962513"/>
    <w:rsid w:val="00966856"/>
    <w:rsid w:val="00993923"/>
    <w:rsid w:val="009C2DE4"/>
    <w:rsid w:val="009F0E91"/>
    <w:rsid w:val="009F0FE1"/>
    <w:rsid w:val="00A0325E"/>
    <w:rsid w:val="00A32A96"/>
    <w:rsid w:val="00A5335E"/>
    <w:rsid w:val="00A77021"/>
    <w:rsid w:val="00A903A8"/>
    <w:rsid w:val="00AD0E17"/>
    <w:rsid w:val="00AE426E"/>
    <w:rsid w:val="00AF4EAA"/>
    <w:rsid w:val="00B53B6A"/>
    <w:rsid w:val="00B55394"/>
    <w:rsid w:val="00B63B7B"/>
    <w:rsid w:val="00B707EB"/>
    <w:rsid w:val="00BA4C47"/>
    <w:rsid w:val="00BA6BD1"/>
    <w:rsid w:val="00BB1876"/>
    <w:rsid w:val="00BB3D4E"/>
    <w:rsid w:val="00BD79CF"/>
    <w:rsid w:val="00C51625"/>
    <w:rsid w:val="00C835FF"/>
    <w:rsid w:val="00C83F84"/>
    <w:rsid w:val="00C90961"/>
    <w:rsid w:val="00CE47EB"/>
    <w:rsid w:val="00D0107A"/>
    <w:rsid w:val="00D9364F"/>
    <w:rsid w:val="00DA3179"/>
    <w:rsid w:val="00DB34EB"/>
    <w:rsid w:val="00DE2F9E"/>
    <w:rsid w:val="00DF4F11"/>
    <w:rsid w:val="00E52BD8"/>
    <w:rsid w:val="00E61A34"/>
    <w:rsid w:val="00EA7704"/>
    <w:rsid w:val="00EC4339"/>
    <w:rsid w:val="00ED0496"/>
    <w:rsid w:val="00ED67DA"/>
    <w:rsid w:val="00EE6960"/>
    <w:rsid w:val="00F01DA9"/>
    <w:rsid w:val="00F10BD8"/>
    <w:rsid w:val="00F643DD"/>
    <w:rsid w:val="00F753BC"/>
    <w:rsid w:val="00F851BE"/>
    <w:rsid w:val="00F91DB2"/>
    <w:rsid w:val="00FB5693"/>
    <w:rsid w:val="00FE4E2A"/>
    <w:rsid w:val="00FF304C"/>
    <w:rsid w:val="05146FA1"/>
    <w:rsid w:val="0BA429A2"/>
    <w:rsid w:val="10E83F5D"/>
    <w:rsid w:val="17E26CF1"/>
    <w:rsid w:val="18283624"/>
    <w:rsid w:val="187B4A06"/>
    <w:rsid w:val="193B410B"/>
    <w:rsid w:val="2C797CBC"/>
    <w:rsid w:val="30FB68D3"/>
    <w:rsid w:val="3274196B"/>
    <w:rsid w:val="3BF43271"/>
    <w:rsid w:val="48F15CBD"/>
    <w:rsid w:val="49AE6CF4"/>
    <w:rsid w:val="53DD1AF5"/>
    <w:rsid w:val="57AF37A9"/>
    <w:rsid w:val="591D68C3"/>
    <w:rsid w:val="5E3F1B6D"/>
    <w:rsid w:val="66FD7B94"/>
    <w:rsid w:val="6AF76F09"/>
    <w:rsid w:val="6CAD44AF"/>
    <w:rsid w:val="705E52D0"/>
    <w:rsid w:val="715337F1"/>
    <w:rsid w:val="7BC021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Plain Text"/>
    <w:basedOn w:val="1"/>
    <w:link w:val="9"/>
    <w:qFormat/>
    <w:uiPriority w:val="0"/>
    <w:rPr>
      <w:rFonts w:ascii="宋体" w:hAnsi="Courier New"/>
    </w:rPr>
  </w:style>
  <w:style w:type="paragraph" w:styleId="3">
    <w:name w:val="footer"/>
    <w:basedOn w:val="1"/>
    <w:link w:val="8"/>
    <w:semiHidden/>
    <w:unhideWhenUsed/>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uiPriority w:val="99"/>
    <w:rPr>
      <w:sz w:val="18"/>
      <w:szCs w:val="18"/>
    </w:rPr>
  </w:style>
  <w:style w:type="character" w:customStyle="1" w:styleId="8">
    <w:name w:val="页脚 Char"/>
    <w:basedOn w:val="6"/>
    <w:link w:val="3"/>
    <w:semiHidden/>
    <w:uiPriority w:val="99"/>
    <w:rPr>
      <w:sz w:val="18"/>
      <w:szCs w:val="18"/>
    </w:rPr>
  </w:style>
  <w:style w:type="character" w:customStyle="1" w:styleId="9">
    <w:name w:val="纯文本 Char"/>
    <w:basedOn w:val="6"/>
    <w:link w:val="2"/>
    <w:uiPriority w:val="0"/>
    <w:rPr>
      <w:rFonts w:ascii="宋体" w:hAnsi="Courier New" w:eastAsia="宋体" w:cs="Times New Roman"/>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4</Pages>
  <Words>251</Words>
  <Characters>1433</Characters>
  <Lines>11</Lines>
  <Paragraphs>3</Paragraphs>
  <TotalTime>15</TotalTime>
  <ScaleCrop>false</ScaleCrop>
  <LinksUpToDate>false</LinksUpToDate>
  <CharactersWithSpaces>1681</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2022-05-05T09:23:00Z</dcterms:created>
  <dc:creator>Windows User</dc:creator>
  <cp:lastModifiedBy>Owner</cp:lastModifiedBy>
  <dcterms:modified xsi:type="dcterms:W3CDTF">2022-05-24T04:00:42Z</dcterms:modified>
  <cp:revision>218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28D0D44D2A274B7E9B7977B46A329B2D</vt:lpwstr>
  </property>
</Properties>
</file>