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53" w:lineRule="auto"/>
        <w:ind w:firstLine="0" w:firstLineChars="0"/>
        <w:jc w:val="both"/>
        <w:rPr>
          <w:rFonts w:hint="default" w:ascii="Times New Roman" w:hAnsi="Times New Roman" w:eastAsia="仿宋_GB2312" w:cs="Times New Roman"/>
          <w:bCs/>
          <w:snapToGrid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-107950</wp:posOffset>
                </wp:positionH>
                <wp:positionV relativeFrom="page">
                  <wp:posOffset>1593850</wp:posOffset>
                </wp:positionV>
                <wp:extent cx="5839460" cy="1270"/>
                <wp:effectExtent l="0" t="13970" r="8890" b="22860"/>
                <wp:wrapNone/>
                <wp:docPr id="2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39460" cy="127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-8.5pt;margin-top:125.5pt;height:0.1pt;width:459.8pt;mso-position-vertical-relative:page;z-index:-251656192;mso-width-relative:page;mso-height-relative:page;" filled="f" stroked="t" coordsize="21600,21600" o:gfxdata="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Cih1n9kAAAALAQAADwAAAAAAAAABACAAAAAiAAAAZHJzL2Rvd25yZXYueG1sUEsBAhQAFAAA&#10;AAgAh07iQDVCbM7uAQAA3wMAAA4AAAAAAAAAAQAgAAAAKAEAAGRycy9lMm9Eb2MueG1sUEsFBgAA&#10;AAAGAAYAWQEAAIgFAAAAAA=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小标宋简体" w:cs="Times New Roman"/>
          <w:b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-100330</wp:posOffset>
                </wp:positionH>
                <wp:positionV relativeFrom="page">
                  <wp:posOffset>579120</wp:posOffset>
                </wp:positionV>
                <wp:extent cx="5724525" cy="941070"/>
                <wp:effectExtent l="4445" t="4445" r="5080" b="698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4525" cy="941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left="0" w:leftChars="0" w:firstLine="830" w:firstLineChars="100"/>
                              <w:textAlignment w:val="baseline"/>
                              <w:rPr>
                                <w:rFonts w:hint="eastAsia" w:ascii="方正小标宋简体" w:hAnsi="方正小标宋简体" w:eastAsia="方正小标宋简体"/>
                                <w:snapToGrid w:val="0"/>
                                <w:color w:val="FF0000"/>
                                <w:w w:val="95"/>
                                <w:sz w:val="84"/>
                                <w:szCs w:val="8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方正小标宋简体" w:hAnsi="方正小标宋简体" w:eastAsia="方正小标宋简体"/>
                                <w:snapToGrid w:val="0"/>
                                <w:color w:val="FF0000"/>
                                <w:spacing w:val="16"/>
                                <w:w w:val="95"/>
                                <w:kern w:val="21"/>
                                <w:sz w:val="84"/>
                                <w:szCs w:val="84"/>
                                <w:lang w:eastAsia="zh-CN"/>
                              </w:rPr>
                              <w:t>红格镇人民政府文件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.9pt;margin-top:45.6pt;height:74.1pt;width:450.75pt;mso-position-vertical-relative:page;z-index:-251655168;mso-width-relative:page;mso-height-relative:page;" fillcolor="#FFFFFF" filled="t" stroked="t" coordsize="21600,21600" o:gfxdata="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AJsNKZ2QAAAAoBAAAPAAAAAAAA&#10;AAEAIAAAACIAAABkcnMvZG93bnJldi54bWxQSwECFAAUAAAACACHTuJAHl4eMxECAABEBAAADgAA&#10;AAAAAAABACAAAAAoAQAAZHJzL2Uyb0RvYy54bWxQSwUGAAAAAAYABgBZAQAAqwUAAAAA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ind w:left="0" w:leftChars="0" w:firstLine="830" w:firstLineChars="100"/>
                        <w:textAlignment w:val="baseline"/>
                        <w:rPr>
                          <w:rFonts w:hint="eastAsia" w:ascii="方正小标宋简体" w:hAnsi="方正小标宋简体" w:eastAsia="方正小标宋简体"/>
                          <w:snapToGrid w:val="0"/>
                          <w:color w:val="FF0000"/>
                          <w:w w:val="95"/>
                          <w:sz w:val="84"/>
                          <w:szCs w:val="84"/>
                          <w:lang w:eastAsia="zh-CN"/>
                        </w:rPr>
                      </w:pPr>
                      <w:r>
                        <w:rPr>
                          <w:rFonts w:hint="eastAsia" w:ascii="方正小标宋简体" w:hAnsi="方正小标宋简体" w:eastAsia="方正小标宋简体"/>
                          <w:snapToGrid w:val="0"/>
                          <w:color w:val="FF0000"/>
                          <w:spacing w:val="16"/>
                          <w:w w:val="95"/>
                          <w:kern w:val="21"/>
                          <w:sz w:val="84"/>
                          <w:szCs w:val="84"/>
                          <w:lang w:eastAsia="zh-CN"/>
                        </w:rPr>
                        <w:t>红格镇人民政府文件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-117475</wp:posOffset>
                </wp:positionH>
                <wp:positionV relativeFrom="page">
                  <wp:posOffset>1651000</wp:posOffset>
                </wp:positionV>
                <wp:extent cx="5839460" cy="1270"/>
                <wp:effectExtent l="0" t="0" r="0" b="0"/>
                <wp:wrapNone/>
                <wp:docPr id="1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39460" cy="127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" o:spid="_x0000_s1026" o:spt="20" style="position:absolute;left:0pt;margin-left:-9.25pt;margin-top:130pt;height:0.1pt;width:459.8pt;mso-position-vertical-relative:page;z-index:-251657216;mso-width-relative:page;mso-height-relative:page;" filled="f" stroked="t" coordsize="21600,21600" o:gfxdata="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v4UWW9kAAAALAQAADwAAAAAAAAABACAAAAAiAAAAZHJzL2Rvd25yZXYueG1sUEsBAhQAFAAA&#10;AAgAh07iQNu519buAQAA3gMAAA4AAAAAAAAAAQAgAAAAKAEAAGRycy9lMm9Eb2MueG1sUEsFBgAA&#10;AAAGAAYAWQEAAIgFAAAAAA==&#10;">
                <v:fill on="f" focussize="0,0"/>
                <v:stroke weight="0.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adjustRightInd w:val="0"/>
        <w:snapToGrid w:val="0"/>
        <w:spacing w:line="0" w:lineRule="atLeast"/>
        <w:jc w:val="center"/>
        <w:rPr>
          <w:rFonts w:hint="default" w:ascii="Times New Roman" w:hAnsi="Times New Roman" w:eastAsia="方正小标宋简体" w:cs="Times New Roman"/>
          <w:b/>
          <w:sz w:val="38"/>
          <w:szCs w:val="38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u w:val="none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u w:val="none"/>
          <w:lang w:val="en-US" w:eastAsia="zh-CN"/>
        </w:rPr>
        <w:t>红格镇人民政府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u w:val="none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u w:val="none"/>
          <w:lang w:val="en-US" w:eastAsia="zh-CN"/>
        </w:rPr>
        <w:t>关于</w:t>
      </w:r>
      <w:r>
        <w:rPr>
          <w:rFonts w:hint="eastAsia" w:ascii="Times New Roman" w:hAnsi="Times New Roman" w:eastAsia="方正小标宋_GBK" w:cs="Times New Roman"/>
          <w:sz w:val="44"/>
          <w:szCs w:val="44"/>
          <w:u w:val="none"/>
          <w:lang w:val="en-US" w:eastAsia="zh-CN"/>
        </w:rPr>
        <w:t>2021年度</w:t>
      </w:r>
      <w:r>
        <w:rPr>
          <w:rFonts w:hint="default" w:ascii="Times New Roman" w:hAnsi="Times New Roman" w:eastAsia="方正小标宋_GBK" w:cs="Times New Roman"/>
          <w:sz w:val="44"/>
          <w:szCs w:val="44"/>
          <w:u w:val="none"/>
        </w:rPr>
        <w:t>部门预算整体绩效</w:t>
      </w:r>
      <w:r>
        <w:rPr>
          <w:rFonts w:hint="default" w:ascii="Times New Roman" w:hAnsi="Times New Roman" w:eastAsia="方正小标宋_GBK" w:cs="Times New Roman"/>
          <w:sz w:val="44"/>
          <w:szCs w:val="44"/>
          <w:u w:val="none"/>
          <w:lang w:eastAsia="zh-CN"/>
        </w:rPr>
        <w:t>的</w:t>
      </w:r>
      <w:r>
        <w:rPr>
          <w:rFonts w:hint="default" w:ascii="Times New Roman" w:hAnsi="Times New Roman" w:eastAsia="方正小标宋_GBK" w:cs="Times New Roman"/>
          <w:sz w:val="44"/>
          <w:szCs w:val="44"/>
          <w:u w:val="none"/>
        </w:rPr>
        <w:t>自评报告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contextualSpacing/>
        <w:jc w:val="left"/>
        <w:textAlignment w:val="auto"/>
        <w:rPr>
          <w:rFonts w:hint="default" w:ascii="Times New Roman" w:hAnsi="Times New Roman" w:eastAsia="方正黑体_GBK" w:cs="Times New Roman"/>
          <w:sz w:val="32"/>
          <w:szCs w:val="32"/>
          <w:u w:val="none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u w:val="none"/>
        </w:rPr>
        <w:t>部门概况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contextualSpacing/>
        <w:jc w:val="left"/>
        <w:textAlignment w:val="auto"/>
        <w:rPr>
          <w:rFonts w:hint="default" w:ascii="Times New Roman" w:hAnsi="Times New Roman" w:eastAsia="方正楷体_GBK" w:cs="Times New Roman"/>
          <w:b/>
          <w:bCs/>
          <w:color w:val="000000"/>
          <w:sz w:val="32"/>
          <w:szCs w:val="32"/>
          <w:u w:val="none"/>
        </w:rPr>
      </w:pPr>
      <w:r>
        <w:rPr>
          <w:rFonts w:hint="default" w:ascii="Times New Roman" w:hAnsi="Times New Roman" w:eastAsia="方正楷体_GBK" w:cs="Times New Roman"/>
          <w:b/>
          <w:bCs/>
          <w:sz w:val="32"/>
          <w:szCs w:val="32"/>
          <w:u w:val="none"/>
        </w:rPr>
        <w:t>（</w:t>
      </w:r>
      <w:r>
        <w:rPr>
          <w:rFonts w:hint="default" w:ascii="Times New Roman" w:hAnsi="Times New Roman" w:eastAsia="方正楷体_GBK" w:cs="Times New Roman"/>
          <w:b/>
          <w:bCs/>
          <w:color w:val="000000"/>
          <w:sz w:val="32"/>
          <w:szCs w:val="32"/>
          <w:u w:val="none"/>
        </w:rPr>
        <w:t>一）机构组成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contextualSpacing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  <w:lang w:eastAsia="zh-CN"/>
        </w:rPr>
        <w:t>红格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</w:rPr>
        <w:t>镇位于盐边县南部片区，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  <w:lang w:eastAsia="zh-CN"/>
        </w:rPr>
        <w:t>行政区划调整后，设置党政综合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办事机构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9个：党政办公室、党建办公室、经济发展办公室、社会事务办公室、综合行政执法办公室、社会治理办公室、财政所、生态环境办公室、应急管理办公室。政府（行政单位）下属事业单位5个：便民服务中心、农业农村服务中心、村镇建设服务中心、宣传文化旅游服务中心、党群服务中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contextualSpacing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</w:rPr>
      </w:pPr>
      <w:r>
        <w:rPr>
          <w:rFonts w:hint="default" w:ascii="Times New Roman" w:hAnsi="Times New Roman" w:eastAsia="方正楷体_GBK" w:cs="Times New Roman"/>
          <w:b/>
          <w:bCs/>
          <w:sz w:val="32"/>
          <w:szCs w:val="32"/>
          <w:u w:val="none"/>
        </w:rPr>
        <w:t>（二）机构职能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贯彻执行党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eastAsia="zh-CN"/>
        </w:rPr>
        <w:t>和国家的各项方针、政策、法律、法规，以及上级行政机关和镇党委、镇人代会的决定、决议。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2.制定并执行本行政区域内经济和社会发展规划、计划。3.负责乡村振兴、新农村建设和推进城乡一体化的组织和实施。4.负责辖区经济、文化、教育、科学、卫生健康、民政、社会保障、民族宗教、村镇建设、司法、退役军人、扶贫、信访、安全、统计等行政管理和服务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contextualSpacing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</w:rPr>
      </w:pPr>
      <w:r>
        <w:rPr>
          <w:rFonts w:hint="default" w:ascii="Times New Roman" w:hAnsi="Times New Roman" w:eastAsia="方正楷体_GBK" w:cs="Times New Roman"/>
          <w:b/>
          <w:bCs/>
          <w:sz w:val="32"/>
          <w:szCs w:val="32"/>
          <w:u w:val="none"/>
        </w:rPr>
        <w:t>（三）人员概况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u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截止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2021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年底，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</w:rPr>
        <w:t>红格镇人员编制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  <w:lang w:val="en-US" w:eastAsia="zh-CN"/>
        </w:rPr>
        <w:t>73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</w:rPr>
        <w:t>人（其中：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  <w:lang w:eastAsia="zh-CN"/>
        </w:rPr>
        <w:t>公务员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</w:rPr>
        <w:t>编制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  <w:lang w:val="en-US" w:eastAsia="zh-CN"/>
        </w:rPr>
        <w:t>35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</w:rPr>
        <w:t>人，机关工勤编制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</w:rPr>
        <w:t>人，事业编制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  <w:lang w:val="en-US" w:eastAsia="zh-CN"/>
        </w:rPr>
        <w:t>34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</w:rPr>
        <w:t>人），实有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  <w:lang w:val="en-US" w:eastAsia="zh-CN"/>
        </w:rPr>
        <w:t>91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</w:rPr>
        <w:t>人（其中：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  <w:lang w:eastAsia="zh-CN"/>
        </w:rPr>
        <w:t>公务员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  <w:lang w:val="en-US" w:eastAsia="zh-CN"/>
        </w:rPr>
        <w:t>34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</w:rPr>
        <w:t>人，机关工勤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  <w:lang w:val="en-US" w:eastAsia="zh-CN"/>
        </w:rPr>
        <w:t>13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</w:rPr>
        <w:t>人，事业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  <w:lang w:val="en-US" w:eastAsia="zh-CN"/>
        </w:rPr>
        <w:t>44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</w:rPr>
        <w:t>人）。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黑体_GBK" w:cs="Times New Roman"/>
          <w:sz w:val="32"/>
          <w:szCs w:val="32"/>
          <w:u w:val="none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u w:val="none"/>
        </w:rPr>
        <w:t>二、部门财政资金基本情况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contextualSpacing/>
        <w:jc w:val="left"/>
        <w:textAlignment w:val="auto"/>
        <w:rPr>
          <w:rFonts w:hint="default" w:ascii="Times New Roman" w:hAnsi="Times New Roman" w:eastAsia="方正楷体_GBK" w:cs="Times New Roman"/>
          <w:b/>
          <w:bCs/>
          <w:color w:val="000000"/>
          <w:sz w:val="32"/>
          <w:szCs w:val="32"/>
          <w:u w:val="none"/>
        </w:rPr>
      </w:pPr>
      <w:r>
        <w:rPr>
          <w:rFonts w:hint="default" w:ascii="Times New Roman" w:hAnsi="Times New Roman" w:eastAsia="方正楷体_GBK" w:cs="Times New Roman"/>
          <w:b/>
          <w:bCs/>
          <w:color w:val="000000"/>
          <w:sz w:val="32"/>
          <w:szCs w:val="32"/>
          <w:u w:val="none"/>
        </w:rPr>
        <w:t>（一）财政资金收入情况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  <w:lang w:val="en-US" w:eastAsia="zh-CN"/>
        </w:rPr>
        <w:t>2021年度财政资金收入19000.88万元，其中：一般公共预算财政拨款收入3618.03万元,占总收入的19%；政府性基金预算财政拨款收入12603.79万元，占总收入的66%；其他收入（非本级财政拨款）2779.06万元，占总收入的15%。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contextualSpacing/>
        <w:jc w:val="left"/>
        <w:textAlignment w:val="auto"/>
        <w:rPr>
          <w:rFonts w:hint="default" w:ascii="Times New Roman" w:hAnsi="Times New Roman" w:eastAsia="方正楷体_GBK" w:cs="Times New Roman"/>
          <w:b/>
          <w:bCs/>
          <w:color w:val="000000"/>
          <w:sz w:val="32"/>
          <w:szCs w:val="32"/>
          <w:u w:val="none"/>
        </w:rPr>
      </w:pPr>
      <w:r>
        <w:rPr>
          <w:rFonts w:hint="default" w:ascii="Times New Roman" w:hAnsi="Times New Roman" w:eastAsia="方正楷体_GBK" w:cs="Times New Roman"/>
          <w:b/>
          <w:bCs/>
          <w:color w:val="000000"/>
          <w:sz w:val="32"/>
          <w:szCs w:val="32"/>
          <w:u w:val="none"/>
        </w:rPr>
        <w:t>（二）财政资金支出情况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u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  <w:lang w:val="en-US" w:eastAsia="zh-CN"/>
        </w:rPr>
        <w:t>2021年度财政资金支出19506.99万元，其中：一般公共预算财政拨款支出4124.14万元,占总支出的21%；政府性基金预算财政拨款支出12603.79万元，占总支出的65%；其他支出（非本级财政拨款）2779.06万元，占总支出的14%。基本支出2003.96万元，占比10%；项目支出17503.03万元，占比90%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contextualSpacing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u w:val="none"/>
        </w:rPr>
      </w:pPr>
      <w:r>
        <w:rPr>
          <w:rFonts w:hint="default" w:ascii="Times New Roman" w:hAnsi="Times New Roman" w:eastAsia="方正楷体_GBK" w:cs="Times New Roman"/>
          <w:b/>
          <w:bCs/>
          <w:color w:val="000000"/>
          <w:sz w:val="32"/>
          <w:szCs w:val="32"/>
          <w:u w:val="none"/>
        </w:rPr>
        <w:t>（三）财政资金结转结余情况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  <w:lang w:val="en-US" w:eastAsia="zh-CN"/>
        </w:rPr>
        <w:t>2021年年末结转和结余资金0万元。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contextualSpacing/>
        <w:jc w:val="left"/>
        <w:textAlignment w:val="auto"/>
        <w:rPr>
          <w:rFonts w:hint="default" w:ascii="Times New Roman" w:hAnsi="Times New Roman" w:eastAsia="方正黑体_GBK" w:cs="Times New Roman"/>
          <w:color w:val="000000"/>
          <w:sz w:val="32"/>
          <w:szCs w:val="32"/>
          <w:u w:val="none"/>
        </w:rPr>
      </w:pPr>
      <w:r>
        <w:rPr>
          <w:rFonts w:hint="default" w:ascii="Times New Roman" w:hAnsi="Times New Roman" w:eastAsia="方正黑体_GBK" w:cs="Times New Roman"/>
          <w:color w:val="000000"/>
          <w:sz w:val="32"/>
          <w:szCs w:val="32"/>
          <w:u w:val="none"/>
        </w:rPr>
        <w:t>三、部门预算绩效管理情况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contextualSpacing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</w:rPr>
      </w:pPr>
      <w:r>
        <w:rPr>
          <w:rFonts w:hint="default" w:ascii="Times New Roman" w:hAnsi="Times New Roman" w:eastAsia="方正楷体_GBK" w:cs="Times New Roman"/>
          <w:b/>
          <w:bCs/>
          <w:color w:val="000000"/>
          <w:sz w:val="32"/>
          <w:szCs w:val="32"/>
          <w:u w:val="none"/>
        </w:rPr>
        <w:t>（一）部门预算绩效管理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根据预算绩效管理工作的有关要求，完善预算绩效管理制度，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eastAsia="zh-CN"/>
        </w:rPr>
        <w:t>不断提高部门预算整体绩效管理水平，我镇于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2021年年初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eastAsia="zh-CN"/>
        </w:rPr>
        <w:t>对所有项目编制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了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eastAsia="zh-CN"/>
        </w:rPr>
        <w:t>预算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绩效目标，主要是实现2021年全年保基本民生、保工资、保运转，坚决兜住“三保”支出底线的同时，节约经费，压缩开支，保证各项经费正常支出。对全部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eastAsia="zh-CN"/>
        </w:rPr>
        <w:t>财政资金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均按要求实行绩效目标管理。目标的实现：2021年人员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eastAsia="zh-CN"/>
        </w:rPr>
        <w:t>经费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支出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1757.74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万元，主要用于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eastAsia="zh-CN"/>
        </w:rPr>
        <w:t>职工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的工资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eastAsia="zh-CN"/>
        </w:rPr>
        <w:t>、社会保险、住房公积金等方面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，保障了在职人员和退休人员的正常工资性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eastAsia="zh-CN"/>
        </w:rPr>
        <w:t>支出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eastAsia="zh-CN"/>
        </w:rPr>
        <w:t>公用经费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支出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246.23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万元，主要是用于机关日常运转支出方面，保障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eastAsia="zh-CN"/>
        </w:rPr>
        <w:t>机关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各项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eastAsia="zh-CN"/>
        </w:rPr>
        <w:t>工作顺利开展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。全年所有支出都按照有关规定强化资金管理，提升资金使用效率，认真落实厉行节约各项政策，截止2021年12月底，本单位支出执行数为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19506.99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万元，执行率达到100%，无资金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eastAsia="zh-CN"/>
        </w:rPr>
        <w:t>结转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结余情况，较好地完成了年初制定的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eastAsia="zh-CN"/>
        </w:rPr>
        <w:t>绩效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目标任务，各项工作有序推进，整体支出平稳，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eastAsia="zh-CN"/>
        </w:rPr>
        <w:t>基本达到预期指标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contextualSpacing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</w:rPr>
      </w:pPr>
      <w:r>
        <w:rPr>
          <w:rFonts w:hint="default" w:ascii="Times New Roman" w:hAnsi="Times New Roman" w:eastAsia="方正楷体_GBK" w:cs="Times New Roman"/>
          <w:b/>
          <w:bCs/>
          <w:color w:val="000000"/>
          <w:sz w:val="32"/>
          <w:szCs w:val="32"/>
          <w:u w:val="none"/>
        </w:rPr>
        <w:t>（二）结果应用情况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contextualSpacing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为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eastAsia="zh-CN"/>
        </w:rPr>
        <w:t>认真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贯彻落实《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eastAsia="zh-CN"/>
        </w:rPr>
        <w:t>盐边县关于全面实施预算绩效管理的工作方案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》（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eastAsia="zh-CN"/>
        </w:rPr>
        <w:t>盐边委办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【2019】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114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号）文件精神，进一步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eastAsia="zh-CN"/>
        </w:rPr>
        <w:t>提高预算绩效管理水平和财政资源配置、使用效率。根据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盐边财绩【202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】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号《盐边县财政局关于开展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2021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年度部门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eastAsia="zh-CN"/>
        </w:rPr>
        <w:t>预算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整体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eastAsia="zh-CN"/>
        </w:rPr>
        <w:t>及项目支出绩效自评工作的通知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》要求，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eastAsia="zh-CN"/>
        </w:rPr>
        <w:t>我镇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对2021年度部门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eastAsia="zh-CN"/>
        </w:rPr>
        <w:t>预算整体支出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绩效进行了自评，自评等级为良好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在资金的管理和使用上，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eastAsia="zh-CN"/>
        </w:rPr>
        <w:t>严格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遵守财经纪律，认真履行部门职能职责，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eastAsia="zh-CN"/>
        </w:rPr>
        <w:t>随时掌握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资金的执行和使用情况，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eastAsia="zh-CN"/>
        </w:rPr>
        <w:t>总结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财政资金预算编制、预算执行、预算监督过程中存在的不足。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eastAsia="zh-CN"/>
        </w:rPr>
        <w:t>严格执行绩效评价公开机制，及时将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《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eastAsia="zh-CN"/>
        </w:rPr>
        <w:t>盐边县红格镇人民政府关于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2021年部门整体支出绩效评价的报告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》和《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eastAsia="zh-CN"/>
        </w:rPr>
        <w:t>盐边县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红格镇人民政府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2021年度专项（项目）资金绩效自评表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》在“盐边县公众信息网”财政信息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eastAsia="zh-CN"/>
        </w:rPr>
        <w:t>版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块下的“财政绩效评价信息专栏”进行公开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eastAsia="zh-CN"/>
        </w:rPr>
        <w:t>公示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contextualSpacing/>
        <w:jc w:val="left"/>
        <w:textAlignment w:val="auto"/>
        <w:rPr>
          <w:rFonts w:hint="default" w:ascii="Times New Roman" w:hAnsi="Times New Roman" w:eastAsia="方正黑体_GBK" w:cs="Times New Roman"/>
          <w:color w:val="000000"/>
          <w:sz w:val="32"/>
          <w:szCs w:val="32"/>
          <w:u w:val="none"/>
        </w:rPr>
      </w:pPr>
      <w:r>
        <w:rPr>
          <w:rFonts w:hint="default" w:ascii="Times New Roman" w:hAnsi="Times New Roman" w:eastAsia="方正黑体_GBK" w:cs="Times New Roman"/>
          <w:color w:val="000000"/>
          <w:sz w:val="32"/>
          <w:szCs w:val="32"/>
          <w:u w:val="none"/>
        </w:rPr>
        <w:t>四、评价结论及建议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contextualSpacing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</w:rPr>
      </w:pPr>
      <w:r>
        <w:rPr>
          <w:rFonts w:hint="default" w:ascii="Times New Roman" w:hAnsi="Times New Roman" w:eastAsia="方正楷体_GBK" w:cs="Times New Roman"/>
          <w:b/>
          <w:bCs/>
          <w:color w:val="000000"/>
          <w:sz w:val="32"/>
          <w:szCs w:val="32"/>
          <w:u w:val="none"/>
        </w:rPr>
        <w:t>（一）评价结论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contextualSpacing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整体来看，2021年我镇各项工作有序推进，较好的完成了绩效目标任务。重点项目持续推进，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较好地实现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eastAsia="zh-CN"/>
        </w:rPr>
        <w:t>了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社会效益和可持续效益目标，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为红格镇的经济发展奠定了良好的基础，提高了群众生活水平和满意度。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contextualSpacing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</w:rPr>
      </w:pPr>
      <w:r>
        <w:rPr>
          <w:rFonts w:hint="default" w:ascii="Times New Roman" w:hAnsi="Times New Roman" w:eastAsia="方正楷体_GBK" w:cs="Times New Roman"/>
          <w:b/>
          <w:bCs/>
          <w:color w:val="000000"/>
          <w:sz w:val="32"/>
          <w:szCs w:val="32"/>
          <w:u w:val="none"/>
        </w:rPr>
        <w:t>（二）存在问题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contextualSpacing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1.部门预算绩效管理的保障机制不完善；2.部分项目实施进度缓慢，未能按时竣工验收；3.部分项目报账不及时，未能完成资金兑付，预算执行力度还需进一步加强。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contextualSpacing/>
        <w:jc w:val="left"/>
        <w:textAlignment w:val="auto"/>
        <w:rPr>
          <w:rFonts w:hint="default" w:ascii="Times New Roman" w:hAnsi="Times New Roman" w:eastAsia="方正楷体_GBK" w:cs="Times New Roman"/>
          <w:b/>
          <w:bCs/>
          <w:color w:val="000000"/>
          <w:sz w:val="32"/>
          <w:szCs w:val="32"/>
          <w:u w:val="none"/>
        </w:rPr>
      </w:pPr>
      <w:r>
        <w:rPr>
          <w:rFonts w:hint="default" w:ascii="Times New Roman" w:hAnsi="Times New Roman" w:eastAsia="方正楷体_GBK" w:cs="Times New Roman"/>
          <w:b/>
          <w:bCs/>
          <w:color w:val="000000"/>
          <w:sz w:val="32"/>
          <w:szCs w:val="32"/>
          <w:u w:val="none"/>
        </w:rPr>
        <w:t>（三）改进建议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1.完善绩效管理保障机制，加强部门之间的沟通与协作；2.加快项目建设进度，保质保量做好项目竣工验收工作。3.督促相关部门及时报账，提高预算执行力度。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 xml:space="preserve">     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960" w:hanging="960" w:hangingChars="300"/>
        <w:jc w:val="left"/>
        <w:textAlignment w:val="auto"/>
        <w:rPr>
          <w:rFonts w:hint="eastAsia" w:ascii="Times New Roman" w:hAnsi="Times New Roman" w:eastAsia="方正仿宋_GBK" w:cs="Times New Roman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附件：1.盐边县红格镇人民政府2021年度部门预算整体绩效自评表</w:t>
      </w:r>
    </w:p>
    <w:p>
      <w:pPr>
        <w:pStyle w:val="2"/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958" w:leftChars="456" w:firstLine="0" w:firstLineChars="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盐边县红格镇人民政府2021年度专项（项目）资金绩效自评表</w:t>
      </w:r>
    </w:p>
    <w:p>
      <w:pPr>
        <w:pStyle w:val="2"/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958" w:leftChars="456" w:firstLine="0" w:firstLineChars="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盐边县红格镇人民政府2021年度部门预算资金使用情况表</w:t>
      </w:r>
    </w:p>
    <w:p>
      <w:pPr>
        <w:pStyle w:val="2"/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958" w:leftChars="456" w:firstLine="0" w:firstLineChars="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盐边县红格镇人民政府2021年度专项（项目）资金绩效自评报告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5120" w:firstLineChars="16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5120" w:firstLineChars="16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5120" w:firstLineChars="16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红格镇人民政府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4480" w:firstLineChars="14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 xml:space="preserve">   2022年5月19日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</w:rPr>
      </w:pPr>
      <w:bookmarkStart w:id="0" w:name="_GoBack"/>
      <w:bookmarkEnd w:id="0"/>
    </w:p>
    <w:sectPr>
      <w:footerReference r:id="rId3" w:type="default"/>
      <w:pgSz w:w="12240" w:h="15840"/>
      <w:pgMar w:top="2098" w:right="1474" w:bottom="1984" w:left="1587" w:header="720" w:footer="720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DWf4nn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8AE313"/>
    <w:multiLevelType w:val="singleLevel"/>
    <w:tmpl w:val="F78AE313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D5C601E"/>
    <w:multiLevelType w:val="singleLevel"/>
    <w:tmpl w:val="3D5C601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044C49"/>
    <w:rsid w:val="07572203"/>
    <w:rsid w:val="09D62B57"/>
    <w:rsid w:val="0BFD24D4"/>
    <w:rsid w:val="0D617B29"/>
    <w:rsid w:val="14DD56A2"/>
    <w:rsid w:val="1BFF2A44"/>
    <w:rsid w:val="1C624F2B"/>
    <w:rsid w:val="2086799E"/>
    <w:rsid w:val="22E97BF8"/>
    <w:rsid w:val="23336E9B"/>
    <w:rsid w:val="2BAB41BD"/>
    <w:rsid w:val="2CA64AB7"/>
    <w:rsid w:val="2EB52590"/>
    <w:rsid w:val="2F297972"/>
    <w:rsid w:val="31D90D6B"/>
    <w:rsid w:val="38CF1C6B"/>
    <w:rsid w:val="46CE48F2"/>
    <w:rsid w:val="4E490723"/>
    <w:rsid w:val="4E923D0E"/>
    <w:rsid w:val="4FCE1070"/>
    <w:rsid w:val="52894021"/>
    <w:rsid w:val="552310B6"/>
    <w:rsid w:val="56D6463F"/>
    <w:rsid w:val="57D05691"/>
    <w:rsid w:val="5D017624"/>
    <w:rsid w:val="5F0E5532"/>
    <w:rsid w:val="600D3C69"/>
    <w:rsid w:val="63081458"/>
    <w:rsid w:val="67703441"/>
    <w:rsid w:val="68227A72"/>
    <w:rsid w:val="6B616D8F"/>
    <w:rsid w:val="6B7152F3"/>
    <w:rsid w:val="74B13937"/>
    <w:rsid w:val="76E91D50"/>
    <w:rsid w:val="79011FD7"/>
    <w:rsid w:val="79203841"/>
    <w:rsid w:val="7C3D4A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2022-05-20T00:56:23Z</dcterms:created>
  <dc:creator>Administrator.PC-202201181008</dc:creator>
  <cp:lastModifiedBy>马兰花</cp:lastModifiedBy>
  <cp:lastPrinted>2022-05-20T02:40:55Z</cp:lastPrinted>
  <dcterms:modified xsi:type="dcterms:W3CDTF">2022-05-23T07:40:05Z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5BAD798F438F4240A5287D894377C0EE</vt:lpwstr>
  </property>
</Properties>
</file>