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hint="eastAsia" w:eastAsia="方正小标宋_GBK"/>
          <w:sz w:val="44"/>
          <w:szCs w:val="44"/>
        </w:rPr>
      </w:pPr>
      <w:r>
        <w:rPr>
          <w:rFonts w:hint="eastAsia" w:eastAsia="方正小标宋_GBK"/>
          <w:sz w:val="44"/>
          <w:szCs w:val="44"/>
        </w:rPr>
        <w:t>钛材加工园二期基础设施项目和龙蟒佰利联项目征地拆迁前期工作经费</w:t>
      </w:r>
      <w:r>
        <w:rPr>
          <w:rFonts w:eastAsia="方正小标宋_GBK"/>
          <w:sz w:val="44"/>
          <w:szCs w:val="44"/>
        </w:rPr>
        <w:t>绩效</w:t>
      </w:r>
    </w:p>
    <w:p>
      <w:pPr>
        <w:spacing w:line="640" w:lineRule="exact"/>
        <w:jc w:val="center"/>
        <w:rPr>
          <w:rFonts w:eastAsia="方正小标宋_GBK"/>
          <w:sz w:val="44"/>
          <w:szCs w:val="44"/>
        </w:rPr>
      </w:pPr>
      <w:r>
        <w:rPr>
          <w:rFonts w:eastAsia="方正小标宋_GBK"/>
          <w:sz w:val="44"/>
          <w:szCs w:val="44"/>
        </w:rPr>
        <w:t>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负责征地拆迁工作，保证钛材加工园二期基础设施建设项目和龙蟒佰利联项目建设顺利进行。</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项目资金申报情况。根据《盐边县工业区开发建设管理委员会关于解决钛材加工园二期基础设施建设项目和龙蟒佰利联项目征地拆迁前期工作经费的请示》（盐边工管委〔〕号文件）对项目资金进行申报。</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严格按照相关财务制度制定本项目资金管理办法。做实“工业强县”战略，做强园区工作。</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按工作需要进行分配。</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项目资金主要用于征地拆迁工作中的协调费、租车费等</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项目于2021年1 月1 日开工，于2021年 12月31 日全面结束。</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autoSpaceDE w:val="0"/>
        <w:autoSpaceDN w:val="0"/>
        <w:spacing w:before="203" w:line="372" w:lineRule="auto"/>
        <w:ind w:right="125" w:firstLine="700" w:firstLineChars="250"/>
        <w:rPr>
          <w:rFonts w:eastAsia="仿宋_GB2312"/>
          <w:sz w:val="32"/>
          <w:szCs w:val="32"/>
        </w:rPr>
      </w:pPr>
      <w:r>
        <w:rPr>
          <w:rFonts w:hint="eastAsia" w:ascii="宋体" w:hAnsi="宋体" w:cs="宋体"/>
          <w:color w:val="484848"/>
          <w:kern w:val="0"/>
          <w:sz w:val="28"/>
          <w:szCs w:val="28"/>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left="84" w:firstLine="700"/>
        <w:rPr>
          <w:rFonts w:eastAsia="仿宋_GB2312"/>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项目资金申报及批复情况。根据《盐边县工业区开发建设管理委员会关于解决钛材加工园二期基础设施建设项目和龙蟒佰利联项目征地拆迁前期工作经费的请示》（盐边工管委〔2021〕 号文件）对项目资金进行申报。2021年11 月盐边县财政局作出批复下达资金文件（盐边资建〔2021〕279号），符合资金管理办法等相关规定。</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根据盐边县财政局《关于下达</w:t>
      </w:r>
      <w:r>
        <w:rPr>
          <w:rFonts w:hint="eastAsia" w:ascii="宋体" w:hAnsi="宋体" w:cs="宋体"/>
          <w:color w:val="484848"/>
          <w:kern w:val="0"/>
          <w:sz w:val="28"/>
          <w:szCs w:val="28"/>
        </w:rPr>
        <w:t>盐边县工业区开发建设管理委员会关于解决钛材加工园二期基础设施建设项目和龙蟒佰利联项目征地拆迁前期工作经费</w:t>
      </w:r>
      <w:r>
        <w:rPr>
          <w:rFonts w:hint="eastAsia" w:eastAsia="楷体_GB2312"/>
          <w:sz w:val="32"/>
          <w:szCs w:val="32"/>
        </w:rPr>
        <w:t>的通知》（盐财资建【2021】279号）下达项目资金20万元。</w:t>
      </w:r>
    </w:p>
    <w:p>
      <w:pPr>
        <w:spacing w:line="560" w:lineRule="exact"/>
        <w:ind w:firstLine="643" w:firstLineChars="200"/>
        <w:rPr>
          <w:rFonts w:eastAsia="楷体_GB2312"/>
          <w:sz w:val="32"/>
          <w:szCs w:val="32"/>
        </w:rPr>
      </w:pPr>
      <w:r>
        <w:rPr>
          <w:rFonts w:eastAsia="仿宋_GB2312"/>
          <w:b/>
          <w:sz w:val="32"/>
          <w:szCs w:val="32"/>
        </w:rPr>
        <w:t>2.资金到位。</w:t>
      </w:r>
      <w:r>
        <w:rPr>
          <w:rFonts w:hint="eastAsia" w:eastAsia="楷体_GB2312"/>
          <w:sz w:val="32"/>
          <w:szCs w:val="32"/>
        </w:rPr>
        <w:t>2021年11 月收到盐边县财政局下达项目资金  20万元。</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楷体_GB2312"/>
          <w:sz w:val="32"/>
          <w:szCs w:val="32"/>
        </w:rPr>
        <w:t>该项目资金己于2021年11 月支付新九镇协调费15万元，支付租车费3.437759万元。</w:t>
      </w:r>
    </w:p>
    <w:p>
      <w:pPr>
        <w:spacing w:line="560" w:lineRule="exact"/>
        <w:ind w:firstLine="640" w:firstLineChars="200"/>
        <w:rPr>
          <w:rFonts w:eastAsia="楷体_GB2312"/>
          <w:sz w:val="32"/>
          <w:szCs w:val="32"/>
        </w:rPr>
      </w:pPr>
      <w:r>
        <w:rPr>
          <w:rFonts w:eastAsia="楷体_GB2312"/>
          <w:sz w:val="32"/>
          <w:szCs w:val="32"/>
        </w:rPr>
        <w:t>（三）项目财务管理情况。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为保证钛材加工园二期基础设施项目和龙蟒佰利联项目征地拆迁项目顺利实施，经单位研究，决定成立该项目建设推进领导小组，并抽调专人组建强有力的协调推进”专班”进行“零距离”服务。</w:t>
      </w:r>
    </w:p>
    <w:p>
      <w:pPr>
        <w:spacing w:line="560" w:lineRule="exact"/>
        <w:ind w:firstLine="640" w:firstLineChars="200"/>
        <w:rPr>
          <w:rFonts w:eastAsia="楷体_GB2312"/>
          <w:sz w:val="32"/>
          <w:szCs w:val="32"/>
        </w:rPr>
      </w:pPr>
      <w:r>
        <w:rPr>
          <w:rFonts w:eastAsia="楷体_GB2312"/>
          <w:sz w:val="32"/>
          <w:szCs w:val="32"/>
        </w:rPr>
        <w:t>（二）项目管理情况。</w:t>
      </w:r>
    </w:p>
    <w:p>
      <w:pPr>
        <w:autoSpaceDE w:val="0"/>
        <w:autoSpaceDN w:val="0"/>
        <w:spacing w:before="203" w:line="372" w:lineRule="auto"/>
        <w:ind w:right="125" w:firstLine="560" w:firstLineChars="200"/>
        <w:rPr>
          <w:rFonts w:eastAsia="仿宋_GB2312"/>
          <w:sz w:val="32"/>
          <w:szCs w:val="32"/>
        </w:rPr>
      </w:pPr>
      <w:r>
        <w:rPr>
          <w:rFonts w:hint="eastAsia" w:ascii="宋体" w:hAnsi="宋体" w:cs="宋体"/>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eastAsia="楷体_GB2312"/>
          <w:sz w:val="32"/>
          <w:szCs w:val="32"/>
        </w:rPr>
      </w:pPr>
      <w:r>
        <w:rPr>
          <w:rFonts w:eastAsia="楷体_GB2312"/>
          <w:sz w:val="32"/>
          <w:szCs w:val="32"/>
        </w:rPr>
        <w:t>（三）项目监管情况</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领导小组办公室设在工业区管委会，确保项目按计划推进。</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项目于2021年 1月1日开工，于2021年12月 31日全面结束。项目资金主要用于协调费和租车费，完成率100%。</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项目实施后，保证钛材加工园二期基础设施建设和龙蟒佰利联建设项目的顺利进行。</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rPr>
      </w:pPr>
      <w:r>
        <w:rPr>
          <w:rFonts w:hint="eastAsia" w:eastAsia="仿宋_GB2312"/>
          <w:sz w:val="32"/>
          <w:szCs w:val="32"/>
        </w:rPr>
        <w:t>无</w:t>
      </w: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盐边县工业区开发建设管理委员会</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 xml:space="preserve">                        2022年5月18日</w:t>
      </w:r>
      <w:bookmarkStart w:id="0" w:name="_GoBack"/>
      <w:bookmarkEnd w:id="0"/>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F538D"/>
    <w:rsid w:val="00151ABE"/>
    <w:rsid w:val="001B732A"/>
    <w:rsid w:val="00331ABE"/>
    <w:rsid w:val="003A1F28"/>
    <w:rsid w:val="004032E0"/>
    <w:rsid w:val="0047390D"/>
    <w:rsid w:val="00496328"/>
    <w:rsid w:val="005456B4"/>
    <w:rsid w:val="00636028"/>
    <w:rsid w:val="00666766"/>
    <w:rsid w:val="006A592A"/>
    <w:rsid w:val="007303ED"/>
    <w:rsid w:val="0075068B"/>
    <w:rsid w:val="007B63F4"/>
    <w:rsid w:val="008277F8"/>
    <w:rsid w:val="0084537F"/>
    <w:rsid w:val="0089680F"/>
    <w:rsid w:val="00962800"/>
    <w:rsid w:val="00A133D8"/>
    <w:rsid w:val="00A36AF2"/>
    <w:rsid w:val="00A87487"/>
    <w:rsid w:val="00A92F0F"/>
    <w:rsid w:val="00A942AE"/>
    <w:rsid w:val="00AB7367"/>
    <w:rsid w:val="00BE488A"/>
    <w:rsid w:val="00C22052"/>
    <w:rsid w:val="00C366D5"/>
    <w:rsid w:val="00D2640D"/>
    <w:rsid w:val="00D46EB2"/>
    <w:rsid w:val="00D632B7"/>
    <w:rsid w:val="00D833CB"/>
    <w:rsid w:val="00D86E88"/>
    <w:rsid w:val="00D93265"/>
    <w:rsid w:val="00DF1E72"/>
    <w:rsid w:val="00E6779A"/>
    <w:rsid w:val="00E724AD"/>
    <w:rsid w:val="00E83A3A"/>
    <w:rsid w:val="00E96F9E"/>
    <w:rsid w:val="00EE03B4"/>
    <w:rsid w:val="00F24A9B"/>
    <w:rsid w:val="00F30025"/>
    <w:rsid w:val="00F91F09"/>
    <w:rsid w:val="00F940F5"/>
    <w:rsid w:val="00FB3A98"/>
    <w:rsid w:val="33B22CE5"/>
    <w:rsid w:val="42CE5115"/>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253</Words>
  <Characters>1447</Characters>
  <Lines>12</Lines>
  <Paragraphs>3</Paragraphs>
  <TotalTime>215</TotalTime>
  <ScaleCrop>false</ScaleCrop>
  <LinksUpToDate>false</LinksUpToDate>
  <CharactersWithSpaces>1697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2022-05-20T09:17:28Z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