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600" w:lineRule="exact"/>
        <w:rPr>
          <w:rFonts w:eastAsia="黑体"/>
          <w:color w:val="000000"/>
          <w:kern w:val="0"/>
          <w:sz w:val="44"/>
          <w:szCs w:val="44"/>
        </w:rPr>
      </w:pPr>
      <w:r>
        <w:rPr>
          <w:rFonts w:eastAsia="黑体"/>
          <w:color w:val="000000"/>
          <w:kern w:val="0"/>
          <w:sz w:val="32"/>
          <w:szCs w:val="32"/>
        </w:rPr>
        <w:t>附件4</w:t>
      </w:r>
    </w:p>
    <w:p>
      <w:pPr>
        <w:spacing w:line="60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</w:p>
    <w:p>
      <w:pPr>
        <w:spacing w:line="640" w:lineRule="exact"/>
        <w:jc w:val="center"/>
        <w:rPr>
          <w:rFonts w:hint="eastAsia" w:eastAsia="方正小标宋_GBK"/>
          <w:sz w:val="36"/>
          <w:szCs w:val="36"/>
          <w:lang w:eastAsia="zh-CN"/>
        </w:rPr>
      </w:pPr>
      <w:r>
        <w:rPr>
          <w:rFonts w:hint="eastAsia" w:eastAsia="方正小标宋_GBK"/>
          <w:sz w:val="36"/>
          <w:szCs w:val="36"/>
          <w:lang w:eastAsia="zh-CN"/>
        </w:rPr>
        <w:t>盐边县人力资源和社会保障局</w:t>
      </w:r>
    </w:p>
    <w:p>
      <w:pPr>
        <w:spacing w:line="640" w:lineRule="exact"/>
        <w:jc w:val="center"/>
        <w:rPr>
          <w:rFonts w:eastAsia="方正小标宋_GBK"/>
          <w:sz w:val="36"/>
          <w:szCs w:val="36"/>
        </w:rPr>
      </w:pPr>
      <w:r>
        <w:rPr>
          <w:rFonts w:hint="eastAsia" w:eastAsia="方正小标宋_GBK"/>
          <w:sz w:val="36"/>
          <w:szCs w:val="36"/>
        </w:rPr>
        <w:t xml:space="preserve">2021年度城镇居民人均可支配收入调查统计户培训资金绩效自评报告 </w:t>
      </w:r>
    </w:p>
    <w:p>
      <w:pPr>
        <w:spacing w:line="600" w:lineRule="exact"/>
        <w:rPr>
          <w:sz w:val="32"/>
          <w:szCs w:val="32"/>
          <w:lang w:val="zh-CN"/>
        </w:rPr>
      </w:pP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一、项目概况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（一）项目基本情况。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1.说明项目主管部门（单位）在该项目管理中的职能。</w:t>
      </w:r>
    </w:p>
    <w:p>
      <w:pPr>
        <w:snapToGrid w:val="0"/>
        <w:spacing w:line="520" w:lineRule="exact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该项目实施单位为盐边县人力资源和社会保障局，项目名称为：2021年度城镇居民人均可支配收入调查统计户培训资金。该项目实施内容为：</w:t>
      </w:r>
      <w:r>
        <w:rPr>
          <w:rFonts w:hint="eastAsia" w:eastAsia="仿宋_GB2312" w:cs="Times New Roman"/>
          <w:sz w:val="32"/>
          <w:szCs w:val="32"/>
          <w:lang w:eastAsia="zh-CN"/>
        </w:rPr>
        <w:t>为提高记账户业务技能水平，确保城镇居民人均可支配收入数据真实、准确、有效，对各乡镇及社区统计员、辅助调查员、记账户、结对帮扶干部等进行业务培训，推动城镇居民人均可支配收入统计工作顺利开展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2.项目立项、资金申报的依据。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依据盐财资行【2021】285号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对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2021年度城镇居民人均可支配收入调查统计户培训资金等文件要求，20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21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年下拨2021年度城镇居民人均可支配收入调查统计户培训资金共计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100000元。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3.资金管理办法制定情况，资金支持具体项目的条件、范围与支持方式概况。</w:t>
      </w:r>
    </w:p>
    <w:p>
      <w:pPr>
        <w:numPr>
          <w:numId w:val="0"/>
        </w:numPr>
        <w:autoSpaceDE w:val="0"/>
        <w:autoSpaceDN w:val="0"/>
        <w:adjustRightInd w:val="0"/>
        <w:spacing w:line="560" w:lineRule="exact"/>
        <w:jc w:val="left"/>
        <w:rPr>
          <w:rFonts w:ascii="Times New Roman" w:hAnsi="Times New Roman" w:eastAsia="仿宋_GB2312"/>
          <w:color w:val="FF0000"/>
          <w:kern w:val="0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该笔项目资金的管理，依据盐边财政关于项目资金的使用要求进行资金管理，专款专用，及时用于对2021年度城镇居民人均可支配收入调查统计户的统计业务培训。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4.资金分配的原则及考虑因素。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根据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盐财资行【2021】285号文件要求及该工作实际情况，</w:t>
      </w:r>
      <w:r>
        <w:rPr>
          <w:rFonts w:hint="eastAsia" w:eastAsia="仿宋_GB2312" w:cs="Times New Roman"/>
          <w:sz w:val="32"/>
          <w:szCs w:val="32"/>
          <w:lang w:eastAsia="zh-CN"/>
        </w:rPr>
        <w:t>对各乡镇及社区统计员、辅助调查员、记账户、结对帮扶干部等进行业务培训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，</w:t>
      </w:r>
      <w:r>
        <w:rPr>
          <w:rFonts w:hint="eastAsia" w:eastAsia="仿宋_GB2312" w:cs="Times New Roman"/>
          <w:sz w:val="32"/>
          <w:szCs w:val="32"/>
          <w:lang w:eastAsia="zh-CN"/>
        </w:rPr>
        <w:t>认真做好收支登记工作，实事求是，依法依规记账，不漏记、不错记，全力支持配合统计调查工作，推动城镇居民人均可支配收入统计工作顺利开展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（二）项目绩效目标。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1.项目主要内容。</w:t>
      </w:r>
    </w:p>
    <w:p>
      <w:pPr>
        <w:snapToGrid w:val="0"/>
        <w:spacing w:line="520" w:lineRule="exact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项目主要内容为：</w:t>
      </w:r>
      <w:r>
        <w:rPr>
          <w:rFonts w:hint="eastAsia" w:eastAsia="仿宋_GB2312" w:cs="Times New Roman"/>
          <w:sz w:val="32"/>
          <w:szCs w:val="32"/>
          <w:lang w:eastAsia="zh-CN"/>
        </w:rPr>
        <w:t>为提高记账户业务技能水平，确保城镇居民人均可支配收入数据真实、准确、有效，对各乡镇及社区统计员、辅助调查员、记账户、结对帮扶干部等进行业务培训，推动城镇居民人均可支配收入统计工作顺利开展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2.项目应实现的具体绩效目标，包括目标的量化、细化情况以及项目实施进度计划等。</w:t>
      </w:r>
    </w:p>
    <w:p>
      <w:pPr>
        <w:snapToGrid w:val="0"/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项目应实现的具体绩效目标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：</w:t>
      </w:r>
      <w:r>
        <w:rPr>
          <w:rFonts w:hint="eastAsia" w:eastAsia="仿宋_GB2312" w:cs="Times New Roman"/>
          <w:sz w:val="32"/>
          <w:szCs w:val="32"/>
          <w:lang w:eastAsia="zh-CN"/>
        </w:rPr>
        <w:t>对各乡镇及社区统计员、辅助调查员、记账户、结对帮扶干部等进行业务培训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，</w:t>
      </w:r>
      <w:r>
        <w:rPr>
          <w:rFonts w:hint="eastAsia" w:eastAsia="仿宋_GB2312" w:cs="Times New Roman"/>
          <w:sz w:val="32"/>
          <w:szCs w:val="32"/>
          <w:lang w:eastAsia="zh-CN"/>
        </w:rPr>
        <w:t>认真做好收支登记工作，实事求是，依法依规记账，不漏记、不错记，全力支持配合统计调查工作，推动城镇居民人均可支配收入统计工作顺利开展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3.分析评价申报内容是否与实际相符，申报目标是否合理可行。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分析评价申报内容与实际相符，申报目标合理可行。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二、项目资金申报及使用情况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（一）项目资金申报及批复情况。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根据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盐财资行【2021】285号文件要求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，2021年8月县财政局拨付资金。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（二）资金计划、到位及使用情况。</w:t>
      </w:r>
    </w:p>
    <w:p>
      <w:pPr>
        <w:spacing w:line="560" w:lineRule="exact"/>
        <w:ind w:firstLine="640" w:firstLineChars="200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eastAsia="仿宋_GB2312"/>
          <w:b/>
          <w:sz w:val="32"/>
          <w:szCs w:val="32"/>
        </w:rPr>
        <w:t>1.资金计划。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根据县人社局拨付资金的请求，县级财政拟同意拨付该笔专项资金。</w:t>
      </w:r>
    </w:p>
    <w:p>
      <w:pPr>
        <w:spacing w:line="560" w:lineRule="exact"/>
        <w:ind w:firstLine="643" w:firstLineChars="200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eastAsia="仿宋_GB2312"/>
          <w:b/>
          <w:sz w:val="32"/>
          <w:szCs w:val="32"/>
        </w:rPr>
        <w:t>2.资金到位。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2021年8月，该笔项目资金由县财政局拨付至大平台。</w:t>
      </w:r>
    </w:p>
    <w:p>
      <w:pPr>
        <w:spacing w:line="56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3.资金使用。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我局于2021年8月通过财政大平台一次性拨付，依据资金使用申报流程，申报该项目支出的用款计划，资金划转安全、及时、规范，资金支付合规合法、与预算相符。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（三）项目财务管理情况。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我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局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严格执行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《行政事业单位财务管理制度》等财务管理制度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权限管理规范，内控较为严谨，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账务处理及时，会计核算规范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，该笔项目资金从申报到支付，均严格遵守资金使用流程，专款专用，依法依规进行全流程、精细化管理，确保资金安全。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三、项目实施及管理情况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（一）项目组织架构及实施流程。</w:t>
      </w: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val="en-US" w:eastAsia="zh-CN"/>
        </w:rPr>
      </w:pPr>
      <w:r>
        <w:rPr>
          <w:rFonts w:ascii="Times New Roman" w:hAnsi="Times New Roman" w:eastAsia="宋体" w:cs="Times New Roman"/>
          <w:kern w:val="2"/>
          <w:sz w:val="32"/>
          <w:szCs w:val="24"/>
          <w:lang w:val="en-US" w:eastAsia="zh-CN" w:bidi="ar-SA"/>
        </w:rPr>
        <w:pict>
          <v:line id="箭头 1" o:spid="_x0000_s1026" style="position:absolute;left:0;margin-left:192.5pt;margin-top:18.65pt;height:0.05pt;width:84.75pt;rotation:0f;z-index:251658240;" o:ole="f" fillcolor="#FFFFFF" filled="f" o:preferrelative="t" stroked="t" coordsize="21600,21600">
            <v:fill on="f" color2="#FFFFFF" focus="0%"/>
            <v:stroke weight="1.25pt" color="#739CC3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eastAsia" w:eastAsia="楷体_GB2312"/>
          <w:sz w:val="32"/>
          <w:szCs w:val="32"/>
          <w:lang w:eastAsia="zh-CN"/>
        </w:rPr>
        <w:t>财务室：资金使用申报</w:t>
      </w:r>
      <w:r>
        <w:rPr>
          <w:rFonts w:hint="eastAsia" w:eastAsia="楷体_GB2312"/>
          <w:sz w:val="32"/>
          <w:szCs w:val="32"/>
          <w:lang w:val="en-US" w:eastAsia="zh-CN"/>
        </w:rPr>
        <w:t xml:space="preserve">           财政局：资金审批</w:t>
      </w: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val="en-US" w:eastAsia="zh-CN"/>
        </w:rPr>
      </w:pPr>
      <w:r>
        <w:rPr>
          <w:rFonts w:ascii="Times New Roman" w:hAnsi="Times New Roman" w:eastAsia="宋体" w:cs="Times New Roman"/>
          <w:kern w:val="2"/>
          <w:sz w:val="32"/>
          <w:szCs w:val="24"/>
          <w:lang w:val="en-US" w:eastAsia="zh-CN" w:bidi="ar-SA"/>
        </w:rPr>
        <w:pict>
          <v:line id="箭头 2" o:spid="_x0000_s1027" style="position:absolute;left:0;margin-left:315.5pt;margin-top:1.9pt;height:56.25pt;width:1.5pt;rotation:0f;z-index:251659264;" o:ole="f" fillcolor="#FFFFFF" filled="f" o:preferrelative="t" stroked="t" coordsize="21600,21600">
            <v:fill on="f" color2="#FFFFFF" focus="0%"/>
            <v:stroke weight="1.25pt" color="#739CC3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eastAsia" w:eastAsia="楷体_GB2312"/>
          <w:sz w:val="32"/>
          <w:szCs w:val="32"/>
          <w:lang w:val="en-US" w:eastAsia="zh-CN"/>
        </w:rPr>
        <w:t xml:space="preserve">     </w:t>
      </w: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val="en-US" w:eastAsia="zh-CN"/>
        </w:rPr>
      </w:pP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val="en-US" w:eastAsia="zh-CN"/>
        </w:rPr>
      </w:pPr>
      <w:r>
        <w:rPr>
          <w:rFonts w:ascii="Times New Roman" w:hAnsi="Times New Roman" w:eastAsia="宋体" w:cs="Times New Roman"/>
          <w:kern w:val="2"/>
          <w:sz w:val="32"/>
          <w:szCs w:val="24"/>
          <w:lang w:val="en-US" w:eastAsia="zh-CN" w:bidi="ar-SA"/>
        </w:rPr>
        <w:pict>
          <v:line id="箭头 6" o:spid="_x0000_s1028" style="position:absolute;left:0;flip:x;margin-left:202.55pt;margin-top:18.2pt;height:0.05pt;width:66.75pt;rotation:0f;z-index:251660288;" o:ole="f" fillcolor="#FFFFFF" filled="f" o:preferrelative="t" stroked="t" coordsize="21600,21600">
            <v:fill on="f" color2="#FFFFFF" focus="0%"/>
            <v:stroke weight="1.25pt" color="#739CC3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eastAsia" w:eastAsia="楷体_GB2312"/>
          <w:sz w:val="32"/>
          <w:szCs w:val="32"/>
          <w:lang w:val="en-US" w:eastAsia="zh-CN"/>
        </w:rPr>
        <w:t xml:space="preserve">          银行：支付          财务室：打印支票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（二）项目管理情况。</w:t>
      </w:r>
    </w:p>
    <w:p>
      <w:pPr>
        <w:spacing w:line="560" w:lineRule="exact"/>
        <w:ind w:firstLine="640" w:firstLineChars="200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根据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盐财资行【2021】285号文件要求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，2021年8月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该笔项目资金由县财政局拨付至大平台，资金划转安全、及时、规范，资金支付合规合法、与预算相符。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（三）项目监管情况。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严格执行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《行政事业单位财务管理制度》等财务管理制度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权限管理规范，内控较为严谨，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账务处理及时，会计核算规范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，该笔项目资金从申报到支付，均严格遵守资金使用流程，专款专用，依法依规进行全流程、精细化管理，确保资金安全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四、项目绩效情况</w:t>
      </w:r>
      <w:r>
        <w:rPr>
          <w:rFonts w:eastAsia="黑体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（一）项目完成情况。</w:t>
      </w:r>
    </w:p>
    <w:p>
      <w:pPr>
        <w:snapToGrid w:val="0"/>
        <w:spacing w:line="520" w:lineRule="exact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</w:pPr>
      <w:r>
        <w:rPr>
          <w:rFonts w:hint="eastAsia" w:eastAsia="仿宋_GB2312" w:cs="Times New Roman"/>
          <w:sz w:val="32"/>
          <w:szCs w:val="32"/>
          <w:lang w:eastAsia="zh-CN"/>
        </w:rPr>
        <w:t>对各乡镇及社区统计员、辅助调查员、记账户、结对帮扶干部等进行业务培训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，</w:t>
      </w:r>
      <w:r>
        <w:rPr>
          <w:rFonts w:hint="eastAsia" w:eastAsia="仿宋_GB2312" w:cs="Times New Roman"/>
          <w:sz w:val="32"/>
          <w:szCs w:val="32"/>
          <w:lang w:eastAsia="zh-CN"/>
        </w:rPr>
        <w:t>认真做好收支登记工作，实事求是，依法依规记账，不漏记、不错记，全力支持配合统计调查工作，推动城镇居民人均可支配收入统计工作顺利开展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年终决算时，纳入项目支出的资金共计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100000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元。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（二）项目效益情况。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</w:pPr>
      <w:r>
        <w:rPr>
          <w:rFonts w:hint="eastAsia" w:eastAsia="仿宋_GB2312" w:cs="Times New Roman"/>
          <w:sz w:val="32"/>
          <w:szCs w:val="32"/>
          <w:lang w:eastAsia="zh-CN"/>
        </w:rPr>
        <w:t>对各乡镇及社区统计员、辅助调查员、记账户、结对帮扶干部等进行业务培训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，</w:t>
      </w:r>
      <w:r>
        <w:rPr>
          <w:rFonts w:hint="eastAsia" w:eastAsia="仿宋_GB2312" w:cs="Times New Roman"/>
          <w:sz w:val="32"/>
          <w:szCs w:val="32"/>
          <w:lang w:eastAsia="zh-CN"/>
        </w:rPr>
        <w:t>认真做好收支登记工作，实事求是，依法依规记账，不漏记、不错记，全力支持配合统计调查工作，推动城镇居民人均可支配收入统计工作顺利开展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五、评价结论及建议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（一）评价结论。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  <w:lang w:eastAsia="zh-CN"/>
        </w:rPr>
        <w:t>经初步评价，我局重点</w:t>
      </w:r>
      <w:r>
        <w:rPr>
          <w:rFonts w:eastAsia="仿宋_GB2312"/>
          <w:color w:val="auto"/>
          <w:sz w:val="32"/>
          <w:szCs w:val="32"/>
        </w:rPr>
        <w:t>项目</w:t>
      </w:r>
      <w:r>
        <w:rPr>
          <w:rFonts w:hint="eastAsia" w:eastAsia="仿宋_GB2312"/>
          <w:color w:val="auto"/>
          <w:sz w:val="32"/>
          <w:szCs w:val="32"/>
          <w:lang w:eastAsia="zh-CN"/>
        </w:rPr>
        <w:t>专项</w:t>
      </w:r>
      <w:r>
        <w:rPr>
          <w:rFonts w:eastAsia="仿宋_GB2312"/>
          <w:color w:val="auto"/>
          <w:sz w:val="32"/>
          <w:szCs w:val="32"/>
        </w:rPr>
        <w:t>资金</w:t>
      </w:r>
      <w:r>
        <w:rPr>
          <w:rFonts w:hint="eastAsia" w:eastAsia="仿宋_GB2312"/>
          <w:color w:val="auto"/>
          <w:sz w:val="32"/>
          <w:szCs w:val="32"/>
          <w:lang w:eastAsia="zh-CN"/>
        </w:rPr>
        <w:t>—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2021年度城镇居民人均可支配收入调查统计户培训资金，项目资金申报与项目实际相符；资金支出时间节点较为及时，不存在截留挪用专项资金的违规情况；资金支出按程序审批，合法、合规；资金使用目标明确，受益群体满意度较高，全面达到预期目标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（二）存在的问题。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2021年我县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城镇居民人均可支配收入增长虽超过预期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0.5个百分点，但在全市排名为第五名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ab/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（三）相关建议。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继续做好城镇居民人均可支配收入统计宣传解释与业务培训工作，打消记账顾虑，积极指导记账户、辅助员合理记账、科学记账、依法记账，避免漏记。</w:t>
      </w:r>
      <w:r>
        <w:rPr>
          <w:rFonts w:hint="eastAsia" w:eastAsia="仿宋_GB2312"/>
          <w:color w:val="0000FF"/>
          <w:sz w:val="32"/>
          <w:szCs w:val="32"/>
          <w:lang w:val="en-US" w:eastAsia="zh-CN"/>
        </w:rPr>
        <w:t xml:space="preserve"> </w:t>
      </w:r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宋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华文仿宋">
    <w:altName w:val="微软雅黑"/>
    <w:panose1 w:val="02010600040101010101"/>
    <w:charset w:val="86"/>
    <w:family w:val="auto"/>
    <w:pitch w:val="default"/>
    <w:sig w:usb0="00000287" w:usb1="080F0000" w:usb2="00000010" w:usb3="00000000" w:csb0="000400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中宋">
    <w:altName w:val="微软雅黑"/>
    <w:panose1 w:val="00000000000000000000"/>
    <w:charset w:val="86"/>
    <w:family w:val="auto"/>
    <w:pitch w:val="default"/>
    <w:sig w:usb0="00000287" w:usb1="080E0000" w:usb2="00000010" w:usb3="00000000" w:csb0="0004009F" w:csb1="0000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  <w:font w:name="宋体-方正超大字符集">
    <w:altName w:val="宋体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TimesNewRoman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5">
    <w:name w:val="页眉 Char"/>
    <w:basedOn w:val="4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6">
    <w:name w:val="页脚 Char"/>
    <w:basedOn w:val="4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190</Words>
  <Characters>1083</Characters>
  <Lines>9</Lines>
  <Paragraphs>2</Paragraphs>
  <ScaleCrop>false</ScaleCrop>
  <LinksUpToDate>false</LinksUpToDate>
  <CharactersWithSpaces>0</CharactersWithSpaces>
  <Application>WPS Office 个人版_9.1.0.4517_{F1E327BC-269C-435d-A152-05C5408002CA}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hp3330</cp:lastModifiedBy>
  <cp:lastPrinted>2022-05-19T01:55:00Z</cp:lastPrinted>
  <dcterms:modified xsi:type="dcterms:W3CDTF">2022-05-19T02:31:46Z</dcterms:modified>
  <dc:title>附件4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2052-9.1.0.4517</vt:lpwstr>
  </property>
  <property fmtid="{D5CDD505-2E9C-101B-9397-08002B2CF9AE}" pid="3" name="ICV">
    <vt:lpwstr>7A6F0BFEA6F04BD4834EC0714B41E695</vt:lpwstr>
  </property>
</Properties>
</file>