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line="600" w:lineRule="exact"/>
        <w:rPr>
          <w:rFonts w:eastAsia="黑体"/>
          <w:color w:val="000000"/>
          <w:kern w:val="0"/>
          <w:sz w:val="44"/>
          <w:szCs w:val="44"/>
        </w:rPr>
      </w:pPr>
      <w:r>
        <w:rPr>
          <w:rFonts w:eastAsia="黑体"/>
          <w:color w:val="000000"/>
          <w:kern w:val="0"/>
          <w:sz w:val="32"/>
          <w:szCs w:val="32"/>
        </w:rPr>
        <w:t>附件4</w:t>
      </w:r>
    </w:p>
    <w:p>
      <w:pPr>
        <w:spacing w:line="600" w:lineRule="exact"/>
        <w:jc w:val="center"/>
        <w:rPr>
          <w:rFonts w:eastAsia="方正小标宋简体"/>
          <w:color w:val="000000"/>
          <w:kern w:val="0"/>
          <w:sz w:val="44"/>
          <w:szCs w:val="44"/>
        </w:rPr>
      </w:pPr>
    </w:p>
    <w:p>
      <w:pPr>
        <w:spacing w:line="640" w:lineRule="exact"/>
        <w:jc w:val="center"/>
        <w:rPr>
          <w:rFonts w:hint="eastAsia" w:eastAsia="方正小标宋_GBK"/>
          <w:sz w:val="36"/>
          <w:szCs w:val="36"/>
          <w:lang w:eastAsia="zh-CN"/>
        </w:rPr>
      </w:pPr>
      <w:r>
        <w:rPr>
          <w:rFonts w:hint="eastAsia" w:eastAsia="方正小标宋_GBK"/>
          <w:sz w:val="36"/>
          <w:szCs w:val="36"/>
          <w:lang w:eastAsia="zh-CN"/>
        </w:rPr>
        <w:t>盐边县人力资源和社会保障局</w:t>
      </w:r>
    </w:p>
    <w:p>
      <w:pPr>
        <w:spacing w:line="640" w:lineRule="exact"/>
        <w:jc w:val="center"/>
        <w:rPr>
          <w:rFonts w:eastAsia="方正小标宋_GBK"/>
          <w:sz w:val="36"/>
          <w:szCs w:val="36"/>
        </w:rPr>
      </w:pPr>
      <w:r>
        <w:rPr>
          <w:rFonts w:hint="eastAsia" w:eastAsia="方正小标宋_GBK"/>
          <w:sz w:val="36"/>
          <w:szCs w:val="36"/>
        </w:rPr>
        <w:t xml:space="preserve">使用福彩公益金绩效自评报告 </w:t>
      </w:r>
    </w:p>
    <w:p>
      <w:pPr>
        <w:spacing w:line="600" w:lineRule="exact"/>
        <w:rPr>
          <w:sz w:val="32"/>
          <w:szCs w:val="32"/>
          <w:lang w:val="zh-CN"/>
        </w:rPr>
      </w:pP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一、项目概况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（一）项目基本情况。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1.说明项目主管部门（单位）在该项目管理中的职能。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该项目实施单位为盐边县人力资源和社会保障局，项目名称为：盐边县人力资源和社会保障局使用福彩公益金（用于2021年度秋季原建档立卡贫困家庭学生资助）。该项目实施内容为：</w:t>
      </w:r>
      <w:r>
        <w:rPr>
          <w:rFonts w:hint="eastAsia" w:eastAsia="仿宋_GB2312" w:cs="Times New Roman"/>
          <w:sz w:val="32"/>
          <w:szCs w:val="32"/>
          <w:lang w:eastAsia="zh-CN"/>
        </w:rPr>
        <w:t>根据《四川省财政厅 四川省教育厅 四川省人力资源和社会保障厅 四川省扶贫移民局关于实施教育扶贫攻坚政策有关事项的通知》（川财教〔2015〕230号）和《四川省教育厅 四川省财政厅关于切实做好2021年春季学期学生资助有关工作的通知》（川教函〔2021〕81号）文件精神，</w:t>
      </w:r>
      <w:r>
        <w:rPr>
          <w:rFonts w:hint="eastAsia" w:ascii="仿宋_GB2312" w:eastAsia="仿宋_GB2312"/>
          <w:sz w:val="32"/>
          <w:szCs w:val="32"/>
          <w:lang w:eastAsia="zh-CN"/>
        </w:rPr>
        <w:t>2020年及以前入学的脱贫户（原建档立卡贫困户，下同）全日制中职学生继续享受每生每学期500元的教育扶贫特别资助，直到中职阶段学业结束；2016年至2020年新入学的脱贫户全日制本专科学生继续享受每生每年4000元（学费和生活费各2000元）的教育扶贫特别资助政策，直到本专科阶段学业结束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2.项目立项、资金申报的依据。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依据盐财资综【2021】82号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对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盐边县人力资源和社会保障局使用福彩公益金等文件要求，20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21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年下拨盐边县人力资源和社会保障局使用福彩公益金共计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16500元。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3.资金管理办法制定情况，资金支持具体项目的条件、范围与支持方式概况。</w:t>
      </w:r>
    </w:p>
    <w:p>
      <w:pPr>
        <w:numPr>
          <w:numId w:val="0"/>
        </w:numPr>
        <w:autoSpaceDE w:val="0"/>
        <w:autoSpaceDN w:val="0"/>
        <w:adjustRightInd w:val="0"/>
        <w:spacing w:line="560" w:lineRule="exact"/>
        <w:jc w:val="left"/>
        <w:rPr>
          <w:rFonts w:ascii="Times New Roman" w:hAnsi="Times New Roman" w:eastAsia="仿宋_GB2312"/>
          <w:color w:val="FF0000"/>
          <w:kern w:val="0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该笔项目资金的管理，依据盐边财政关于项目资金的使用要求进行资金管理，专款专用，及时用于2021年度秋季原建档立卡贫困家庭学生生活资助。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4.资金分配的原则及考虑因素。</w:t>
      </w:r>
    </w:p>
    <w:p>
      <w:pPr>
        <w:spacing w:line="560" w:lineRule="exact"/>
        <w:ind w:firstLine="640" w:firstLineChars="200"/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</w:pPr>
      <w:r>
        <w:rPr>
          <w:rFonts w:hint="eastAsia" w:eastAsia="仿宋_GB2312"/>
          <w:sz w:val="32"/>
          <w:szCs w:val="32"/>
          <w:lang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盐财资综【2021】82号文件要求及该工作实际情况，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（二）项目绩效目标。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1.项目主要内容。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项目主要内容为：</w:t>
      </w:r>
      <w:r>
        <w:rPr>
          <w:rFonts w:hint="eastAsia" w:eastAsia="仿宋_GB2312" w:cs="Times New Roman"/>
          <w:sz w:val="32"/>
          <w:szCs w:val="32"/>
          <w:lang w:eastAsia="zh-CN"/>
        </w:rPr>
        <w:t>根据《四川省财政厅 四川省教育厅 四川省人力资源和社会保障厅 四川省扶贫移民局关于实施教育扶贫攻坚政策有关事项的通知》（川财教〔2015〕230号）和《四川省教育厅 四川省财政厅关于切实做好2021年春季学期学生资助有关工作的通知》（川教函〔2021〕81号）文件精神，</w:t>
      </w:r>
      <w:r>
        <w:rPr>
          <w:rFonts w:hint="eastAsia" w:ascii="仿宋_GB2312" w:eastAsia="仿宋_GB2312"/>
          <w:sz w:val="32"/>
          <w:szCs w:val="32"/>
          <w:lang w:eastAsia="zh-CN"/>
        </w:rPr>
        <w:t>2020年及以前入学的脱贫户（原建档立卡贫困户，下同）全日制中职学生继续享受每生每学期500元的教育扶贫特别资助，直到中职阶段学业结束；2016年至2020年新入学的脱贫户全日制本专科学生继续享受每生每年4000元（学费和生活费各2000元）的教育扶贫特别资助政策，直到本专科阶段学业结束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2.项目应实现的具体绩效目标，包括目标的量化、细化情况以及项目实施进度计划等。</w:t>
      </w:r>
    </w:p>
    <w:p>
      <w:pPr>
        <w:snapToGrid w:val="0"/>
        <w:spacing w:line="52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项目应实现的具体绩效目标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：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，能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16500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3.分析评价申报内容是否与实际相符，申报目标是否合理可行。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分析评价申报内容与实际相符，申报目标合理可行。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二、项目资金申报及使用情况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（一）项目资金申报及批复情况。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盐财资综【2021】82号文件要求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，2021年12月县财政局拨付资金。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（二）资金计划、到位及使用情况。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1.资金计划。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根据县人社局拨付资金的请求，县级财政拟同意拨付该笔专项资金。</w:t>
      </w:r>
    </w:p>
    <w:p>
      <w:pPr>
        <w:spacing w:line="560" w:lineRule="exact"/>
        <w:ind w:firstLine="643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eastAsia="仿宋_GB2312"/>
          <w:b/>
          <w:sz w:val="32"/>
          <w:szCs w:val="32"/>
        </w:rPr>
        <w:t>2.资金到位。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2021年12月，该笔项目资金由县财政局拨付至大平台。</w:t>
      </w:r>
    </w:p>
    <w:p>
      <w:pPr>
        <w:spacing w:line="560" w:lineRule="exact"/>
        <w:ind w:firstLine="643" w:firstLineChars="200"/>
        <w:rPr>
          <w:rFonts w:eastAsia="仿宋_GB2312"/>
          <w:sz w:val="32"/>
          <w:szCs w:val="32"/>
        </w:rPr>
      </w:pPr>
      <w:r>
        <w:rPr>
          <w:rFonts w:eastAsia="仿宋_GB2312"/>
          <w:b/>
          <w:sz w:val="32"/>
          <w:szCs w:val="32"/>
        </w:rPr>
        <w:t>3.资金使用。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我局于2021年12月通过财政大平台一次性拨付，依据资金使用申报流程，申报该项目支出的用款计划，并将该笔资金以授权支付方式全额划转至每位受补助学生本人账户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（三）项目财务管理情况。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我</w:t>
      </w: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局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三、项目实施及管理情况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（一）项目组织架构及实施流程。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1" o:spid="_x0000_s1026" style="position:absolute;left:0;margin-left:192.5pt;margin-top:18.65pt;height:0.05pt;width:84.75pt;rotation:0f;z-index:251658240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eastAsia="zh-CN"/>
        </w:rPr>
        <w:t>财务室：资金使用申报</w: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 财政局：资金审批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2" o:spid="_x0000_s1027" style="position:absolute;left:0;margin-left:315.5pt;margin-top:1.9pt;height:56.25pt;width:1.5pt;rotation:0f;z-index:251659264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</w:t>
      </w: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</w:p>
    <w:p>
      <w:pPr>
        <w:spacing w:line="560" w:lineRule="exact"/>
        <w:ind w:firstLine="640" w:firstLineChars="200"/>
        <w:rPr>
          <w:rFonts w:hint="eastAsia" w:eastAsia="楷体_GB2312"/>
          <w:sz w:val="32"/>
          <w:szCs w:val="32"/>
          <w:lang w:val="en-US" w:eastAsia="zh-CN"/>
        </w:rPr>
      </w:pPr>
      <w:r>
        <w:rPr>
          <w:rFonts w:ascii="Times New Roman" w:hAnsi="Times New Roman" w:eastAsia="宋体" w:cs="Times New Roman"/>
          <w:kern w:val="2"/>
          <w:sz w:val="32"/>
          <w:szCs w:val="24"/>
          <w:lang w:val="en-US" w:eastAsia="zh-CN" w:bidi="ar-SA"/>
        </w:rPr>
        <w:pict>
          <v:line id="箭头 6" o:spid="_x0000_s1028" style="position:absolute;left:0;flip:x;margin-left:202.55pt;margin-top:18.2pt;height:0.05pt;width:66.75pt;rotation:0f;z-index:251660288;" o:ole="f" fillcolor="#FFFFFF" filled="f" o:preferrelative="t" stroked="t" coordsize="21600,21600">
            <v:fill on="f" color2="#FFFFFF" focus="0%"/>
            <v:stroke weight="1.25pt" color="#739CC3" color2="#FFFFFF" miterlimit="2" endarrow="block"/>
            <v:imagedata gain="65536f" blacklevel="0f" gamma="0"/>
            <o:lock v:ext="edit" position="f" selection="f" grouping="f" rotation="f" cropping="f" text="f" aspectratio="f"/>
          </v:line>
        </w:pict>
      </w:r>
      <w:r>
        <w:rPr>
          <w:rFonts w:hint="eastAsia" w:eastAsia="楷体_GB2312"/>
          <w:sz w:val="32"/>
          <w:szCs w:val="32"/>
          <w:lang w:val="en-US" w:eastAsia="zh-CN"/>
        </w:rPr>
        <w:t xml:space="preserve">          银行：支付          财务室：打印支票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（二）项目管理情况。</w:t>
      </w:r>
    </w:p>
    <w:p>
      <w:pPr>
        <w:spacing w:line="560" w:lineRule="exact"/>
        <w:ind w:firstLine="640" w:firstLineChars="200"/>
        <w:rPr>
          <w:rFonts w:hint="eastAsia" w:eastAsia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根据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盐财资综【2021】82号文件要求</w:t>
      </w: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，2021年12月</w:t>
      </w:r>
      <w:r>
        <w:rPr>
          <w:rFonts w:hint="eastAsia" w:eastAsia="仿宋_GB2312"/>
          <w:color w:val="auto"/>
          <w:sz w:val="32"/>
          <w:szCs w:val="32"/>
          <w:lang w:val="en-US" w:eastAsia="zh-CN"/>
        </w:rPr>
        <w:t>该笔项目资金由县财政局拨付至大平台，并将该笔资金以授权支付方式全额划转至每位受补助学生本人账户，资金划转安全、及时、规范，资金支付合规合法、与预算相符。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（三）项目监管情况。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严格执行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《行政事业单位财务管理制度》等财务管理制度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，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权限管理规范，内控较为严谨，</w:t>
      </w:r>
      <w:r>
        <w:rPr>
          <w:rFonts w:ascii="Times New Roman" w:hAnsi="Times New Roman" w:eastAsia="仿宋_GB2312"/>
          <w:color w:val="auto"/>
          <w:kern w:val="0"/>
          <w:sz w:val="32"/>
          <w:szCs w:val="32"/>
        </w:rPr>
        <w:t>账务处理及时，会计核算规范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eastAsia="zh-CN"/>
        </w:rPr>
        <w:t>，该笔项目资金从申报到支付，均严格遵守资金使用流程，专款专用，依法依规进行全流程、精细化管理，确保资金安全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四、项目绩效情况</w:t>
      </w:r>
      <w:r>
        <w:rPr>
          <w:rFonts w:eastAsia="黑体"/>
          <w:sz w:val="32"/>
          <w:szCs w:val="32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（一）项目完成情况。</w:t>
      </w:r>
    </w:p>
    <w:p>
      <w:pPr>
        <w:snapToGrid w:val="0"/>
        <w:spacing w:line="52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eastAsia="仿宋_GB2312"/>
          <w:color w:val="auto"/>
          <w:kern w:val="0"/>
          <w:sz w:val="32"/>
          <w:szCs w:val="32"/>
          <w:lang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，能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  <w:t>。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年终决算时，纳入项目支出的资金共计</w:t>
      </w:r>
      <w:r>
        <w:rPr>
          <w:rFonts w:hint="eastAsia" w:eastAsia="仿宋_GB2312"/>
          <w:color w:val="auto"/>
          <w:kern w:val="0"/>
          <w:sz w:val="32"/>
          <w:szCs w:val="32"/>
          <w:lang w:val="en-US" w:eastAsia="zh-CN"/>
        </w:rPr>
        <w:t>16500</w:t>
      </w:r>
      <w:r>
        <w:rPr>
          <w:rFonts w:hint="eastAsia" w:ascii="Times New Roman" w:hAnsi="Times New Roman" w:eastAsia="仿宋_GB2312"/>
          <w:color w:val="auto"/>
          <w:kern w:val="0"/>
          <w:sz w:val="32"/>
          <w:szCs w:val="32"/>
          <w:lang w:val="en-US" w:eastAsia="zh-CN"/>
        </w:rPr>
        <w:t>元。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（二）项目效益情况。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为</w:t>
      </w:r>
      <w:r>
        <w:rPr>
          <w:rFonts w:hint="eastAsia" w:ascii="仿宋_GB2312" w:eastAsia="仿宋_GB2312"/>
          <w:sz w:val="32"/>
          <w:szCs w:val="32"/>
          <w:lang w:eastAsia="zh-CN"/>
        </w:rPr>
        <w:t>全日制中职学生补贴每生每学期500元的教育扶贫特别资助</w:t>
      </w:r>
      <w:r>
        <w:rPr>
          <w:rFonts w:hint="eastAsia" w:ascii="仿宋_GB2312" w:hAnsi="仿宋" w:eastAsia="仿宋_GB2312"/>
          <w:color w:val="auto"/>
          <w:sz w:val="32"/>
          <w:szCs w:val="32"/>
          <w:highlight w:val="none"/>
          <w:lang w:val="en-US" w:eastAsia="zh-CN"/>
        </w:rPr>
        <w:t>，</w:t>
      </w:r>
      <w:r>
        <w:rPr>
          <w:rFonts w:hint="eastAsia" w:eastAsia="仿宋_GB2312" w:cs="Times New Roman"/>
          <w:sz w:val="32"/>
          <w:szCs w:val="32"/>
          <w:lang w:eastAsia="zh-CN"/>
        </w:rPr>
        <w:t>更好地帮助原建档立卡贫困家庭学生完成学业，实现稳定脱贫</w:t>
      </w:r>
      <w:r>
        <w:rPr>
          <w:rFonts w:hint="eastAsia" w:ascii="Times New Roman" w:hAnsi="Times New Roman" w:eastAsia="仿宋_GB2312" w:cs="Times New Roman"/>
          <w:sz w:val="32"/>
          <w:szCs w:val="32"/>
          <w:lang w:eastAsia="zh-CN"/>
        </w:rPr>
        <w:t>。</w:t>
      </w:r>
    </w:p>
    <w:p>
      <w:pPr>
        <w:spacing w:line="560" w:lineRule="exact"/>
        <w:ind w:firstLine="640" w:firstLineChars="200"/>
        <w:rPr>
          <w:rFonts w:eastAsia="黑体"/>
          <w:sz w:val="32"/>
          <w:szCs w:val="32"/>
        </w:rPr>
      </w:pPr>
      <w:r>
        <w:rPr>
          <w:rFonts w:eastAsia="黑体"/>
          <w:sz w:val="32"/>
          <w:szCs w:val="32"/>
        </w:rPr>
        <w:t>五、评价结论及建议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（一）评价结论。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eastAsia="仿宋_GB2312"/>
          <w:color w:val="auto"/>
          <w:sz w:val="32"/>
          <w:szCs w:val="32"/>
          <w:lang w:eastAsia="zh-CN"/>
        </w:rPr>
        <w:t>经初步评价，我局重点</w:t>
      </w:r>
      <w:r>
        <w:rPr>
          <w:rFonts w:eastAsia="仿宋_GB2312"/>
          <w:color w:val="auto"/>
          <w:sz w:val="32"/>
          <w:szCs w:val="32"/>
        </w:rPr>
        <w:t>项目</w:t>
      </w:r>
      <w:r>
        <w:rPr>
          <w:rFonts w:hint="eastAsia" w:eastAsia="仿宋_GB2312"/>
          <w:color w:val="auto"/>
          <w:sz w:val="32"/>
          <w:szCs w:val="32"/>
          <w:lang w:eastAsia="zh-CN"/>
        </w:rPr>
        <w:t>专项</w:t>
      </w:r>
      <w:r>
        <w:rPr>
          <w:rFonts w:eastAsia="仿宋_GB2312"/>
          <w:color w:val="auto"/>
          <w:sz w:val="32"/>
          <w:szCs w:val="32"/>
        </w:rPr>
        <w:t>资金</w:t>
      </w:r>
      <w:r>
        <w:rPr>
          <w:rFonts w:hint="eastAsia" w:eastAsia="仿宋_GB2312"/>
          <w:color w:val="auto"/>
          <w:sz w:val="32"/>
          <w:szCs w:val="32"/>
          <w:lang w:eastAsia="zh-CN"/>
        </w:rPr>
        <w:t>—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盐边县人力资源和社会保障局使用福彩公益金（用于2021年度秋季原建档立卡贫困家庭学生资助）</w:t>
      </w:r>
      <w:bookmarkStart w:id="0" w:name="_GoBack"/>
      <w:bookmarkEnd w:id="0"/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，项目资金申报与项目实际相符；资金支出时间节点较为及时，不存在截留挪用专项资金的违规情况；资金支出按程序审批，合法、合规；资金使用目标明确，受益群体满意度较高，全面达到预期目标</w:t>
      </w:r>
      <w:r>
        <w:rPr>
          <w:rFonts w:eastAsia="仿宋_GB2312"/>
          <w:sz w:val="32"/>
          <w:szCs w:val="32"/>
        </w:rPr>
        <w:t>。</w:t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（二）存在的问题。</w:t>
      </w:r>
    </w:p>
    <w:p>
      <w:pPr>
        <w:spacing w:line="560" w:lineRule="exact"/>
        <w:ind w:firstLine="640" w:firstLineChars="200"/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val="en-US" w:eastAsia="zh-CN"/>
        </w:rPr>
        <w:t>虽按照申报并符合条件的学生按时发放了生活资助费用，但在工作方法、工作内容上较单一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。</w:t>
      </w: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ab/>
      </w:r>
    </w:p>
    <w:p>
      <w:pPr>
        <w:spacing w:line="560" w:lineRule="exact"/>
        <w:ind w:firstLine="640" w:firstLineChars="200"/>
        <w:rPr>
          <w:rFonts w:eastAsia="楷体_GB2312"/>
          <w:sz w:val="32"/>
          <w:szCs w:val="32"/>
        </w:rPr>
      </w:pPr>
      <w:r>
        <w:rPr>
          <w:rFonts w:eastAsia="楷体_GB2312"/>
          <w:sz w:val="32"/>
          <w:szCs w:val="32"/>
        </w:rPr>
        <w:t>（三）相关建议。</w:t>
      </w:r>
    </w:p>
    <w:p>
      <w:pPr>
        <w:spacing w:line="560" w:lineRule="exact"/>
        <w:ind w:firstLine="640" w:firstLineChars="200"/>
        <w:rPr>
          <w:rFonts w:eastAsia="仿宋_GB2312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32"/>
          <w:szCs w:val="32"/>
          <w:lang w:eastAsia="zh-CN"/>
        </w:rPr>
        <w:t>加强对原建档立卡贫困家庭学生生活资助工作管理，在工作方法、工作内容上积极探寻新思路、新举措，多途径、多形式为家庭经济困难学生提供资助服务，做到应助尽助、尽力而助。</w:t>
      </w:r>
      <w:r>
        <w:rPr>
          <w:rFonts w:hint="eastAsia" w:eastAsia="仿宋_GB2312"/>
          <w:color w:val="0000FF"/>
          <w:sz w:val="32"/>
          <w:szCs w:val="32"/>
          <w:lang w:val="en-US" w:eastAsia="zh-CN"/>
        </w:rPr>
        <w:t xml:space="preserve"> </w:t>
      </w:r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10002FF" w:usb1="4000ACFF" w:usb2="00000009" w:usb3="00000000" w:csb0="2000019F" w:csb1="00000000"/>
  </w:font>
  <w:font w:name="方正小标宋简体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altName w:val="宋体"/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华文仿宋">
    <w:altName w:val="微软雅黑"/>
    <w:panose1 w:val="02010600040101010101"/>
    <w:charset w:val="86"/>
    <w:family w:val="auto"/>
    <w:pitch w:val="default"/>
    <w:sig w:usb0="00000287" w:usb1="080F0000" w:usb2="00000010" w:usb3="00000000" w:csb0="000400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华文中宋">
    <w:altName w:val="微软雅黑"/>
    <w:panose1 w:val="00000000000000000000"/>
    <w:charset w:val="86"/>
    <w:family w:val="auto"/>
    <w:pitch w:val="default"/>
    <w:sig w:usb0="00000287" w:usb1="080E0000" w:usb2="00000010" w:usb3="00000000" w:csb0="0004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宋体-方正超大字符集">
    <w:altName w:val="宋体"/>
    <w:panose1 w:val="03000509000000000000"/>
    <w:charset w:val="86"/>
    <w:family w:val="auto"/>
    <w:pitch w:val="default"/>
    <w:sig w:usb0="00000001" w:usb1="080E0000" w:usb2="00000010" w:usb3="00000000" w:csb0="00040000" w:csb1="00000000"/>
  </w:font>
  <w:font w:name="TimesNewRoman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dit="readOnly"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5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5">
    <w:name w:val="页眉 Char"/>
    <w:basedOn w:val="4"/>
    <w:link w:val="3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190</Words>
  <Characters>1083</Characters>
  <Lines>9</Lines>
  <Paragraphs>2</Paragraphs>
  <ScaleCrop>false</ScaleCrop>
  <LinksUpToDate>false</LinksUpToDate>
  <CharactersWithSpaces>0</CharactersWithSpaces>
  <Application>WPS Office 个人版_9.1.0.4517_{F1E327BC-269C-435d-A152-05C5408002CA}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2021-08-18T08:10:00Z</dcterms:created>
  <dc:creator>Administrator</dc:creator>
  <cp:lastModifiedBy>hp3330</cp:lastModifiedBy>
  <cp:lastPrinted>2022-05-19T01:55:00Z</cp:lastPrinted>
  <dcterms:modified xsi:type="dcterms:W3CDTF">2022-05-20T05:54:40Z</dcterms:modified>
  <dc:title>附件4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2052-9.1.0.4517</vt:lpwstr>
  </property>
  <property fmtid="{D5CDD505-2E9C-101B-9397-08002B2CF9AE}" pid="3" name="ICV">
    <vt:lpwstr>7A6F0BFEA6F04BD4834EC0714B41E695</vt:lpwstr>
  </property>
</Properties>
</file>