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F68" w:rsidRDefault="00EE1F68">
      <w:pPr>
        <w:rPr>
          <w:rFonts w:ascii="方正仿宋_GBK" w:eastAsia="方正仿宋_GBK" w:hAnsi="方正仿宋_GBK" w:cs="方正仿宋_GBK"/>
          <w:sz w:val="32"/>
          <w:szCs w:val="32"/>
        </w:rPr>
      </w:pPr>
    </w:p>
    <w:p w:rsidR="00EE1F68" w:rsidRDefault="00DB1584">
      <w:pPr>
        <w:pStyle w:val="a9"/>
        <w:jc w:val="center"/>
        <w:rPr>
          <w:rFonts w:ascii="黑体" w:eastAsia="黑体" w:hAnsi="黑体"/>
          <w:b/>
          <w:kern w:val="2"/>
          <w:sz w:val="44"/>
          <w:szCs w:val="44"/>
        </w:rPr>
      </w:pPr>
      <w:r>
        <w:rPr>
          <w:rFonts w:ascii="黑体" w:eastAsia="黑体" w:hAnsi="黑体" w:hint="eastAsia"/>
          <w:b/>
          <w:kern w:val="2"/>
          <w:sz w:val="44"/>
          <w:szCs w:val="44"/>
        </w:rPr>
        <w:t>盐边县疾病预防控制中心</w:t>
      </w:r>
    </w:p>
    <w:p w:rsidR="00EE1F68" w:rsidRDefault="00DB1584">
      <w:pPr>
        <w:pStyle w:val="a9"/>
        <w:jc w:val="center"/>
        <w:rPr>
          <w:rFonts w:ascii="黑体" w:eastAsia="黑体" w:hAnsi="黑体"/>
          <w:b/>
          <w:kern w:val="2"/>
          <w:sz w:val="44"/>
          <w:szCs w:val="44"/>
        </w:rPr>
      </w:pPr>
      <w:r>
        <w:rPr>
          <w:rFonts w:ascii="黑体" w:eastAsia="黑体" w:hAnsi="黑体" w:hint="eastAsia"/>
          <w:b/>
          <w:kern w:val="2"/>
          <w:sz w:val="44"/>
          <w:szCs w:val="44"/>
        </w:rPr>
        <w:t>部门</w:t>
      </w:r>
      <w:r>
        <w:rPr>
          <w:rFonts w:ascii="黑体" w:eastAsia="黑体" w:hAnsi="黑体" w:hint="eastAsia"/>
          <w:b/>
          <w:kern w:val="2"/>
          <w:sz w:val="44"/>
          <w:szCs w:val="44"/>
        </w:rPr>
        <w:t>预算</w:t>
      </w:r>
      <w:r>
        <w:rPr>
          <w:rFonts w:ascii="黑体" w:eastAsia="黑体" w:hAnsi="黑体" w:hint="eastAsia"/>
          <w:b/>
          <w:kern w:val="2"/>
          <w:sz w:val="44"/>
          <w:szCs w:val="44"/>
        </w:rPr>
        <w:t>整体</w:t>
      </w:r>
      <w:bookmarkStart w:id="0" w:name="_GoBack"/>
      <w:bookmarkEnd w:id="0"/>
      <w:r>
        <w:rPr>
          <w:rFonts w:ascii="黑体" w:eastAsia="黑体" w:hAnsi="黑体" w:hint="eastAsia"/>
          <w:b/>
          <w:kern w:val="2"/>
          <w:sz w:val="44"/>
          <w:szCs w:val="44"/>
        </w:rPr>
        <w:t>绩效评价报告</w:t>
      </w:r>
    </w:p>
    <w:p w:rsidR="00EE1F68" w:rsidRDefault="00EE1F68">
      <w:pPr>
        <w:adjustRightInd w:val="0"/>
        <w:snapToGrid w:val="0"/>
        <w:spacing w:line="360" w:lineRule="auto"/>
        <w:ind w:firstLine="720"/>
        <w:rPr>
          <w:rFonts w:ascii="黑体" w:eastAsia="黑体" w:hAnsi="宋体"/>
          <w:szCs w:val="32"/>
        </w:rPr>
      </w:pPr>
    </w:p>
    <w:p w:rsidR="00EE1F68" w:rsidRDefault="00DB1584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  <w:lang w:val="zh-CN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一、</w:t>
      </w:r>
      <w:r>
        <w:rPr>
          <w:rFonts w:ascii="Times New Roman" w:eastAsia="黑体" w:hAnsi="Times New Roman" w:cs="Times New Roman" w:hint="eastAsia"/>
          <w:sz w:val="32"/>
          <w:szCs w:val="32"/>
          <w:lang w:val="zh-CN"/>
        </w:rPr>
        <w:t>部门概况</w:t>
      </w:r>
    </w:p>
    <w:p w:rsidR="00EE1F68" w:rsidRDefault="00DB1584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 w:hint="eastAsia"/>
          <w:sz w:val="32"/>
          <w:szCs w:val="32"/>
        </w:rPr>
        <w:t>（一）机构情况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盐边县疾病预防控制中心成立于</w:t>
      </w:r>
      <w:r>
        <w:rPr>
          <w:rFonts w:ascii="仿宋_GB2312" w:eastAsia="仿宋_GB2312" w:hAnsi="仿宋_GB2312" w:cs="仿宋_GB2312" w:hint="eastAsia"/>
          <w:sz w:val="32"/>
          <w:szCs w:val="32"/>
        </w:rPr>
        <w:t>2003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为全额拨款的公益一类（副科级）事业单位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, </w:t>
      </w:r>
      <w:r>
        <w:rPr>
          <w:rFonts w:ascii="仿宋_GB2312" w:eastAsia="仿宋_GB2312" w:hAnsi="仿宋_GB2312" w:cs="仿宋_GB2312" w:hint="eastAsia"/>
          <w:sz w:val="32"/>
          <w:szCs w:val="32"/>
        </w:rPr>
        <w:t>内设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个行政、业务科室。主管部门是盐边县卫生健康局，法定代表人安顺兵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法定地址为盐边县桐子林镇中环南路</w:t>
      </w:r>
      <w:r>
        <w:rPr>
          <w:rFonts w:ascii="仿宋_GB2312" w:eastAsia="仿宋_GB2312" w:hAnsi="仿宋_GB2312" w:cs="仿宋_GB2312" w:hint="eastAsia"/>
          <w:sz w:val="32"/>
          <w:szCs w:val="32"/>
        </w:rPr>
        <w:t>47</w:t>
      </w:r>
      <w:r>
        <w:rPr>
          <w:rFonts w:ascii="仿宋_GB2312" w:eastAsia="仿宋_GB2312" w:hAnsi="仿宋_GB2312" w:cs="仿宋_GB2312" w:hint="eastAsia"/>
          <w:sz w:val="32"/>
          <w:szCs w:val="32"/>
        </w:rPr>
        <w:t>号。</w:t>
      </w:r>
    </w:p>
    <w:p w:rsidR="00EE1F68" w:rsidRDefault="00DB1584">
      <w:pPr>
        <w:spacing w:line="560" w:lineRule="exact"/>
        <w:ind w:firstLineChars="200" w:firstLine="640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Times New Roman" w:eastAsia="楷体_GB2312" w:hAnsi="Times New Roman" w:cs="Times New Roman" w:hint="eastAsia"/>
          <w:sz w:val="32"/>
          <w:szCs w:val="32"/>
        </w:rPr>
        <w:t>（二）单位基本职能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全县的疾病预防控制和公共卫生技术管理工作进行业务指导，具体承担全县各类传染病、血吸虫病、地方病、麻风病慢性疾病预防和突发公共卫生事件的应急处理，公共卫生监测与检验工作，为卫生行政执法提供依据。</w:t>
      </w:r>
    </w:p>
    <w:p w:rsidR="00EE1F68" w:rsidRDefault="00DB1584" w:rsidP="008E2FBB">
      <w:pPr>
        <w:snapToGrid w:val="0"/>
        <w:ind w:firstLineChars="200" w:firstLine="663"/>
        <w:rPr>
          <w:rFonts w:ascii="Times New Roman" w:eastAsia="楷体_GB2312" w:hAnsi="Times New Roman" w:cs="Times New Roman"/>
          <w:sz w:val="32"/>
          <w:szCs w:val="32"/>
        </w:rPr>
      </w:pPr>
      <w:r>
        <w:rPr>
          <w:rFonts w:ascii="方正楷体_GBK" w:eastAsia="方正楷体_GBK" w:hAnsi="仿宋" w:hint="eastAsia"/>
          <w:b/>
          <w:sz w:val="33"/>
          <w:szCs w:val="33"/>
        </w:rPr>
        <w:t xml:space="preserve"> 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(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三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)</w:t>
      </w:r>
      <w:r>
        <w:rPr>
          <w:rFonts w:ascii="Times New Roman" w:eastAsia="楷体_GB2312" w:hAnsi="Times New Roman" w:cs="Times New Roman" w:hint="eastAsia"/>
          <w:sz w:val="32"/>
          <w:szCs w:val="32"/>
        </w:rPr>
        <w:t>人员情况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本单位人员编制由盐边县编办核定为</w:t>
      </w:r>
      <w:r>
        <w:rPr>
          <w:rFonts w:ascii="仿宋_GB2312" w:eastAsia="仿宋_GB2312" w:hAnsi="仿宋_GB2312" w:cs="仿宋_GB2312" w:hint="eastAsia"/>
          <w:sz w:val="32"/>
          <w:szCs w:val="32"/>
        </w:rPr>
        <w:t>46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年末在编在岗干部职工</w:t>
      </w:r>
      <w:r>
        <w:rPr>
          <w:rFonts w:ascii="仿宋_GB2312" w:eastAsia="仿宋_GB2312" w:hAnsi="仿宋_GB2312" w:cs="仿宋_GB2312" w:hint="eastAsia"/>
          <w:sz w:val="32"/>
          <w:szCs w:val="32"/>
        </w:rPr>
        <w:t>39</w:t>
      </w:r>
      <w:r>
        <w:rPr>
          <w:rFonts w:ascii="仿宋_GB2312" w:eastAsia="仿宋_GB2312" w:hAnsi="仿宋_GB2312" w:cs="仿宋_GB2312" w:hint="eastAsia"/>
          <w:sz w:val="32"/>
          <w:szCs w:val="32"/>
        </w:rPr>
        <w:t>人</w:t>
      </w:r>
      <w:r>
        <w:rPr>
          <w:rFonts w:ascii="仿宋_GB2312" w:eastAsia="仿宋_GB2312" w:hAnsi="仿宋_GB2312" w:cs="仿宋_GB2312" w:hint="eastAsia"/>
          <w:sz w:val="32"/>
          <w:szCs w:val="32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</w:rPr>
        <w:t>退休职工</w:t>
      </w:r>
      <w:r>
        <w:rPr>
          <w:rFonts w:ascii="仿宋_GB2312" w:eastAsia="仿宋_GB2312" w:hAnsi="仿宋_GB2312" w:cs="仿宋_GB2312" w:hint="eastAsia"/>
          <w:sz w:val="32"/>
          <w:szCs w:val="32"/>
        </w:rPr>
        <w:t>48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人。本年度退休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人，公招考入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</w:p>
    <w:p w:rsidR="00EE1F68" w:rsidRDefault="00DB1584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三、部门资金基本情况</w:t>
      </w:r>
    </w:p>
    <w:p w:rsidR="00EE1F68" w:rsidRDefault="00DB1584">
      <w:pPr>
        <w:snapToGrid w:val="0"/>
        <w:ind w:firstLineChars="200" w:firstLine="660"/>
        <w:rPr>
          <w:rFonts w:ascii="方正楷体_GBK" w:eastAsia="方正楷体_GBK" w:hAnsi="仿宋"/>
          <w:bCs/>
          <w:sz w:val="33"/>
          <w:szCs w:val="33"/>
        </w:rPr>
      </w:pPr>
      <w:r>
        <w:rPr>
          <w:rFonts w:ascii="方正楷体_GBK" w:eastAsia="方正楷体_GBK" w:hAnsi="仿宋" w:hint="eastAsia"/>
          <w:bCs/>
          <w:sz w:val="33"/>
          <w:szCs w:val="33"/>
        </w:rPr>
        <w:t>（一）部门财政资金收入情况。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年收入年初预算为</w:t>
      </w:r>
      <w:r>
        <w:rPr>
          <w:rFonts w:ascii="仿宋_GB2312" w:eastAsia="仿宋_GB2312" w:hAnsi="仿宋_GB2312" w:cs="仿宋_GB2312" w:hint="eastAsia"/>
          <w:sz w:val="32"/>
          <w:szCs w:val="32"/>
        </w:rPr>
        <w:t>7397357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元，其中上年结转</w:t>
      </w:r>
      <w:r>
        <w:rPr>
          <w:rFonts w:ascii="仿宋_GB2312" w:eastAsia="仿宋_GB2312" w:hAnsi="仿宋_GB2312" w:cs="仿宋_GB2312" w:hint="eastAsia"/>
          <w:sz w:val="32"/>
          <w:szCs w:val="32"/>
        </w:rPr>
        <w:t>2586981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元，支出年初预算为</w:t>
      </w:r>
      <w:r>
        <w:rPr>
          <w:rFonts w:ascii="仿宋_GB2312" w:eastAsia="仿宋_GB2312" w:hAnsi="仿宋_GB2312" w:cs="仿宋_GB2312" w:hint="eastAsia"/>
          <w:sz w:val="32"/>
          <w:szCs w:val="32"/>
        </w:rPr>
        <w:t>7397357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元，其中社会保障和就业支出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483215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元，卫生健康支出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6389886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元，住房保障支出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524274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上年项目结转结余共计</w:t>
      </w:r>
      <w:r>
        <w:rPr>
          <w:rFonts w:ascii="仿宋_GB2312" w:eastAsia="仿宋_GB2312" w:hAnsi="仿宋_GB2312" w:cs="仿宋_GB2312" w:hint="eastAsia"/>
          <w:sz w:val="32"/>
          <w:szCs w:val="32"/>
        </w:rPr>
        <w:t>2586981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年初收入预算</w:t>
      </w:r>
      <w:r>
        <w:rPr>
          <w:rFonts w:ascii="仿宋_GB2312" w:eastAsia="仿宋_GB2312" w:hAnsi="仿宋_GB2312" w:cs="仿宋_GB2312" w:hint="eastAsia"/>
          <w:sz w:val="32"/>
          <w:szCs w:val="32"/>
        </w:rPr>
        <w:t>5103356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元，支出年初预算为</w:t>
      </w:r>
      <w:r>
        <w:rPr>
          <w:rFonts w:ascii="仿宋_GB2312" w:eastAsia="仿宋_GB2312" w:hAnsi="仿宋_GB2312" w:cs="仿宋_GB2312" w:hint="eastAsia"/>
          <w:sz w:val="32"/>
          <w:szCs w:val="32"/>
        </w:rPr>
        <w:t>5103356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元，其中社</w:t>
      </w:r>
      <w:r>
        <w:rPr>
          <w:rFonts w:ascii="仿宋_GB2312" w:eastAsia="仿宋_GB2312" w:hAnsi="仿宋_GB2312" w:cs="仿宋_GB2312" w:hint="eastAsia"/>
          <w:sz w:val="32"/>
          <w:szCs w:val="32"/>
        </w:rPr>
        <w:t>会保障和就业支出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445047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元，卫生健康支出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4173291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元，住房保障支出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485018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元。年初结转</w:t>
      </w:r>
      <w:r>
        <w:rPr>
          <w:rFonts w:ascii="仿宋_GB2312" w:eastAsia="仿宋_GB2312" w:hAnsi="仿宋_GB2312" w:cs="仿宋_GB2312" w:hint="eastAsia"/>
          <w:sz w:val="32"/>
          <w:szCs w:val="32"/>
        </w:rPr>
        <w:t>724853.71</w:t>
      </w:r>
      <w:r>
        <w:rPr>
          <w:rFonts w:ascii="仿宋_GB2312" w:eastAsia="仿宋_GB2312" w:hAnsi="仿宋_GB2312" w:cs="仿宋_GB2312" w:hint="eastAsia"/>
          <w:sz w:val="32"/>
          <w:szCs w:val="32"/>
        </w:rPr>
        <w:t>元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年较</w:t>
      </w:r>
      <w:r>
        <w:rPr>
          <w:rFonts w:ascii="仿宋_GB2312" w:eastAsia="仿宋_GB2312" w:hAnsi="仿宋_GB2312" w:cs="仿宋_GB2312" w:hint="eastAsia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年收入、支出预算增加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2294001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元，增加</w:t>
      </w:r>
      <w:r>
        <w:rPr>
          <w:rFonts w:ascii="仿宋_GB2312" w:eastAsia="仿宋_GB2312" w:hAnsi="仿宋_GB2312" w:cs="仿宋_GB2312" w:hint="eastAsia"/>
          <w:sz w:val="32"/>
          <w:szCs w:val="32"/>
        </w:rPr>
        <w:t>44%</w:t>
      </w:r>
      <w:r>
        <w:rPr>
          <w:rFonts w:ascii="仿宋_GB2312" w:eastAsia="仿宋_GB2312" w:hAnsi="仿宋_GB2312" w:cs="仿宋_GB2312" w:hint="eastAsia"/>
          <w:sz w:val="32"/>
          <w:szCs w:val="32"/>
        </w:rPr>
        <w:t>。变动原因主要是项目结转</w:t>
      </w:r>
      <w:r>
        <w:rPr>
          <w:rFonts w:ascii="仿宋_GB2312" w:eastAsia="仿宋_GB2312" w:hAnsi="仿宋_GB2312" w:cs="仿宋_GB2312" w:hint="eastAsia"/>
          <w:sz w:val="32"/>
          <w:szCs w:val="32"/>
        </w:rPr>
        <w:t>2586981</w:t>
      </w:r>
      <w:r>
        <w:rPr>
          <w:rFonts w:ascii="仿宋_GB2312" w:eastAsia="仿宋_GB2312" w:hAnsi="仿宋_GB2312" w:cs="仿宋_GB2312" w:hint="eastAsia"/>
          <w:sz w:val="32"/>
          <w:szCs w:val="32"/>
        </w:rPr>
        <w:t>元和本年度新增职工</w:t>
      </w:r>
      <w:r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人，机关事业单位养老保险、公积金、工资等人员经费增加。</w:t>
      </w:r>
    </w:p>
    <w:p w:rsidR="00EE1F68" w:rsidRDefault="00DB1584">
      <w:pPr>
        <w:snapToGrid w:val="0"/>
        <w:ind w:firstLineChars="200" w:firstLine="660"/>
        <w:rPr>
          <w:rFonts w:ascii="方正楷体_GBK" w:eastAsia="方正楷体_GBK" w:hAnsi="仿宋"/>
          <w:bCs/>
          <w:sz w:val="33"/>
          <w:szCs w:val="33"/>
        </w:rPr>
      </w:pPr>
      <w:r>
        <w:rPr>
          <w:rFonts w:ascii="方正楷体_GBK" w:eastAsia="方正楷体_GBK" w:hAnsi="仿宋" w:hint="eastAsia"/>
          <w:bCs/>
          <w:sz w:val="33"/>
          <w:szCs w:val="33"/>
        </w:rPr>
        <w:t>（二）部门财政资金支出情况。</w:t>
      </w:r>
    </w:p>
    <w:p w:rsidR="00EE1F68" w:rsidRDefault="00DB1584">
      <w:pPr>
        <w:snapToGrid w:val="0"/>
        <w:ind w:firstLineChars="200" w:firstLine="640"/>
        <w:rPr>
          <w:rFonts w:ascii="方正仿宋_GBK" w:eastAsia="方正仿宋_GBK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本年支出合计</w:t>
      </w:r>
      <w:r>
        <w:rPr>
          <w:rFonts w:ascii="仿宋_GB2312" w:eastAsia="仿宋_GB2312" w:hAnsi="仿宋_GB2312" w:cs="仿宋_GB2312" w:hint="eastAsia"/>
          <w:sz w:val="32"/>
          <w:szCs w:val="32"/>
        </w:rPr>
        <w:t>15153306.04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元，其中社会保障和就业支出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582443.85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元，卫生健康支出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14050481.19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元，住房保障支出</w:t>
      </w:r>
      <w:r>
        <w:rPr>
          <w:rFonts w:ascii="仿宋_GB2312" w:eastAsia="仿宋_GB2312" w:hAnsi="仿宋_GB2312" w:cs="仿宋_GB2312" w:hint="eastAsia"/>
          <w:sz w:val="32"/>
          <w:szCs w:val="32"/>
        </w:rPr>
        <w:t>520381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元，其中基本支出为</w:t>
      </w:r>
      <w:r>
        <w:rPr>
          <w:rFonts w:ascii="仿宋_GB2312" w:eastAsia="仿宋_GB2312" w:hAnsi="仿宋_GB2312" w:cs="仿宋_GB2312" w:hint="eastAsia"/>
          <w:sz w:val="32"/>
          <w:szCs w:val="32"/>
        </w:rPr>
        <w:t>7172717.3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元，项目支出为</w:t>
      </w:r>
      <w:r>
        <w:rPr>
          <w:rFonts w:ascii="仿宋_GB2312" w:eastAsia="仿宋_GB2312" w:hAnsi="仿宋_GB2312" w:cs="仿宋_GB2312" w:hint="eastAsia"/>
          <w:sz w:val="32"/>
          <w:szCs w:val="32"/>
        </w:rPr>
        <w:t>7980588.73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EE1F68" w:rsidRDefault="00DB1584">
      <w:pPr>
        <w:snapToGrid w:val="0"/>
        <w:ind w:firstLineChars="200" w:firstLine="660"/>
        <w:rPr>
          <w:rFonts w:ascii="方正楷体_GBK" w:eastAsia="方正楷体_GBK" w:hAnsi="仿宋"/>
          <w:bCs/>
          <w:sz w:val="33"/>
          <w:szCs w:val="33"/>
        </w:rPr>
      </w:pPr>
      <w:r>
        <w:rPr>
          <w:rFonts w:ascii="方正楷体_GBK" w:eastAsia="方正楷体_GBK" w:hAnsi="仿宋" w:hint="eastAsia"/>
          <w:bCs/>
          <w:sz w:val="33"/>
          <w:szCs w:val="33"/>
        </w:rPr>
        <w:t>（三）结转和结余情况。</w:t>
      </w:r>
    </w:p>
    <w:p w:rsidR="00EE1F68" w:rsidRDefault="00DB1584">
      <w:pPr>
        <w:snapToGrid w:val="0"/>
        <w:ind w:firstLineChars="200" w:firstLine="640"/>
        <w:rPr>
          <w:rFonts w:ascii="方正仿宋_GBK" w:eastAsia="方正仿宋_GBK" w:hAnsi="仿宋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年末无结转结余。</w:t>
      </w:r>
    </w:p>
    <w:p w:rsidR="00EE1F68" w:rsidRDefault="00DB1584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四、部门财政支出管理情况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（一）部门预算绩效管理。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>初制定</w:t>
      </w:r>
      <w:r>
        <w:rPr>
          <w:rFonts w:ascii="仿宋_GB2312" w:eastAsia="仿宋_GB2312" w:hAnsi="仿宋_GB2312" w:cs="仿宋_GB2312" w:hint="eastAsia"/>
          <w:sz w:val="32"/>
          <w:szCs w:val="32"/>
        </w:rPr>
        <w:t>部门绩效</w:t>
      </w:r>
      <w:r>
        <w:rPr>
          <w:rFonts w:ascii="仿宋_GB2312" w:eastAsia="仿宋_GB2312" w:hAnsi="仿宋_GB2312" w:cs="仿宋_GB2312" w:hint="eastAsia"/>
          <w:sz w:val="32"/>
          <w:szCs w:val="32"/>
        </w:rPr>
        <w:t>目标相关方案。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2021</w:t>
      </w:r>
      <w:r>
        <w:rPr>
          <w:rFonts w:ascii="仿宋_GB2312" w:eastAsia="仿宋_GB2312" w:hAnsi="仿宋_GB2312" w:cs="仿宋_GB2312" w:hint="eastAsia"/>
          <w:sz w:val="32"/>
          <w:szCs w:val="32"/>
        </w:rPr>
        <w:t>年中心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绩效管理情况较为</w:t>
      </w:r>
      <w:r>
        <w:rPr>
          <w:rFonts w:ascii="仿宋_GB2312" w:eastAsia="仿宋_GB2312" w:hAnsi="仿宋_GB2312" w:cs="仿宋_GB2312" w:hint="eastAsia"/>
          <w:sz w:val="32"/>
          <w:szCs w:val="32"/>
        </w:rPr>
        <w:t>良好，</w:t>
      </w:r>
      <w:r>
        <w:rPr>
          <w:rFonts w:ascii="仿宋_GB2312" w:eastAsia="仿宋_GB2312" w:hAnsi="仿宋_GB2312" w:cs="仿宋_GB2312" w:hint="eastAsia"/>
          <w:sz w:val="32"/>
          <w:szCs w:val="32"/>
        </w:rPr>
        <w:t>人员支出、运转经费、项目支出都达到了年初设定</w:t>
      </w:r>
      <w:r>
        <w:rPr>
          <w:rFonts w:ascii="仿宋_GB2312" w:eastAsia="仿宋_GB2312" w:hAnsi="仿宋_GB2312" w:cs="仿宋_GB2312" w:hint="eastAsia"/>
          <w:sz w:val="32"/>
          <w:szCs w:val="32"/>
        </w:rPr>
        <w:t>的各项绩效目标。所有资金使用严格按审批程序办理、操作规范，会计核算结果真实、准确，各项支出严格按照各项制度执行。</w:t>
      </w:r>
      <w:r>
        <w:rPr>
          <w:rFonts w:ascii="仿宋_GB2312" w:eastAsia="仿宋_GB2312" w:hAnsi="仿宋_GB2312" w:cs="仿宋_GB2312" w:hint="eastAsia"/>
          <w:sz w:val="32"/>
          <w:szCs w:val="32"/>
        </w:rPr>
        <w:t>本部门在预算执行管理过程中，一是切实硬化预算约束，认真贯彻先有预算后有支出的原则，严格按预算执行；二是依照国家税法和有关规定，依法组织收入，及时足额征缴各项预算收入，做到应收尽收，确保收入预算的完成；三是严格按预算安排和项目实际执行进度，及时合理地拨付资金，合理调度预算支出；四是树立“勤俭节约、勒紧裤带过紧日子”思想，采取有力措施，确保收支平衡；五是严格执行财政国库集中支付、政府采购、公务卡等制度，严肃财经纪律，及时解决预算执行中的问题，确保预算顺利执行；六是将财政部门批复的部门预算及报表等信息按相关规定和</w:t>
      </w:r>
      <w:r>
        <w:rPr>
          <w:rFonts w:ascii="仿宋_GB2312" w:eastAsia="仿宋_GB2312" w:hAnsi="仿宋_GB2312" w:cs="仿宋_GB2312" w:hint="eastAsia"/>
          <w:sz w:val="32"/>
          <w:szCs w:val="32"/>
        </w:rPr>
        <w:t>要求及时在盐边县公众信息网“财政信息”栏中进行公开。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（二）结果应用情况。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盐边县疾病预防控制中心</w:t>
      </w:r>
      <w:r>
        <w:rPr>
          <w:rFonts w:ascii="仿宋_GB2312" w:eastAsia="仿宋_GB2312" w:hAnsi="仿宋_GB2312" w:cs="仿宋_GB2312" w:hint="eastAsia"/>
          <w:sz w:val="32"/>
          <w:szCs w:val="32"/>
        </w:rPr>
        <w:t>20</w:t>
      </w:r>
      <w:r>
        <w:rPr>
          <w:rFonts w:ascii="仿宋_GB2312" w:eastAsia="仿宋_GB2312" w:hAnsi="仿宋_GB2312" w:cs="仿宋_GB2312" w:hint="eastAsia"/>
          <w:sz w:val="32"/>
          <w:szCs w:val="32"/>
        </w:rPr>
        <w:t>21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年度严格执行年初部门预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算，资金使用及管理规范，制度落实到位，绩效考核目标任务圆满完成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EE1F68" w:rsidRDefault="00DB1584">
      <w:pPr>
        <w:spacing w:line="56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 w:hint="eastAsia"/>
          <w:sz w:val="32"/>
          <w:szCs w:val="32"/>
        </w:rPr>
        <w:t>四、评价结论及建议</w:t>
      </w:r>
    </w:p>
    <w:p w:rsidR="00EE1F68" w:rsidRDefault="00DB1584">
      <w:pPr>
        <w:snapToGrid w:val="0"/>
        <w:ind w:firstLineChars="200" w:firstLine="660"/>
        <w:rPr>
          <w:rFonts w:ascii="方正楷体_GBK" w:eastAsia="方正楷体_GBK" w:hAnsi="仿宋"/>
          <w:bCs/>
          <w:sz w:val="33"/>
          <w:szCs w:val="33"/>
          <w:lang w:val="zh-CN"/>
        </w:rPr>
      </w:pPr>
      <w:r>
        <w:rPr>
          <w:rFonts w:ascii="方正楷体_GBK" w:eastAsia="方正楷体_GBK" w:hAnsi="仿宋" w:hint="eastAsia"/>
          <w:bCs/>
          <w:sz w:val="33"/>
          <w:szCs w:val="33"/>
          <w:lang w:val="zh-CN"/>
        </w:rPr>
        <w:t>（一）评价结论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年部门支出绩效评价，我单位结合上级文件精神，围绕预算编制、预算执行、支出绩效三个方面对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1</w:t>
      </w:r>
      <w:r>
        <w:rPr>
          <w:rFonts w:ascii="仿宋_GB2312" w:eastAsia="仿宋_GB2312" w:hAnsi="仿宋_GB2312" w:cs="仿宋_GB2312" w:hint="eastAsia"/>
          <w:sz w:val="32"/>
          <w:szCs w:val="32"/>
        </w:rPr>
        <w:t>年度部门支出绩效进行了认真自评工作。根据得分情况本部门支出绩效评价等级为“良好”。</w:t>
      </w:r>
    </w:p>
    <w:p w:rsidR="00EE1F68" w:rsidRDefault="00DB1584">
      <w:pPr>
        <w:snapToGrid w:val="0"/>
        <w:ind w:firstLineChars="200" w:firstLine="660"/>
        <w:rPr>
          <w:rFonts w:ascii="方正楷体_GBK" w:eastAsia="方正楷体_GBK" w:hAnsi="仿宋"/>
          <w:bCs/>
          <w:sz w:val="33"/>
          <w:szCs w:val="33"/>
          <w:lang w:val="zh-CN"/>
        </w:rPr>
      </w:pPr>
      <w:r>
        <w:rPr>
          <w:rFonts w:ascii="方正楷体_GBK" w:eastAsia="方正楷体_GBK" w:hAnsi="仿宋" w:hint="eastAsia"/>
          <w:bCs/>
          <w:sz w:val="33"/>
          <w:szCs w:val="33"/>
          <w:lang w:val="zh-CN"/>
        </w:rPr>
        <w:t>（二）存在问题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本年度项目在执行过程中，由于项目资金的分配不均匀，导致部分项目的资金收不抵支。然而部分项目因为工作开展缓慢结余较多。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在绩效管理过程中，很多项目绩效指标在时间上未能科学合理设置，年中时部分绩效指标存在零完成率。</w:t>
      </w:r>
    </w:p>
    <w:p w:rsidR="00EE1F68" w:rsidRDefault="00DB1584">
      <w:pPr>
        <w:adjustRightInd w:val="0"/>
        <w:snapToGrid w:val="0"/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单位在绩效管理工作中，对绩效指标的理解不足，绩效指标的科学性有待提高。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</w:p>
    <w:p w:rsidR="00EE1F68" w:rsidRDefault="00DB1584">
      <w:pPr>
        <w:adjustRightInd w:val="0"/>
        <w:snapToGrid w:val="0"/>
        <w:spacing w:line="57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（</w:t>
      </w:r>
      <w:r>
        <w:rPr>
          <w:rFonts w:ascii="仿宋_GB2312" w:eastAsia="仿宋_GB2312" w:hAnsi="Times New Roman" w:hint="eastAsia"/>
          <w:sz w:val="32"/>
          <w:szCs w:val="32"/>
        </w:rPr>
        <w:t>1</w:t>
      </w:r>
      <w:r>
        <w:rPr>
          <w:rFonts w:ascii="仿宋_GB2312" w:eastAsia="仿宋_GB2312" w:hAnsi="Times New Roman" w:hint="eastAsia"/>
          <w:sz w:val="32"/>
          <w:szCs w:val="32"/>
        </w:rPr>
        <w:t>）对于绩效评价的认识不够深入，把预算绩效简单等同于工作目标、工作考核和业务管理。</w:t>
      </w:r>
    </w:p>
    <w:p w:rsidR="00EE1F68" w:rsidRDefault="00DB1584">
      <w:pPr>
        <w:adjustRightInd w:val="0"/>
        <w:snapToGrid w:val="0"/>
        <w:spacing w:line="57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（</w:t>
      </w:r>
      <w:r>
        <w:rPr>
          <w:rFonts w:ascii="仿宋_GB2312" w:eastAsia="仿宋_GB2312" w:hAnsi="Times New Roman" w:hint="eastAsia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）绩效目标和指标往往根据项目实际完成情况制定，对项目执行过程有效约束不够，存在一定的偏差。</w:t>
      </w:r>
    </w:p>
    <w:p w:rsidR="00EE1F68" w:rsidRDefault="00DB1584">
      <w:pPr>
        <w:adjustRightInd w:val="0"/>
        <w:snapToGrid w:val="0"/>
        <w:spacing w:line="570" w:lineRule="exact"/>
        <w:ind w:firstLineChars="200" w:firstLine="640"/>
        <w:jc w:val="lef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（</w:t>
      </w:r>
      <w:r>
        <w:rPr>
          <w:rFonts w:ascii="仿宋_GB2312" w:eastAsia="仿宋_GB2312" w:hAnsi="Times New Roman" w:hint="eastAsia"/>
          <w:sz w:val="32"/>
          <w:szCs w:val="32"/>
        </w:rPr>
        <w:t>3</w:t>
      </w:r>
      <w:r>
        <w:rPr>
          <w:rFonts w:ascii="仿宋_GB2312" w:eastAsia="仿宋_GB2312" w:hAnsi="Times New Roman" w:hint="eastAsia"/>
          <w:sz w:val="32"/>
          <w:szCs w:val="32"/>
        </w:rPr>
        <w:t>）在绩效考评指标的设计上，部分特色指标缺乏数据支持和可行的分析测评，绩效指标体系有待完善。</w:t>
      </w:r>
    </w:p>
    <w:p w:rsidR="00EE1F68" w:rsidRDefault="00DB1584">
      <w:pPr>
        <w:adjustRightInd w:val="0"/>
        <w:snapToGrid w:val="0"/>
        <w:spacing w:line="57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）财务上，会计核算要更加详细，为本单位各项工作的开展、总结、评估提供有效数据资料支撑，为各项业务工作更好的开展提供帮助。</w:t>
      </w:r>
    </w:p>
    <w:p w:rsidR="00EE1F68" w:rsidRDefault="00DB1584">
      <w:pPr>
        <w:snapToGrid w:val="0"/>
        <w:ind w:firstLineChars="200" w:firstLine="660"/>
        <w:rPr>
          <w:rFonts w:ascii="方正楷体_GBK" w:eastAsia="方正楷体_GBK" w:hAnsi="仿宋"/>
          <w:bCs/>
          <w:sz w:val="33"/>
          <w:szCs w:val="33"/>
          <w:lang w:val="zh-CN"/>
        </w:rPr>
      </w:pPr>
      <w:r>
        <w:rPr>
          <w:rFonts w:ascii="方正楷体_GBK" w:eastAsia="方正楷体_GBK" w:hAnsi="仿宋" w:hint="eastAsia"/>
          <w:bCs/>
          <w:sz w:val="33"/>
          <w:szCs w:val="33"/>
          <w:lang w:val="zh-CN"/>
        </w:rPr>
        <w:lastRenderedPageBreak/>
        <w:t>（三）改进建议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单位将在制定预算目标前进一步加强计划统筹，增强预算目标的可预见性，使预算实施更加切实准确。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年单位将加快项目进度，根据因素法的原则在合理范围内重新规划部分资金使用，提高项目资金使用率，使资金的使用更加规范合理，绩效指标的设置更加具有科学性、合理性。</w:t>
      </w:r>
    </w:p>
    <w:p w:rsidR="00EE1F68" w:rsidRDefault="00DB1584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</w:t>
      </w:r>
    </w:p>
    <w:p w:rsidR="00EE1F68" w:rsidRDefault="00EE1F68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EE1F68" w:rsidRDefault="00DB1584">
      <w:pPr>
        <w:jc w:val="right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</w:t>
      </w:r>
      <w:r>
        <w:rPr>
          <w:rFonts w:ascii="仿宋_GB2312" w:eastAsia="仿宋_GB2312" w:hAnsi="Times New Roman" w:hint="eastAsia"/>
          <w:sz w:val="32"/>
          <w:szCs w:val="32"/>
        </w:rPr>
        <w:t>盐边县疾病</w:t>
      </w:r>
      <w:r>
        <w:rPr>
          <w:rFonts w:ascii="仿宋_GB2312" w:eastAsia="仿宋_GB2312" w:hAnsi="Times New Roman" w:hint="eastAsia"/>
          <w:sz w:val="32"/>
          <w:szCs w:val="32"/>
        </w:rPr>
        <w:t>预防控制中心</w:t>
      </w:r>
    </w:p>
    <w:p w:rsidR="00EE1F68" w:rsidRPr="008E2FBB" w:rsidRDefault="00DB1584">
      <w:pPr>
        <w:jc w:val="center"/>
        <w:rPr>
          <w:rFonts w:ascii="仿宋_GB2312" w:eastAsia="仿宋_GB2312" w:hAnsi="Times New Roman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                                202</w:t>
      </w:r>
      <w:r>
        <w:rPr>
          <w:rFonts w:ascii="仿宋_GB2312" w:eastAsia="仿宋_GB2312" w:hAnsi="Times New Roman" w:hint="eastAsia"/>
          <w:sz w:val="32"/>
          <w:szCs w:val="32"/>
        </w:rPr>
        <w:t>2</w:t>
      </w:r>
      <w:r>
        <w:rPr>
          <w:rFonts w:ascii="仿宋_GB2312" w:eastAsia="仿宋_GB2312" w:hAnsi="Times New Roman" w:hint="eastAsia"/>
          <w:sz w:val="32"/>
          <w:szCs w:val="32"/>
        </w:rPr>
        <w:t>年</w:t>
      </w:r>
      <w:r>
        <w:rPr>
          <w:rFonts w:ascii="仿宋_GB2312" w:eastAsia="仿宋_GB2312" w:hAnsi="Times New Roman" w:hint="eastAsia"/>
          <w:sz w:val="32"/>
          <w:szCs w:val="32"/>
        </w:rPr>
        <w:t>5</w:t>
      </w:r>
      <w:r>
        <w:rPr>
          <w:rFonts w:ascii="仿宋_GB2312" w:eastAsia="仿宋_GB2312" w:hAnsi="Times New Roman" w:hint="eastAsia"/>
          <w:sz w:val="32"/>
          <w:szCs w:val="32"/>
        </w:rPr>
        <w:t>月</w:t>
      </w:r>
      <w:r>
        <w:rPr>
          <w:rFonts w:ascii="仿宋_GB2312" w:eastAsia="仿宋_GB2312" w:hAnsi="Times New Roman" w:hint="eastAsia"/>
          <w:sz w:val="32"/>
          <w:szCs w:val="32"/>
        </w:rPr>
        <w:t>8</w:t>
      </w:r>
      <w:r w:rsidR="008E2FBB">
        <w:rPr>
          <w:rFonts w:ascii="仿宋_GB2312" w:eastAsia="仿宋_GB2312" w:hAnsi="Times New Roman" w:hint="eastAsia"/>
          <w:sz w:val="32"/>
          <w:szCs w:val="32"/>
        </w:rPr>
        <w:t>日</w:t>
      </w:r>
    </w:p>
    <w:p w:rsidR="00EE1F68" w:rsidRDefault="00EE1F68">
      <w:pPr>
        <w:spacing w:line="480" w:lineRule="auto"/>
        <w:rPr>
          <w:rFonts w:ascii="方正仿宋_GBK" w:eastAsia="方正仿宋_GBK" w:hAnsi="方正仿宋_GBK" w:cs="方正仿宋_GBK"/>
          <w:sz w:val="32"/>
          <w:szCs w:val="32"/>
        </w:rPr>
      </w:pPr>
    </w:p>
    <w:p w:rsidR="00EE1F68" w:rsidRDefault="00EE1F68">
      <w:pPr>
        <w:snapToGrid w:val="0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EE1F68" w:rsidSect="00EE1F68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584" w:rsidRDefault="00DB1584" w:rsidP="008E2FBB">
      <w:r>
        <w:separator/>
      </w:r>
    </w:p>
  </w:endnote>
  <w:endnote w:type="continuationSeparator" w:id="0">
    <w:p w:rsidR="00DB1584" w:rsidRDefault="00DB1584" w:rsidP="008E2F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584" w:rsidRDefault="00DB1584" w:rsidP="008E2FBB">
      <w:r>
        <w:separator/>
      </w:r>
    </w:p>
  </w:footnote>
  <w:footnote w:type="continuationSeparator" w:id="0">
    <w:p w:rsidR="00DB1584" w:rsidRDefault="00DB1584" w:rsidP="008E2F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TY0M2NiYjA3YjhmYjc3ODMyNjQyZjllZDRkN2E5NzUifQ=="/>
  </w:docVars>
  <w:rsids>
    <w:rsidRoot w:val="69D53019"/>
    <w:rsid w:val="000672CE"/>
    <w:rsid w:val="00147474"/>
    <w:rsid w:val="00343E34"/>
    <w:rsid w:val="004B06DF"/>
    <w:rsid w:val="004F5AC1"/>
    <w:rsid w:val="00632B37"/>
    <w:rsid w:val="008E2FBB"/>
    <w:rsid w:val="008E5C77"/>
    <w:rsid w:val="00972C61"/>
    <w:rsid w:val="00A432E6"/>
    <w:rsid w:val="00A5525E"/>
    <w:rsid w:val="00B47968"/>
    <w:rsid w:val="00B94B8F"/>
    <w:rsid w:val="00C62541"/>
    <w:rsid w:val="00DB1584"/>
    <w:rsid w:val="00E736BC"/>
    <w:rsid w:val="00EE1F68"/>
    <w:rsid w:val="00F30E31"/>
    <w:rsid w:val="08503141"/>
    <w:rsid w:val="10195212"/>
    <w:rsid w:val="10564684"/>
    <w:rsid w:val="1C6F4128"/>
    <w:rsid w:val="1D6B17A7"/>
    <w:rsid w:val="1E197F83"/>
    <w:rsid w:val="205512F6"/>
    <w:rsid w:val="22E10EF0"/>
    <w:rsid w:val="27770D92"/>
    <w:rsid w:val="2D5B16FD"/>
    <w:rsid w:val="32271A45"/>
    <w:rsid w:val="349E16BB"/>
    <w:rsid w:val="3C8233B8"/>
    <w:rsid w:val="3C8C3A3D"/>
    <w:rsid w:val="3EB97E1F"/>
    <w:rsid w:val="3F152B6E"/>
    <w:rsid w:val="4C035BAD"/>
    <w:rsid w:val="555E51D5"/>
    <w:rsid w:val="69D53019"/>
    <w:rsid w:val="75D11D6F"/>
    <w:rsid w:val="79F93240"/>
    <w:rsid w:val="7C6C6F14"/>
    <w:rsid w:val="7DF367FB"/>
    <w:rsid w:val="7F6213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E1F6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EE1F68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EE1F68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EE1F68"/>
    <w:rPr>
      <w:rFonts w:ascii="宋体" w:hAnsi="Courier New"/>
    </w:rPr>
  </w:style>
  <w:style w:type="paragraph" w:styleId="a4">
    <w:name w:val="Balloon Text"/>
    <w:basedOn w:val="a"/>
    <w:link w:val="Char"/>
    <w:qFormat/>
    <w:rsid w:val="00EE1F68"/>
    <w:rPr>
      <w:sz w:val="18"/>
      <w:szCs w:val="18"/>
    </w:rPr>
  </w:style>
  <w:style w:type="paragraph" w:styleId="a5">
    <w:name w:val="footer"/>
    <w:basedOn w:val="a"/>
    <w:qFormat/>
    <w:rsid w:val="00EE1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0"/>
    <w:qFormat/>
    <w:rsid w:val="00EE1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qFormat/>
    <w:rsid w:val="00EE1F68"/>
  </w:style>
  <w:style w:type="character" w:customStyle="1" w:styleId="font21">
    <w:name w:val="font21"/>
    <w:qFormat/>
    <w:rsid w:val="00EE1F6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qFormat/>
    <w:rsid w:val="00EE1F68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8">
    <w:name w:val="List Paragraph"/>
    <w:basedOn w:val="a"/>
    <w:uiPriority w:val="99"/>
    <w:unhideWhenUsed/>
    <w:qFormat/>
    <w:rsid w:val="00EE1F68"/>
    <w:pPr>
      <w:ind w:firstLineChars="200" w:firstLine="420"/>
    </w:pPr>
  </w:style>
  <w:style w:type="paragraph" w:customStyle="1" w:styleId="a9">
    <w:name w:val="四号正文"/>
    <w:basedOn w:val="a"/>
    <w:qFormat/>
    <w:rsid w:val="00EE1F68"/>
    <w:pPr>
      <w:spacing w:line="360" w:lineRule="auto"/>
    </w:pPr>
    <w:rPr>
      <w:rFonts w:ascii="??" w:eastAsia="宋体" w:hAnsi="??" w:cs="宋体"/>
      <w:color w:val="000000"/>
      <w:kern w:val="0"/>
      <w:sz w:val="28"/>
      <w:szCs w:val="21"/>
    </w:rPr>
  </w:style>
  <w:style w:type="paragraph" w:customStyle="1" w:styleId="Default">
    <w:name w:val="Default"/>
    <w:qFormat/>
    <w:rsid w:val="00EE1F6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0">
    <w:name w:val="页眉 Char"/>
    <w:basedOn w:val="a0"/>
    <w:link w:val="a6"/>
    <w:qFormat/>
    <w:rsid w:val="00EE1F68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EE1F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2"/>
        </a:lnRef>
        <a:fillRef idx="0">
          <a:schemeClr val="accent2"/>
        </a:fillRef>
        <a:effectRef idx="0">
          <a:schemeClr val="accent2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D6C26D-E8EB-4776-A65B-98DCD976E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293</Words>
  <Characters>1673</Characters>
  <Application>Microsoft Office Word</Application>
  <DocSecurity>0</DocSecurity>
  <Lines>13</Lines>
  <Paragraphs>3</Paragraphs>
  <ScaleCrop>false</ScaleCrop>
  <Company>Organization</Company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吴绍英</cp:lastModifiedBy>
  <cp:revision>17</cp:revision>
  <cp:lastPrinted>2022-04-01T00:50:00Z</cp:lastPrinted>
  <dcterms:created xsi:type="dcterms:W3CDTF">2021-06-22T09:27:00Z</dcterms:created>
  <dcterms:modified xsi:type="dcterms:W3CDTF">2022-05-19T01:12:00Z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9DDA77099D4F4E56B1ED14537939C314</vt:lpwstr>
  </property>
</Properties>
</file>