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ordWrap/>
        <w:snapToGrid/>
        <w:spacing w:before="0" w:after="0" w:line="560" w:lineRule="exact"/>
        <w:ind w:righ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sz w:val="38"/>
          <w:szCs w:val="38"/>
        </w:rPr>
        <w:t>202</w:t>
      </w:r>
      <w:r>
        <w:rPr>
          <w:rFonts w:hint="default" w:ascii="Times New Roman" w:hAnsi="Times New Roman" w:eastAsia="方正小标宋_GBK" w:cs="Times New Roman"/>
          <w:sz w:val="38"/>
          <w:szCs w:val="38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33"/>
          <w:szCs w:val="33"/>
          <w:lang w:val="en-US" w:eastAsia="zh-CN"/>
        </w:rPr>
        <w:t>(</w:t>
      </w:r>
      <w:r>
        <w:rPr>
          <w:rFonts w:hint="default" w:ascii="Times New Roman" w:hAnsi="Times New Roman" w:eastAsia="仿宋_GB2312" w:cs="Times New Roman"/>
          <w:kern w:val="2"/>
          <w:sz w:val="33"/>
          <w:szCs w:val="33"/>
          <w:lang w:val="en-US" w:eastAsia="zh-CN" w:bidi="ar-SA"/>
        </w:rPr>
        <w:t>乡镇应急和安全监管补助经费</w:t>
      </w:r>
      <w:r>
        <w:rPr>
          <w:rFonts w:hint="default" w:ascii="Times New Roman" w:hAnsi="Times New Roman" w:eastAsia="方正小标宋_GBK" w:cs="Times New Roman"/>
          <w:sz w:val="33"/>
          <w:szCs w:val="33"/>
          <w:lang w:val="en-US" w:eastAsia="zh-CN"/>
        </w:rPr>
        <w:t>)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1.</w:t>
      </w: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项目主管单位牵头实施项目，编制实施方案，对该资金加强资金管理，确保专款专用，不得挪作他用，提高资金使用绩效</w:t>
      </w:r>
      <w:r>
        <w:rPr>
          <w:rFonts w:hint="default" w:ascii="Times New Roman" w:hAnsi="Times New Roman" w:eastAsia="仿宋_GB2312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2. 项目立项、资金申报的依据。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3"/>
          <w:szCs w:val="33"/>
          <w:lang w:val="en-US" w:eastAsia="zh-CN" w:bidi="ar-SA"/>
        </w:rPr>
        <w:t>根据盐财资建【2021】153号下达2021年乡镇应急和安全监管补助经费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，用于保障汛期道路，水上交通安全得到及时清理维护，煤矿安全、应急救援，确保生产安全，提高我乡应急安全能力。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cs="Times New Roman"/>
          <w:sz w:val="33"/>
          <w:szCs w:val="33"/>
          <w:lang w:val="en-US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1.项目主要内容。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用于煤矿、消防、森防、防灾减灾、应急救援、道路交通安全。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3"/>
          <w:szCs w:val="33"/>
        </w:rPr>
      </w:pPr>
      <w:r>
        <w:rPr>
          <w:rFonts w:hint="default" w:ascii="Times New Roman" w:hAnsi="Times New Roman" w:eastAsia="仿宋_GB2312" w:cs="Times New Roman"/>
          <w:kern w:val="0"/>
          <w:sz w:val="33"/>
          <w:szCs w:val="33"/>
          <w:lang w:val="en-US" w:eastAsia="zh-CN"/>
        </w:rPr>
        <w:t xml:space="preserve">    2.</w:t>
      </w:r>
      <w:r>
        <w:rPr>
          <w:rFonts w:hint="default" w:ascii="Times New Roman" w:hAnsi="Times New Roman" w:eastAsia="仿宋_GB2312" w:cs="Times New Roman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确保生产安全，提高我乡应急安全能力。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3"/>
          <w:szCs w:val="33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 xml:space="preserve">     3.</w:t>
      </w:r>
      <w:r>
        <w:rPr>
          <w:rFonts w:hint="default" w:ascii="Times New Roman" w:hAnsi="Times New Roman" w:eastAsia="黑体" w:cs="Times New Roman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1.资金来源。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kern w:val="2"/>
          <w:sz w:val="33"/>
          <w:szCs w:val="33"/>
          <w:lang w:val="en-US" w:eastAsia="zh-CN" w:bidi="ar-SA"/>
        </w:rPr>
        <w:t>根据盐财资建【2021】153号下达2021年乡镇应急和安全监管补助经费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,</w:t>
      </w: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下达资金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200000元。</w:t>
      </w:r>
    </w:p>
    <w:p>
      <w:pPr>
        <w:numPr>
          <w:ilvl w:val="0"/>
          <w:numId w:val="1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该资金由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2021下达到位。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下达该资金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200000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支付该资金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200000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完成支付进度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乡政府成立领导小组，由分管领导负责监督，由蒿枝坪村组织负责实施。</w:t>
      </w:r>
    </w:p>
    <w:p>
      <w:pPr>
        <w:pStyle w:val="6"/>
        <w:numPr>
          <w:ilvl w:val="0"/>
          <w:numId w:val="2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6"/>
        <w:numPr>
          <w:ilvl w:val="0"/>
          <w:numId w:val="2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、项目绩效情况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预算安排资金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实际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支出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（二）项目效益情况。</w:t>
      </w:r>
    </w:p>
    <w:p>
      <w:pPr>
        <w:pStyle w:val="6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我乡较好地完成了202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我单位根据资金绩效自评表，我乡项目资金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，实际完成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元，完成率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pStyle w:val="6"/>
        <w:numPr>
          <w:ilvl w:val="0"/>
          <w:numId w:val="2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3.加快项目推进进度，进而提高我乡的支付进度。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3"/>
          <w:szCs w:val="33"/>
        </w:rPr>
      </w:pPr>
    </w:p>
    <w:bookmarkEnd w:id="0"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652099897"/>
  </w:num>
  <w:num w:numId="2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2022-05-16T12:21:45Z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