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</w:rPr>
        <w:t>红果三滩村产业灌溉及人饮项目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wordWrap/>
        <w:snapToGrid/>
        <w:spacing w:before="0" w:after="0" w:line="560" w:lineRule="exact"/>
        <w:ind w:right="0" w:firstLine="66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</w:rPr>
        <w:t>根据川财预【2021】3号下达2021年民族地区开发资金（红果三滩村产业灌溉及人饮项目）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解决三滩村芒果产业灌溉及农户用水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修建蓄水池，灌溉芒果地，解决三滩农户饮水。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wordWrap/>
        <w:snapToGrid/>
        <w:spacing w:before="0" w:after="0" w:line="560" w:lineRule="exact"/>
        <w:ind w:right="0" w:firstLine="66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　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解决三滩村芒果产业灌溉及农户用水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eastAsia="zh-CN"/>
        </w:rPr>
        <w:t>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3.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</w:rPr>
        <w:t>根据川财预【2021】3号下达2021年民族地区开发资金（红果三滩村产业灌溉及人饮项目）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256500元。</w:t>
      </w:r>
    </w:p>
    <w:p>
      <w:pPr>
        <w:numPr>
          <w:ilvl w:val="0"/>
          <w:numId w:val="1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乡政府成立领导小组，由分管领导负责监督，由三滩村组织负责实施。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256500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099897"/>
  </w:num>
  <w:num w:numId="2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basedOn w:val="1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2022-05-16T12:21:20Z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