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2021年看守所经费绩效自评报告</w:t>
      </w:r>
      <w:bookmarkStart w:id="0" w:name="_GoBack"/>
      <w:bookmarkEnd w:id="0"/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  <w:lang w:eastAsia="zh-CN"/>
        </w:rPr>
        <w:t>盐边县公安局是“盐边县公安局</w:t>
      </w:r>
      <w:r>
        <w:rPr>
          <w:rFonts w:hint="eastAsia" w:eastAsia="仿宋_GB2312"/>
          <w:sz w:val="32"/>
          <w:szCs w:val="32"/>
          <w:lang w:val="en-US" w:eastAsia="zh-CN"/>
        </w:rPr>
        <w:t>2021年看守所经费</w:t>
      </w:r>
      <w:r>
        <w:rPr>
          <w:rFonts w:hint="eastAsia" w:eastAsia="仿宋_GB2312"/>
          <w:sz w:val="32"/>
          <w:szCs w:val="32"/>
          <w:lang w:eastAsia="zh-CN"/>
        </w:rPr>
        <w:t>”项目监督管理的实施主体，负责项目的实施、监督、管理等工作。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盐边县公安局2021年看守所经费，主要用于看守所在押人员日常生活费、医疗费、公杂费、水电费等支出，保证看守所羁押职能的正常发挥。在押人员生活费核算依据是《财政部 公安部关于调整看守所在押人员伙食实物量标准的通知》（财行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〔2016〕430号</w:t>
      </w:r>
      <w:r>
        <w:rPr>
          <w:rFonts w:hint="eastAsia" w:eastAsia="仿宋_GB2312"/>
          <w:sz w:val="32"/>
          <w:szCs w:val="32"/>
          <w:lang w:val="en-US" w:eastAsia="zh-CN"/>
        </w:rPr>
        <w:t>），医疗费、公杂费、水电费等支出按看守所关押量实际支出进行核算。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盐边县公安局严格按照项目目标任务，资金使用方向，严格审核把关，按工作开展进度及时报送计划、支付，严格执行专款专用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_GB2312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  <w:lang w:eastAsia="zh-CN"/>
        </w:rPr>
        <w:t>盐边县公安局严格按照财经纪律、财务管理相关规定，按</w:t>
      </w:r>
      <w:r>
        <w:rPr>
          <w:rFonts w:hint="eastAsia" w:eastAsia="仿宋_GB2312"/>
          <w:sz w:val="32"/>
          <w:szCs w:val="32"/>
          <w:lang w:val="en-US" w:eastAsia="zh-CN"/>
        </w:rPr>
        <w:t>（财行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〔2016〕430号</w:t>
      </w:r>
      <w:r>
        <w:rPr>
          <w:rFonts w:hint="eastAsia" w:eastAsia="仿宋_GB2312"/>
          <w:sz w:val="32"/>
          <w:szCs w:val="32"/>
          <w:lang w:val="en-US" w:eastAsia="zh-CN"/>
        </w:rPr>
        <w:t>）文件定量标准，严格审核看守所在押人员生活费、医疗费、公杂费、水电费等，</w:t>
      </w:r>
      <w:r>
        <w:rPr>
          <w:rFonts w:hint="eastAsia" w:eastAsia="仿宋_GB2312"/>
          <w:sz w:val="32"/>
          <w:szCs w:val="32"/>
          <w:lang w:eastAsia="zh-CN"/>
        </w:rPr>
        <w:t>按实际支出严格审核，报送计划，由财政审批支付。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监管场所是维护社会稳定重要工具，在押人员相关费用主要用于看守所在押人员日常生活费、医疗费、公杂费、水电费等支出，保证看守所羁押职能的正常发挥。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>保障在押人员羁押期间日常生活费、医疗费、公杂费、水电费等支出，保证看守所羁押职能的正常发挥。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盐边县公安局看守所严格按照</w:t>
      </w:r>
      <w:r>
        <w:rPr>
          <w:rFonts w:hint="eastAsia" w:eastAsia="仿宋_GB2312"/>
          <w:sz w:val="32"/>
          <w:szCs w:val="32"/>
          <w:lang w:val="en-US" w:eastAsia="zh-CN"/>
        </w:rPr>
        <w:t>（财行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〔2016〕430号</w:t>
      </w:r>
      <w:r>
        <w:rPr>
          <w:rFonts w:hint="eastAsia" w:eastAsia="仿宋_GB2312"/>
          <w:sz w:val="32"/>
          <w:szCs w:val="32"/>
          <w:lang w:val="en-US" w:eastAsia="zh-CN"/>
        </w:rPr>
        <w:t>）文件定量标准，以及看守所羁押人员数量，日常支出情况编报预算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，提请单位审核通过并按程序向盐边县政府提请专项资金申请。经过县政府审议通过由财政（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盐财资行〔2021〕78号）文，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下达看守所经费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87.73万元。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根据看守所工作实际需要，向县财政计划申请看守所专项工作经费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87.73万元。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县财政局分别于2021年2月下达看守所专项资金87.73万元，到位率100%。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看守所专项资金到位后，县公安局严格按财经纪律、财务管理等相关规定，严格审核各项支出，及时支付，专款专用，资金支付完成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监管场所是维护社会稳定重要工具，</w:t>
      </w:r>
      <w:r>
        <w:rPr>
          <w:rFonts w:hint="eastAsia" w:eastAsia="仿宋_GB2312"/>
          <w:sz w:val="32"/>
          <w:szCs w:val="32"/>
          <w:lang w:eastAsia="zh-CN"/>
        </w:rPr>
        <w:t>看守所专项经费主要用于</w:t>
      </w:r>
      <w:r>
        <w:rPr>
          <w:rFonts w:hint="eastAsia" w:eastAsia="仿宋_GB2312"/>
          <w:sz w:val="32"/>
          <w:szCs w:val="32"/>
        </w:rPr>
        <w:t>看守所在押人员日常生活费、医疗费、公杂费、水电费等支出，保证看守所羁押职能的正常发挥。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看守所按实际支出凭票据经由财务审核、领导签字后方可报销。财务人员将计划录入平台由县财政局进行审批后执行。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看守所专项经费支出严格按照财务管理制度执行。凭原始凭证进行审核报销，并对项目实施进度、资金支付真实性、必要性、及时性进行时时跟踪管理。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盐边县公安局看守所专项经费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支出，县公安局严格按照财经纪律，对项目后期实施进度、项目质效进行跟踪管理。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看守所经费在当期完成了项目的总体实施，执行率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保障了盐边县公安局看守所羁押工作的顺利开展，保证看守所羁押职能的正常发挥，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基本实现了群众及单位职工基本满意及以上。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看守所专项经费的及时实施，有效维护社会稳定，保障在押人员支出。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该项目的及时、完整实施，为盐边县公安局看守所羁押工作提供了有力保障，确保了辖区治安稳定，提高了群众满意度。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23C6B06"/>
    <w:rsid w:val="0834121B"/>
    <w:rsid w:val="08AF504E"/>
    <w:rsid w:val="0B992450"/>
    <w:rsid w:val="0EA22A71"/>
    <w:rsid w:val="0F022D84"/>
    <w:rsid w:val="0FE24F1E"/>
    <w:rsid w:val="132A0266"/>
    <w:rsid w:val="1429758C"/>
    <w:rsid w:val="148A6357"/>
    <w:rsid w:val="14A00925"/>
    <w:rsid w:val="187538A8"/>
    <w:rsid w:val="19832B36"/>
    <w:rsid w:val="19E7032A"/>
    <w:rsid w:val="1D8242BF"/>
    <w:rsid w:val="1E334E75"/>
    <w:rsid w:val="1F6D1574"/>
    <w:rsid w:val="227442C8"/>
    <w:rsid w:val="26BA3466"/>
    <w:rsid w:val="26C73258"/>
    <w:rsid w:val="281614CF"/>
    <w:rsid w:val="28B413F8"/>
    <w:rsid w:val="2E07054A"/>
    <w:rsid w:val="2F7846CD"/>
    <w:rsid w:val="30160024"/>
    <w:rsid w:val="30E70798"/>
    <w:rsid w:val="32AA67B4"/>
    <w:rsid w:val="33F40163"/>
    <w:rsid w:val="34FC6444"/>
    <w:rsid w:val="3E6E663C"/>
    <w:rsid w:val="3F7D71E4"/>
    <w:rsid w:val="43734A01"/>
    <w:rsid w:val="44910008"/>
    <w:rsid w:val="471D1E55"/>
    <w:rsid w:val="471F4BB5"/>
    <w:rsid w:val="489F4C9D"/>
    <w:rsid w:val="48BE3E2F"/>
    <w:rsid w:val="4D923D11"/>
    <w:rsid w:val="4E90497B"/>
    <w:rsid w:val="4F7A0FC9"/>
    <w:rsid w:val="52E727E3"/>
    <w:rsid w:val="537F024E"/>
    <w:rsid w:val="563342D4"/>
    <w:rsid w:val="58580813"/>
    <w:rsid w:val="62627BF0"/>
    <w:rsid w:val="698E4187"/>
    <w:rsid w:val="69D76C02"/>
    <w:rsid w:val="6AEE7933"/>
    <w:rsid w:val="6BAB065E"/>
    <w:rsid w:val="6EE4299A"/>
    <w:rsid w:val="6EF61732"/>
    <w:rsid w:val="70A414F7"/>
    <w:rsid w:val="721E0A11"/>
    <w:rsid w:val="74D81160"/>
    <w:rsid w:val="75A5081F"/>
    <w:rsid w:val="761F2C18"/>
    <w:rsid w:val="7BEC4627"/>
    <w:rsid w:val="7D9864FB"/>
    <w:rsid w:val="7EBB7F00"/>
    <w:rsid w:val="7EE60427"/>
    <w:rsid w:val="7EF4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2022-05-10T00:55:27Z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