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盐边县公安局</w:t>
      </w:r>
    </w:p>
    <w:p>
      <w:pPr>
        <w:autoSpaceDE w:val="0"/>
        <w:autoSpaceDN w:val="0"/>
        <w:adjustRightInd w:val="0"/>
        <w:spacing w:line="600" w:lineRule="exact"/>
        <w:jc w:val="center"/>
        <w:rPr>
          <w:rFonts w:hint="eastAsia" w:ascii="黑体" w:hAnsi="黑体" w:eastAsia="黑体" w:cs="黑体"/>
          <w:sz w:val="44"/>
          <w:szCs w:val="44"/>
        </w:rPr>
      </w:pPr>
      <w:r>
        <w:rPr>
          <w:rFonts w:hint="eastAsia" w:ascii="黑体" w:hAnsi="黑体" w:eastAsia="黑体" w:cs="黑体"/>
          <w:sz w:val="44"/>
          <w:szCs w:val="44"/>
        </w:rPr>
        <w:t>G353红格区间大道测速设备资金绩效自评报告</w:t>
      </w:r>
    </w:p>
    <w:p>
      <w:pPr>
        <w:autoSpaceDE w:val="0"/>
        <w:autoSpaceDN w:val="0"/>
        <w:adjustRightInd w:val="0"/>
        <w:spacing w:line="600" w:lineRule="exact"/>
        <w:ind w:firstLine="880" w:firstLineChars="200"/>
        <w:jc w:val="left"/>
        <w:rPr>
          <w:rFonts w:hint="eastAsia" w:ascii="黑体" w:hAnsi="黑体" w:eastAsia="黑体" w:cs="黑体"/>
          <w:sz w:val="44"/>
          <w:szCs w:val="44"/>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spacing w:line="520" w:lineRule="exact"/>
        <w:ind w:firstLine="640" w:firstLineChars="200"/>
        <w:rPr>
          <w:rFonts w:hint="eastAsia" w:eastAsia="仿宋_GB2312"/>
          <w:sz w:val="32"/>
          <w:szCs w:val="32"/>
          <w:lang w:eastAsia="zh-CN"/>
        </w:rPr>
      </w:pPr>
      <w:r>
        <w:rPr>
          <w:rFonts w:eastAsia="仿宋_GB2312"/>
          <w:sz w:val="32"/>
          <w:szCs w:val="32"/>
        </w:rPr>
        <w:t>1.</w:t>
      </w:r>
      <w:r>
        <w:rPr>
          <w:rFonts w:hint="eastAsia" w:eastAsia="仿宋_GB2312"/>
          <w:sz w:val="32"/>
          <w:szCs w:val="22"/>
        </w:rPr>
        <w:t>我县G353高速连接线</w:t>
      </w:r>
      <w:r>
        <w:rPr>
          <w:rFonts w:hint="eastAsia" w:eastAsia="仿宋_GB2312"/>
          <w:sz w:val="32"/>
          <w:szCs w:val="22"/>
          <w:lang w:eastAsia="zh-CN"/>
        </w:rPr>
        <w:t>，</w:t>
      </w:r>
      <w:r>
        <w:rPr>
          <w:rFonts w:hint="eastAsia" w:eastAsia="仿宋_GB2312"/>
          <w:sz w:val="32"/>
          <w:szCs w:val="22"/>
        </w:rPr>
        <w:t>改造后极大提升了我县城市形象和工业园区等周边企业车辆通行能力。目前，园区、盐边高速出口两条道路与国道G353相交形成两个T型路口,园区企业集中，经两个路口进出的货物运输量和车流量较大、路口坡长弯急</w:t>
      </w:r>
      <w:r>
        <w:rPr>
          <w:rFonts w:hint="eastAsia" w:eastAsia="仿宋_GB2312"/>
          <w:sz w:val="32"/>
          <w:szCs w:val="22"/>
          <w:lang w:eastAsia="zh-CN"/>
        </w:rPr>
        <w:t>。</w:t>
      </w:r>
    </w:p>
    <w:p>
      <w:pPr>
        <w:spacing w:line="560" w:lineRule="exact"/>
        <w:ind w:firstLine="640" w:firstLineChars="200"/>
        <w:rPr>
          <w:rFonts w:eastAsia="仿宋_GB2312"/>
          <w:b w:val="0"/>
          <w:bCs w:val="0"/>
          <w:sz w:val="32"/>
          <w:szCs w:val="32"/>
        </w:rPr>
      </w:pPr>
      <w:r>
        <w:rPr>
          <w:rFonts w:eastAsia="仿宋_GB2312"/>
          <w:b w:val="0"/>
          <w:bCs w:val="0"/>
          <w:sz w:val="32"/>
          <w:szCs w:val="32"/>
        </w:rPr>
        <w:t>2.项目立项、资金申报的依据。</w:t>
      </w:r>
    </w:p>
    <w:p>
      <w:pPr>
        <w:spacing w:line="520" w:lineRule="exact"/>
        <w:ind w:firstLine="640" w:firstLineChars="200"/>
        <w:rPr>
          <w:rFonts w:hint="default" w:ascii="仿宋_GB2312" w:eastAsia="仿宋_GB2312"/>
          <w:sz w:val="32"/>
          <w:szCs w:val="32"/>
          <w:lang w:val="en-US" w:eastAsia="zh-CN"/>
        </w:rPr>
      </w:pPr>
      <w:r>
        <w:rPr>
          <w:rFonts w:hint="eastAsia" w:eastAsia="仿宋_GB2312"/>
          <w:sz w:val="32"/>
          <w:szCs w:val="22"/>
        </w:rPr>
        <w:t>由于缺乏路口的交通管控措施，直行车辆、转弯车辆冲突严重、车辆通行混乱，且驶往国道G353下行车辆多数是重型货车，车速普遍较快，极易在路口附近引发车辆拥堵，诱发严重交通事故，存在严重交通安全隐患</w:t>
      </w:r>
      <w:r>
        <w:rPr>
          <w:rFonts w:hint="eastAsia" w:eastAsia="仿宋_GB2312"/>
          <w:sz w:val="32"/>
          <w:szCs w:val="22"/>
          <w:lang w:eastAsia="zh-CN"/>
        </w:rPr>
        <w:t>，</w:t>
      </w:r>
      <w:r>
        <w:rPr>
          <w:rFonts w:hint="eastAsia" w:ascii="仿宋_GB2312" w:eastAsia="仿宋_GB2312"/>
          <w:sz w:val="32"/>
          <w:szCs w:val="32"/>
          <w:lang w:eastAsia="zh-CN"/>
        </w:rPr>
        <w:t>特申请在该区间安装测速设备，资金</w:t>
      </w:r>
      <w:r>
        <w:rPr>
          <w:rFonts w:hint="eastAsia" w:ascii="仿宋_GB2312" w:eastAsia="仿宋_GB2312"/>
          <w:sz w:val="32"/>
          <w:szCs w:val="32"/>
          <w:lang w:val="en-US" w:eastAsia="zh-CN"/>
        </w:rPr>
        <w:t>44.35万元。</w:t>
      </w:r>
    </w:p>
    <w:p>
      <w:pPr>
        <w:spacing w:line="560" w:lineRule="exact"/>
        <w:ind w:firstLine="640" w:firstLineChars="200"/>
        <w:rPr>
          <w:rFonts w:hint="eastAsia" w:ascii="仿宋" w:hAnsi="仿宋" w:eastAsia="仿宋" w:cs="仿宋"/>
          <w:color w:val="000000"/>
          <w:kern w:val="0"/>
          <w:sz w:val="32"/>
          <w:szCs w:val="32"/>
          <w:lang w:eastAsia="zh-CN"/>
        </w:rPr>
      </w:pPr>
      <w:r>
        <w:rPr>
          <w:rFonts w:eastAsia="仿宋_GB2312"/>
          <w:sz w:val="32"/>
          <w:szCs w:val="32"/>
        </w:rPr>
        <w:t>3.</w:t>
      </w:r>
      <w:r>
        <w:rPr>
          <w:rFonts w:hint="eastAsia" w:ascii="仿宋" w:hAnsi="仿宋" w:eastAsia="仿宋" w:cs="仿宋"/>
          <w:color w:val="000000"/>
          <w:kern w:val="0"/>
          <w:sz w:val="32"/>
          <w:szCs w:val="32"/>
          <w:lang w:val="en-US" w:eastAsia="zh-CN"/>
        </w:rPr>
        <w:t>盐边县公安局严格按照项目目标任务，资金使用方向，严格审核把关，按工作开展进度及时报送计划、支付，严格执行专款专用</w:t>
      </w:r>
      <w:r>
        <w:rPr>
          <w:rFonts w:hint="eastAsia" w:ascii="仿宋" w:hAnsi="仿宋" w:eastAsia="仿宋" w:cs="仿宋"/>
          <w:color w:val="000000"/>
          <w:kern w:val="0"/>
          <w:sz w:val="32"/>
          <w:szCs w:val="32"/>
          <w:lang w:eastAsia="zh-CN"/>
        </w:rPr>
        <w:t>。</w:t>
      </w:r>
    </w:p>
    <w:p>
      <w:pPr>
        <w:spacing w:line="560" w:lineRule="exact"/>
        <w:ind w:firstLine="640" w:firstLineChars="200"/>
        <w:rPr>
          <w:rFonts w:hint="eastAsia" w:ascii="Times New Roman" w:hAnsi="Times New Roman" w:eastAsia="楷体_GB2312"/>
          <w:kern w:val="0"/>
          <w:sz w:val="32"/>
          <w:szCs w:val="32"/>
          <w:lang w:eastAsia="zh-CN"/>
        </w:rPr>
      </w:pPr>
      <w:r>
        <w:rPr>
          <w:rFonts w:eastAsia="仿宋_GB2312"/>
          <w:sz w:val="32"/>
          <w:szCs w:val="32"/>
        </w:rPr>
        <w:t>4.资金分配的原则及考虑因素。</w:t>
      </w:r>
      <w:r>
        <w:rPr>
          <w:rFonts w:hint="eastAsia" w:eastAsia="仿宋_GB2312"/>
          <w:sz w:val="32"/>
          <w:szCs w:val="32"/>
          <w:lang w:eastAsia="zh-CN"/>
        </w:rPr>
        <w:t>按项目实际需求，结合资金效率合理分布测速设备点位，资金分配。严格按财经纪律、政府采购相关程序进行项目实施，资金支付。</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w:t>
      </w:r>
      <w:r>
        <w:rPr>
          <w:rFonts w:ascii="Times New Roman" w:hAnsi="Times New Roman" w:eastAsia="仿宋_GB2312"/>
          <w:kern w:val="0"/>
          <w:sz w:val="32"/>
          <w:szCs w:val="32"/>
        </w:rPr>
        <w:t>项目主要内容</w:t>
      </w:r>
      <w:r>
        <w:rPr>
          <w:rFonts w:hint="eastAsia" w:ascii="Times New Roman" w:hAnsi="Times New Roman" w:eastAsia="仿宋_GB2312"/>
          <w:kern w:val="0"/>
          <w:sz w:val="32"/>
          <w:szCs w:val="32"/>
          <w:lang w:eastAsia="zh-CN"/>
        </w:rPr>
        <w:t>。</w:t>
      </w:r>
    </w:p>
    <w:p>
      <w:pPr>
        <w:spacing w:line="520" w:lineRule="exact"/>
        <w:ind w:firstLine="640" w:firstLineChars="200"/>
        <w:rPr>
          <w:rFonts w:hint="eastAsia" w:eastAsia="仿宋_GB2312"/>
          <w:sz w:val="32"/>
          <w:szCs w:val="32"/>
          <w:lang w:eastAsia="zh-CN"/>
        </w:rPr>
      </w:pPr>
      <w:r>
        <w:rPr>
          <w:rFonts w:hint="eastAsia" w:eastAsia="仿宋_GB2312"/>
          <w:sz w:val="32"/>
          <w:szCs w:val="22"/>
        </w:rPr>
        <w:t>我县G353高速连接线</w:t>
      </w:r>
      <w:r>
        <w:rPr>
          <w:rFonts w:hint="eastAsia" w:eastAsia="仿宋_GB2312"/>
          <w:sz w:val="32"/>
          <w:szCs w:val="22"/>
          <w:lang w:eastAsia="zh-CN"/>
        </w:rPr>
        <w:t>，</w:t>
      </w:r>
      <w:r>
        <w:rPr>
          <w:rFonts w:hint="eastAsia" w:eastAsia="仿宋_GB2312"/>
          <w:sz w:val="32"/>
          <w:szCs w:val="22"/>
        </w:rPr>
        <w:t>改造后极大提升了我县城市形象和工业园区等周边企业车辆通行能力。目前，园区、盐边高速出口两条道路与国道G353相交形成两个T型路口,园区企业集中，经两个路口进出的货物运输量和车流量较大、路口坡长弯急</w:t>
      </w:r>
      <w:r>
        <w:rPr>
          <w:rFonts w:hint="eastAsia" w:eastAsia="仿宋_GB2312"/>
          <w:sz w:val="32"/>
          <w:szCs w:val="22"/>
          <w:lang w:eastAsia="zh-CN"/>
        </w:rPr>
        <w:t>。</w:t>
      </w:r>
      <w:r>
        <w:rPr>
          <w:rFonts w:hint="eastAsia" w:eastAsia="仿宋_GB2312"/>
          <w:sz w:val="32"/>
          <w:szCs w:val="22"/>
        </w:rPr>
        <w:t>由于缺乏路口的交通管控措施，直行车辆、转弯车辆冲突严重、车辆通行混乱，且驶往国道G353下行车辆多数是重型货车，车速普遍较快，极易在路口附近引发车辆拥堵，诱发严重交通事故，存在严重交通安全隐患</w:t>
      </w:r>
      <w:r>
        <w:rPr>
          <w:rFonts w:hint="eastAsia" w:eastAsia="仿宋_GB2312"/>
          <w:sz w:val="32"/>
          <w:szCs w:val="22"/>
          <w:lang w:eastAsia="zh-CN"/>
        </w:rPr>
        <w:t>，</w:t>
      </w:r>
      <w:r>
        <w:rPr>
          <w:rFonts w:hint="eastAsia" w:ascii="仿宋_GB2312" w:eastAsia="仿宋_GB2312"/>
          <w:sz w:val="32"/>
          <w:szCs w:val="32"/>
          <w:lang w:eastAsia="zh-CN"/>
        </w:rPr>
        <w:t>特申请在该区间安装测速设备，资金</w:t>
      </w:r>
      <w:r>
        <w:rPr>
          <w:rFonts w:hint="eastAsia" w:ascii="仿宋_GB2312" w:eastAsia="仿宋_GB2312"/>
          <w:sz w:val="32"/>
          <w:szCs w:val="32"/>
          <w:lang w:val="en-US" w:eastAsia="zh-CN"/>
        </w:rPr>
        <w:t>44.35万元。</w:t>
      </w:r>
    </w:p>
    <w:p>
      <w:pPr>
        <w:spacing w:line="500" w:lineRule="exact"/>
        <w:ind w:firstLine="640"/>
        <w:rPr>
          <w:rFonts w:hint="eastAsia" w:eastAsia="仿宋_GB2312"/>
          <w:sz w:val="32"/>
          <w:szCs w:val="22"/>
          <w:lang w:eastAsia="zh-CN"/>
        </w:rPr>
      </w:pPr>
      <w:r>
        <w:rPr>
          <w:rFonts w:hint="eastAsia" w:eastAsia="仿宋_GB2312"/>
          <w:sz w:val="32"/>
          <w:szCs w:val="32"/>
          <w:lang w:val="en-US" w:eastAsia="zh-CN"/>
        </w:rPr>
        <w:t>2.</w:t>
      </w:r>
      <w:r>
        <w:rPr>
          <w:rFonts w:hint="eastAsia" w:eastAsia="仿宋_GB2312"/>
          <w:sz w:val="32"/>
          <w:szCs w:val="22"/>
        </w:rPr>
        <w:t>G353红格区间大道测速设备</w:t>
      </w:r>
      <w:r>
        <w:rPr>
          <w:rFonts w:hint="eastAsia" w:eastAsia="仿宋_GB2312"/>
          <w:sz w:val="32"/>
          <w:szCs w:val="22"/>
          <w:lang w:eastAsia="zh-CN"/>
        </w:rPr>
        <w:t>项目的实施，</w:t>
      </w:r>
      <w:r>
        <w:rPr>
          <w:rFonts w:hint="eastAsia" w:eastAsia="仿宋_GB2312"/>
          <w:sz w:val="32"/>
          <w:szCs w:val="22"/>
        </w:rPr>
        <w:t>保证</w:t>
      </w:r>
      <w:r>
        <w:rPr>
          <w:rFonts w:hint="eastAsia" w:eastAsia="仿宋_GB2312"/>
          <w:sz w:val="32"/>
          <w:szCs w:val="22"/>
          <w:lang w:eastAsia="zh-CN"/>
        </w:rPr>
        <w:t>了</w:t>
      </w:r>
      <w:r>
        <w:rPr>
          <w:rFonts w:hint="eastAsia" w:eastAsia="仿宋_GB2312"/>
          <w:sz w:val="32"/>
          <w:szCs w:val="22"/>
        </w:rPr>
        <w:t>车辆有序通行，维护良好的道路交通秩序，有效防范道路交通事故发生，更好的服务我县打造康养名县，提升城市形象工程</w:t>
      </w:r>
      <w:r>
        <w:rPr>
          <w:rFonts w:hint="eastAsia" w:eastAsia="仿宋_GB2312"/>
          <w:sz w:val="32"/>
          <w:szCs w:val="22"/>
          <w:lang w:eastAsia="zh-CN"/>
        </w:rPr>
        <w:t>。</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ascii="Times New Roman" w:hAnsi="Times New Roman" w:eastAsia="仿宋_GB2312"/>
          <w:kern w:val="0"/>
          <w:sz w:val="32"/>
          <w:szCs w:val="32"/>
          <w:lang w:val="en-US" w:eastAsia="zh-CN"/>
        </w:rPr>
        <w:t>3.</w:t>
      </w:r>
      <w:r>
        <w:rPr>
          <w:rFonts w:hint="eastAsia" w:eastAsia="仿宋_GB2312"/>
          <w:sz w:val="32"/>
          <w:szCs w:val="32"/>
          <w:lang w:val="en-US" w:eastAsia="zh-CN"/>
        </w:rPr>
        <w:t>项目分析评价申报内容与实际相符，申报目标合理可行。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autoSpaceDE w:val="0"/>
        <w:autoSpaceDN w:val="0"/>
        <w:adjustRightInd w:val="0"/>
        <w:spacing w:line="600" w:lineRule="exact"/>
        <w:ind w:firstLine="640" w:firstLineChars="200"/>
        <w:jc w:val="left"/>
        <w:rPr>
          <w:rFonts w:hint="default" w:ascii="仿宋" w:hAnsi="仿宋" w:eastAsia="仿宋" w:cs="仿宋"/>
          <w:sz w:val="32"/>
          <w:szCs w:val="32"/>
          <w:lang w:val="en-US" w:eastAsia="zh-CN"/>
        </w:rPr>
      </w:pPr>
      <w:r>
        <w:rPr>
          <w:rFonts w:hint="eastAsia" w:eastAsia="仿宋_GB2312"/>
          <w:sz w:val="32"/>
          <w:szCs w:val="32"/>
          <w:lang w:eastAsia="zh-CN"/>
        </w:rPr>
        <w:t>G353红格区间大道测速设备项目由盐边县公安局根据实际需求按程序申报，共计资金</w:t>
      </w:r>
      <w:r>
        <w:rPr>
          <w:rFonts w:hint="eastAsia" w:eastAsia="仿宋_GB2312"/>
          <w:sz w:val="32"/>
          <w:szCs w:val="32"/>
          <w:lang w:val="en-US" w:eastAsia="zh-CN"/>
        </w:rPr>
        <w:t>44.35万元。于</w:t>
      </w:r>
      <w:r>
        <w:rPr>
          <w:rFonts w:hint="eastAsia" w:ascii="仿宋" w:hAnsi="仿宋" w:eastAsia="仿宋" w:cs="仿宋"/>
          <w:sz w:val="32"/>
          <w:szCs w:val="32"/>
          <w:lang w:val="en-US" w:eastAsia="zh-CN"/>
        </w:rPr>
        <w:t>2021年2月</w:t>
      </w:r>
      <w:r>
        <w:rPr>
          <w:rFonts w:hint="eastAsia" w:ascii="仿宋" w:hAnsi="仿宋" w:eastAsia="仿宋" w:cs="仿宋"/>
          <w:sz w:val="32"/>
          <w:szCs w:val="32"/>
          <w:lang w:eastAsia="zh-CN"/>
        </w:rPr>
        <w:t>由财政（盐财资行〔2021〕78号）文</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下达解决</w:t>
      </w:r>
      <w:r>
        <w:rPr>
          <w:rFonts w:hint="eastAsia" w:eastAsia="仿宋_GB2312"/>
          <w:sz w:val="32"/>
          <w:szCs w:val="32"/>
          <w:lang w:eastAsia="zh-CN"/>
        </w:rPr>
        <w:t>盐边县G353红格区间大道测速设备经费</w:t>
      </w:r>
      <w:r>
        <w:rPr>
          <w:rFonts w:hint="eastAsia" w:eastAsia="仿宋_GB2312"/>
          <w:sz w:val="32"/>
          <w:szCs w:val="32"/>
          <w:lang w:val="en-US" w:eastAsia="zh-CN"/>
        </w:rPr>
        <w:t>44.35</w:t>
      </w:r>
      <w:r>
        <w:rPr>
          <w:rFonts w:hint="eastAsia" w:ascii="Times New Roman" w:hAnsi="Times New Roman" w:eastAsia="仿宋_GB2312"/>
          <w:kern w:val="0"/>
          <w:sz w:val="32"/>
          <w:szCs w:val="32"/>
          <w:lang w:val="en-US" w:eastAsia="zh-CN"/>
        </w:rPr>
        <w:t>万元。</w:t>
      </w:r>
    </w:p>
    <w:p>
      <w:pPr>
        <w:spacing w:line="560" w:lineRule="exact"/>
        <w:ind w:firstLine="643" w:firstLineChars="200"/>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20" w:lineRule="exact"/>
        <w:ind w:firstLine="640" w:firstLineChars="200"/>
        <w:rPr>
          <w:rFonts w:hint="default" w:ascii="仿宋_GB2312" w:eastAsia="仿宋_GB2312"/>
          <w:sz w:val="32"/>
          <w:szCs w:val="32"/>
          <w:lang w:val="en-US" w:eastAsia="zh-CN"/>
        </w:rPr>
      </w:pPr>
      <w:r>
        <w:rPr>
          <w:rFonts w:hint="eastAsia" w:eastAsia="仿宋_GB2312"/>
          <w:sz w:val="32"/>
          <w:szCs w:val="22"/>
        </w:rPr>
        <w:t>由于缺乏路口的交通管控措施，直行车辆、转弯车辆冲突严重、车辆通行混乱，且驶往国道G353下行车辆多数是重型货车，车速普遍较快，极易在路口附近引发车辆拥堵，诱发严重交通事故，存在严重交通安全隐患</w:t>
      </w:r>
      <w:r>
        <w:rPr>
          <w:rFonts w:hint="eastAsia" w:eastAsia="仿宋_GB2312"/>
          <w:sz w:val="32"/>
          <w:szCs w:val="22"/>
          <w:lang w:eastAsia="zh-CN"/>
        </w:rPr>
        <w:t>，</w:t>
      </w:r>
      <w:r>
        <w:rPr>
          <w:rFonts w:hint="eastAsia" w:ascii="仿宋_GB2312" w:eastAsia="仿宋_GB2312"/>
          <w:sz w:val="32"/>
          <w:szCs w:val="32"/>
          <w:lang w:eastAsia="zh-CN"/>
        </w:rPr>
        <w:t>特申请在该区间安装测速设备，资金</w:t>
      </w:r>
      <w:r>
        <w:rPr>
          <w:rFonts w:hint="eastAsia" w:ascii="仿宋_GB2312" w:eastAsia="仿宋_GB2312"/>
          <w:sz w:val="32"/>
          <w:szCs w:val="32"/>
          <w:lang w:val="en-US" w:eastAsia="zh-CN"/>
        </w:rPr>
        <w:t>44.35万元。</w:t>
      </w:r>
    </w:p>
    <w:p>
      <w:pPr>
        <w:spacing w:line="560" w:lineRule="exact"/>
        <w:ind w:firstLine="643" w:firstLineChars="200"/>
        <w:rPr>
          <w:rFonts w:eastAsia="仿宋_GB2312"/>
          <w:b/>
          <w:sz w:val="32"/>
          <w:szCs w:val="32"/>
        </w:rPr>
      </w:pPr>
      <w:r>
        <w:rPr>
          <w:rFonts w:eastAsia="仿宋_GB2312"/>
          <w:b/>
          <w:sz w:val="32"/>
          <w:szCs w:val="32"/>
        </w:rPr>
        <w:t>2.资金到位</w:t>
      </w:r>
    </w:p>
    <w:p>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lang w:val="en-US" w:eastAsia="zh-CN"/>
        </w:rPr>
        <w:t>2021年2月</w:t>
      </w:r>
      <w:r>
        <w:rPr>
          <w:rFonts w:hint="eastAsia" w:ascii="仿宋" w:hAnsi="仿宋" w:eastAsia="仿宋" w:cs="仿宋"/>
          <w:sz w:val="32"/>
          <w:szCs w:val="32"/>
          <w:lang w:eastAsia="zh-CN"/>
        </w:rPr>
        <w:t>由财政（盐财资行〔2021〕78号）文</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下达解决</w:t>
      </w:r>
      <w:r>
        <w:rPr>
          <w:rFonts w:hint="eastAsia" w:eastAsia="仿宋_GB2312"/>
          <w:sz w:val="32"/>
          <w:szCs w:val="32"/>
          <w:lang w:eastAsia="zh-CN"/>
        </w:rPr>
        <w:t>盐边县G353红格区间大道测速设备经费</w:t>
      </w:r>
      <w:r>
        <w:rPr>
          <w:rFonts w:hint="eastAsia" w:eastAsia="仿宋_GB2312"/>
          <w:sz w:val="32"/>
          <w:szCs w:val="32"/>
          <w:lang w:val="en-US" w:eastAsia="zh-CN"/>
        </w:rPr>
        <w:t>44.35</w:t>
      </w:r>
      <w:r>
        <w:rPr>
          <w:rFonts w:hint="eastAsia" w:ascii="Times New Roman" w:hAnsi="Times New Roman" w:eastAsia="仿宋_GB2312"/>
          <w:kern w:val="0"/>
          <w:sz w:val="32"/>
          <w:szCs w:val="32"/>
          <w:lang w:val="en-US" w:eastAsia="zh-CN"/>
        </w:rPr>
        <w:t>万元，资金</w:t>
      </w:r>
      <w:r>
        <w:rPr>
          <w:rFonts w:hint="eastAsia" w:ascii="仿宋" w:hAnsi="仿宋" w:eastAsia="仿宋" w:cs="仿宋"/>
          <w:sz w:val="32"/>
          <w:szCs w:val="32"/>
          <w:lang w:val="en-US" w:eastAsia="zh-CN"/>
        </w:rPr>
        <w:t>到位率100%。</w:t>
      </w:r>
    </w:p>
    <w:p>
      <w:pPr>
        <w:spacing w:line="560" w:lineRule="exact"/>
        <w:ind w:firstLine="643" w:firstLineChars="200"/>
        <w:rPr>
          <w:rFonts w:eastAsia="仿宋_GB2312"/>
          <w:b/>
          <w:sz w:val="32"/>
          <w:szCs w:val="32"/>
        </w:rPr>
      </w:pPr>
      <w:r>
        <w:rPr>
          <w:rFonts w:eastAsia="仿宋_GB2312"/>
          <w:b/>
          <w:sz w:val="32"/>
          <w:szCs w:val="32"/>
        </w:rPr>
        <w:t>3.资金使用</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lang w:eastAsia="zh-CN"/>
        </w:rPr>
        <w:t>盐边县G353红格区间大道测速设备经费到位后，县公安局严格按财经纪律、财务管理等相关规定，严格审核各项支出，及时支付，专款专用，资金支付完成</w:t>
      </w:r>
      <w:r>
        <w:rPr>
          <w:rFonts w:hint="eastAsia" w:eastAsia="仿宋_GB2312"/>
          <w:sz w:val="32"/>
          <w:szCs w:val="32"/>
          <w:lang w:val="en-US" w:eastAsia="zh-CN"/>
        </w:rPr>
        <w:t>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spacing w:line="560" w:lineRule="exact"/>
        <w:ind w:firstLine="640" w:firstLineChars="200"/>
        <w:rPr>
          <w:rFonts w:eastAsia="仿宋_GB2312"/>
          <w:sz w:val="32"/>
          <w:szCs w:val="32"/>
        </w:rPr>
      </w:pPr>
      <w:r>
        <w:rPr>
          <w:rFonts w:hint="eastAsia" w:ascii="仿宋" w:hAnsi="仿宋" w:eastAsia="仿宋" w:cs="仿宋"/>
          <w:sz w:val="32"/>
          <w:szCs w:val="32"/>
          <w:lang w:eastAsia="zh-CN"/>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（一）项目组织架构及实施流程</w:t>
      </w:r>
    </w:p>
    <w:p>
      <w:pPr>
        <w:spacing w:line="500" w:lineRule="exact"/>
        <w:ind w:firstLine="640"/>
        <w:rPr>
          <w:rFonts w:ascii="Times New Roman" w:hAnsi="Times New Roman" w:eastAsia="楷体_GB2312"/>
          <w:kern w:val="0"/>
          <w:sz w:val="32"/>
          <w:szCs w:val="32"/>
        </w:rPr>
      </w:pPr>
      <w:r>
        <w:rPr>
          <w:rFonts w:hint="eastAsia" w:eastAsia="仿宋_GB2312"/>
          <w:sz w:val="32"/>
          <w:szCs w:val="32"/>
          <w:lang w:eastAsia="zh-CN"/>
        </w:rPr>
        <w:t>盐边县G353红格区间大道测速设备经费</w:t>
      </w:r>
      <w:r>
        <w:rPr>
          <w:rFonts w:hint="eastAsia" w:ascii="Times New Roman" w:hAnsi="Times New Roman" w:eastAsia="仿宋_GB2312"/>
          <w:kern w:val="0"/>
          <w:sz w:val="32"/>
          <w:szCs w:val="32"/>
          <w:lang w:eastAsia="zh-CN"/>
        </w:rPr>
        <w:t>及时下拨支出，</w:t>
      </w:r>
      <w:r>
        <w:rPr>
          <w:rFonts w:hint="eastAsia" w:eastAsia="仿宋_GB2312"/>
          <w:sz w:val="32"/>
          <w:szCs w:val="22"/>
        </w:rPr>
        <w:t>保证</w:t>
      </w:r>
      <w:r>
        <w:rPr>
          <w:rFonts w:hint="eastAsia" w:eastAsia="仿宋_GB2312"/>
          <w:sz w:val="32"/>
          <w:szCs w:val="22"/>
          <w:lang w:eastAsia="zh-CN"/>
        </w:rPr>
        <w:t>了</w:t>
      </w:r>
      <w:r>
        <w:rPr>
          <w:rFonts w:hint="eastAsia" w:eastAsia="仿宋_GB2312"/>
          <w:sz w:val="32"/>
          <w:szCs w:val="22"/>
        </w:rPr>
        <w:t>车辆有序通行，维护良好的道路交通秩序，有效防范道路交通事故发生，更好的服务我县打造康养名县，提升城市形象工程</w:t>
      </w:r>
      <w:r>
        <w:rPr>
          <w:rFonts w:hint="eastAsia" w:ascii="Times New Roman" w:hAnsi="Times New Roman" w:eastAsia="仿宋_GB2312"/>
          <w:kern w:val="0"/>
          <w:sz w:val="32"/>
          <w:szCs w:val="32"/>
          <w:lang w:eastAsia="zh-CN"/>
        </w:rPr>
        <w:t>。</w:t>
      </w:r>
      <w:r>
        <w:rPr>
          <w:rFonts w:hint="eastAsia" w:eastAsia="仿宋_GB2312"/>
          <w:sz w:val="32"/>
          <w:szCs w:val="32"/>
          <w:lang w:eastAsia="zh-CN"/>
        </w:rPr>
        <w:t>我单位严格按照政府采购流程及报销流程，审核、把关，由</w:t>
      </w:r>
      <w:r>
        <w:rPr>
          <w:rFonts w:hint="eastAsia" w:ascii="仿宋" w:hAnsi="仿宋" w:eastAsia="仿宋" w:cs="仿宋"/>
          <w:color w:val="000000"/>
          <w:kern w:val="0"/>
          <w:sz w:val="32"/>
          <w:szCs w:val="32"/>
          <w:lang w:val="en-US" w:eastAsia="zh-CN"/>
        </w:rPr>
        <w:t>财务人员将计划录入平台后，再由县财政局进行审批后执行。</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（二）项目管理情况</w:t>
      </w:r>
    </w:p>
    <w:p>
      <w:pPr>
        <w:autoSpaceDE w:val="0"/>
        <w:autoSpaceDN w:val="0"/>
        <w:adjustRightInd w:val="0"/>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盐边县G353红格区间大道测速设备经费支出严格按照财务管理制度执行。凭原始凭证进行审核报销，并对项目实施进度、资金支付真实性、必要性、及时性进行时时跟踪管理。</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（三）项目监管情况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eastAsia="zh-CN"/>
        </w:rPr>
        <w:t>盐边县G353红格区间大道测速设备经费</w:t>
      </w:r>
      <w:r>
        <w:rPr>
          <w:rFonts w:hint="eastAsia" w:ascii="Times New Roman" w:hAnsi="Times New Roman" w:eastAsia="仿宋_GB2312"/>
          <w:kern w:val="0"/>
          <w:sz w:val="32"/>
          <w:szCs w:val="32"/>
          <w:lang w:eastAsia="zh-CN"/>
        </w:rPr>
        <w:t>支出，县公安局严格按照财经纪律，对项目后期实施进度、项目质效进行跟踪管理。</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盐边县G353红格区间大道测速设备经费在当期完成了项目的总体实施，执行率</w:t>
      </w:r>
      <w:r>
        <w:rPr>
          <w:rFonts w:hint="eastAsia" w:eastAsia="仿宋_GB2312"/>
          <w:sz w:val="32"/>
          <w:szCs w:val="32"/>
          <w:lang w:val="en-US" w:eastAsia="zh-CN"/>
        </w:rPr>
        <w:t>100%。</w:t>
      </w:r>
      <w:r>
        <w:rPr>
          <w:rFonts w:hint="eastAsia" w:eastAsia="仿宋_GB2312"/>
          <w:sz w:val="32"/>
          <w:szCs w:val="22"/>
        </w:rPr>
        <w:t>保证</w:t>
      </w:r>
      <w:r>
        <w:rPr>
          <w:rFonts w:hint="eastAsia" w:eastAsia="仿宋_GB2312"/>
          <w:sz w:val="32"/>
          <w:szCs w:val="22"/>
          <w:lang w:eastAsia="zh-CN"/>
        </w:rPr>
        <w:t>了</w:t>
      </w:r>
      <w:r>
        <w:rPr>
          <w:rFonts w:hint="eastAsia" w:eastAsia="仿宋_GB2312"/>
          <w:sz w:val="32"/>
          <w:szCs w:val="22"/>
        </w:rPr>
        <w:t>车辆有序通行，维护良好的道路交通秩序，有效防范道路交通事故发生，更好的服务我县打造康养名县，提升城市形象工程</w:t>
      </w:r>
      <w:r>
        <w:rPr>
          <w:rFonts w:hint="eastAsia" w:ascii="Times New Roman" w:hAnsi="Times New Roman" w:eastAsia="仿宋_GB2312"/>
          <w:kern w:val="0"/>
          <w:sz w:val="32"/>
          <w:szCs w:val="32"/>
          <w:lang w:eastAsia="zh-CN"/>
        </w:rPr>
        <w:t>。</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盐边县G353红格区间大道测速设备经费在当期完成了项目的总体实施，</w:t>
      </w:r>
      <w:r>
        <w:rPr>
          <w:rFonts w:hint="eastAsia" w:eastAsia="仿宋_GB2312"/>
          <w:sz w:val="32"/>
          <w:szCs w:val="22"/>
        </w:rPr>
        <w:t>保证</w:t>
      </w:r>
      <w:r>
        <w:rPr>
          <w:rFonts w:hint="eastAsia" w:eastAsia="仿宋_GB2312"/>
          <w:sz w:val="32"/>
          <w:szCs w:val="22"/>
          <w:lang w:eastAsia="zh-CN"/>
        </w:rPr>
        <w:t>了</w:t>
      </w:r>
      <w:r>
        <w:rPr>
          <w:rFonts w:hint="eastAsia" w:eastAsia="仿宋_GB2312"/>
          <w:sz w:val="32"/>
          <w:szCs w:val="22"/>
        </w:rPr>
        <w:t>车辆有序通行，维护良好的道路交通秩序，有效防范道路交通事故发生，更好的服务我县打造康养名县，提升城市形象工程</w:t>
      </w:r>
      <w:r>
        <w:rPr>
          <w:rFonts w:hint="eastAsia" w:ascii="Times New Roman" w:hAnsi="Times New Roman" w:eastAsia="仿宋_GB2312"/>
          <w:kern w:val="0"/>
          <w:sz w:val="32"/>
          <w:szCs w:val="32"/>
          <w:lang w:eastAsia="zh-CN"/>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（一）评价结论</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该项目的及时、完整实施，</w:t>
      </w:r>
      <w:r>
        <w:rPr>
          <w:rFonts w:hint="eastAsia" w:eastAsia="仿宋_GB2312"/>
          <w:sz w:val="32"/>
          <w:szCs w:val="22"/>
        </w:rPr>
        <w:t>保证</w:t>
      </w:r>
      <w:r>
        <w:rPr>
          <w:rFonts w:hint="eastAsia" w:eastAsia="仿宋_GB2312"/>
          <w:sz w:val="32"/>
          <w:szCs w:val="22"/>
          <w:lang w:eastAsia="zh-CN"/>
        </w:rPr>
        <w:t>了</w:t>
      </w:r>
      <w:r>
        <w:rPr>
          <w:rFonts w:hint="eastAsia" w:eastAsia="仿宋_GB2312"/>
          <w:sz w:val="32"/>
          <w:szCs w:val="22"/>
        </w:rPr>
        <w:t>车辆有序通行，维护良好的道路交通秩序，有效防范道路交通事故发生，更好的服务我县打造康养名县，提升城市形象工程</w:t>
      </w:r>
      <w:r>
        <w:rPr>
          <w:rFonts w:hint="eastAsia" w:ascii="Times New Roman" w:hAnsi="Times New Roman" w:eastAsia="仿宋_GB2312"/>
          <w:kern w:val="0"/>
          <w:sz w:val="32"/>
          <w:szCs w:val="32"/>
          <w:lang w:eastAsia="zh-CN"/>
        </w:rPr>
        <w:t>。</w:t>
      </w:r>
      <w:bookmarkStart w:id="0" w:name="_GoBack"/>
      <w:bookmarkEnd w:id="0"/>
      <w:r>
        <w:rPr>
          <w:rFonts w:hint="eastAsia" w:ascii="仿宋" w:hAnsi="仿宋" w:eastAsia="仿宋" w:cs="仿宋"/>
          <w:sz w:val="32"/>
          <w:szCs w:val="32"/>
          <w:lang w:val="en-US" w:eastAsia="zh-CN"/>
        </w:rPr>
        <w:t>项目执行率100%，满意度100%。</w:t>
      </w:r>
    </w:p>
    <w:p>
      <w:pPr>
        <w:spacing w:line="560" w:lineRule="exact"/>
        <w:ind w:firstLine="643" w:firstLineChars="200"/>
        <w:rPr>
          <w:rFonts w:ascii="Times New Roman" w:hAnsi="Times New Roman" w:eastAsia="楷体_GB2312"/>
          <w:b/>
          <w:bCs/>
          <w:kern w:val="0"/>
          <w:sz w:val="32"/>
          <w:szCs w:val="32"/>
        </w:rPr>
      </w:pPr>
      <w:r>
        <w:rPr>
          <w:rFonts w:ascii="Times New Roman" w:hAnsi="Times New Roman" w:eastAsia="楷体_GB2312"/>
          <w:b/>
          <w:bCs/>
          <w:kern w:val="0"/>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该项目申报、执行均按规定程序执行。</w:t>
      </w:r>
      <w:r>
        <w:rPr>
          <w:rFonts w:hint="eastAsia" w:ascii="仿宋" w:hAnsi="仿宋" w:eastAsia="仿宋" w:cs="仿宋"/>
          <w:sz w:val="32"/>
          <w:szCs w:val="32"/>
        </w:rPr>
        <w:tab/>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（三）相关建议</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1.加强预算管理，细化项目管理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2.严格人员管理，提高绩效目标管理水平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加强财务人员培训，熟练掌握预算编制和预算执行等各项政策，严格遵守各项财经纪律，不断提高业务能力，不断提高绩效目标管理水平。</w:t>
      </w: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E50031"/>
    <w:rsid w:val="023C6B06"/>
    <w:rsid w:val="04C54A76"/>
    <w:rsid w:val="0C32729E"/>
    <w:rsid w:val="132A0266"/>
    <w:rsid w:val="1429758C"/>
    <w:rsid w:val="187538A8"/>
    <w:rsid w:val="19E7032A"/>
    <w:rsid w:val="1D8242BF"/>
    <w:rsid w:val="1E334E75"/>
    <w:rsid w:val="1F6D1574"/>
    <w:rsid w:val="21567F5B"/>
    <w:rsid w:val="26BA3466"/>
    <w:rsid w:val="26C73258"/>
    <w:rsid w:val="28B413F8"/>
    <w:rsid w:val="2D180A39"/>
    <w:rsid w:val="2D2253C1"/>
    <w:rsid w:val="2E07054A"/>
    <w:rsid w:val="2F7846CD"/>
    <w:rsid w:val="30160024"/>
    <w:rsid w:val="31674A8B"/>
    <w:rsid w:val="32AA67B4"/>
    <w:rsid w:val="360B5EBA"/>
    <w:rsid w:val="3F7D71E4"/>
    <w:rsid w:val="41371470"/>
    <w:rsid w:val="471D1E55"/>
    <w:rsid w:val="471F4BB5"/>
    <w:rsid w:val="489F4C9D"/>
    <w:rsid w:val="48BE3E2F"/>
    <w:rsid w:val="4D923D11"/>
    <w:rsid w:val="4DF93798"/>
    <w:rsid w:val="4E90497B"/>
    <w:rsid w:val="52E727E3"/>
    <w:rsid w:val="537F024E"/>
    <w:rsid w:val="563342D4"/>
    <w:rsid w:val="640C3950"/>
    <w:rsid w:val="69D76C02"/>
    <w:rsid w:val="6AEE7933"/>
    <w:rsid w:val="6EE4299A"/>
    <w:rsid w:val="6EF61732"/>
    <w:rsid w:val="70A414F7"/>
    <w:rsid w:val="721E0A11"/>
    <w:rsid w:val="74D81160"/>
    <w:rsid w:val="75A5081F"/>
    <w:rsid w:val="7BEC4627"/>
    <w:rsid w:val="7EBB7F00"/>
    <w:rsid w:val="7EE60427"/>
    <w:rsid w:val="7EF405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2022-05-06T08:27:00Z</dcterms:created>
  <dc:creator>Owner</dc:creator>
  <cp:lastModifiedBy>Owner</cp:lastModifiedBy>
  <dcterms:modified xsi:type="dcterms:W3CDTF">2022-05-09T02:41:42Z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