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color w:val="000000"/>
          <w:sz w:val="36"/>
          <w:szCs w:val="36"/>
        </w:rPr>
      </w:pPr>
      <w:r>
        <w:rPr>
          <w:rFonts w:hint="eastAsia" w:ascii="方正小标宋简体" w:hAnsi="宋体" w:eastAsia="方正小标宋简体"/>
          <w:color w:val="000000"/>
          <w:sz w:val="36"/>
          <w:szCs w:val="36"/>
          <w:lang w:val="en-US" w:eastAsia="zh-CN"/>
        </w:rPr>
        <w:t>盐边县</w:t>
      </w:r>
      <w:r>
        <w:rPr>
          <w:rFonts w:hint="eastAsia" w:ascii="方正小标宋简体" w:hAnsi="宋体" w:eastAsia="方正小标宋简体"/>
          <w:color w:val="000000"/>
          <w:sz w:val="36"/>
          <w:szCs w:val="36"/>
        </w:rPr>
        <w:t>桐子林镇人民政府</w:t>
      </w:r>
    </w:p>
    <w:p>
      <w:pPr>
        <w:spacing w:line="600" w:lineRule="exact"/>
        <w:jc w:val="center"/>
        <w:rPr>
          <w:rFonts w:hint="eastAsia" w:ascii="方正小标宋简体" w:hAnsi="宋体" w:eastAsia="方正小标宋简体"/>
          <w:color w:val="000000"/>
          <w:sz w:val="36"/>
          <w:szCs w:val="36"/>
        </w:rPr>
      </w:pPr>
      <w:bookmarkStart w:id="0" w:name="_GoBack"/>
      <w:r>
        <w:rPr>
          <w:rFonts w:hint="eastAsia" w:ascii="方正小标宋简体" w:hAnsi="宋体" w:eastAsia="方正小标宋简体"/>
          <w:color w:val="000000"/>
          <w:sz w:val="36"/>
          <w:szCs w:val="36"/>
        </w:rPr>
        <w:t>2016年总决算编制说明</w:t>
      </w:r>
    </w:p>
    <w:bookmarkEnd w:id="0"/>
    <w:p>
      <w:pPr>
        <w:spacing w:line="600" w:lineRule="exact"/>
        <w:jc w:val="center"/>
        <w:rPr>
          <w:rFonts w:hint="eastAsia" w:ascii="宋体" w:hAnsi="宋体"/>
          <w:b/>
          <w:color w:val="000000"/>
          <w:sz w:val="44"/>
          <w:szCs w:val="44"/>
        </w:rPr>
      </w:pPr>
    </w:p>
    <w:p>
      <w:pPr>
        <w:spacing w:line="600" w:lineRule="exact"/>
        <w:rPr>
          <w:rFonts w:hint="eastAsia" w:ascii="黑体" w:eastAsia="黑体"/>
          <w:color w:val="000000"/>
          <w:sz w:val="32"/>
          <w:szCs w:val="32"/>
        </w:rPr>
      </w:pPr>
      <w:r>
        <w:rPr>
          <w:rFonts w:hint="eastAsia" w:ascii="黑体" w:eastAsia="黑体"/>
          <w:color w:val="000000"/>
          <w:sz w:val="32"/>
          <w:szCs w:val="32"/>
        </w:rPr>
        <w:t>一、基本职能及主要工作</w:t>
      </w:r>
    </w:p>
    <w:p>
      <w:pPr>
        <w:spacing w:line="600" w:lineRule="exact"/>
        <w:rPr>
          <w:rFonts w:hint="eastAsia" w:ascii="黑体" w:eastAsia="黑体"/>
          <w:color w:val="000000"/>
          <w:sz w:val="32"/>
          <w:szCs w:val="32"/>
        </w:rPr>
      </w:pPr>
      <w:r>
        <w:rPr>
          <w:rFonts w:hint="eastAsia"/>
          <w:bCs/>
          <w:color w:val="000000"/>
          <w:sz w:val="32"/>
          <w:szCs w:val="32"/>
        </w:rPr>
        <w:t>（一）主要职能。</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35" w:lineRule="atLeast"/>
        <w:ind w:firstLine="160" w:firstLineChars="5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1、制定和组织实施经济、科技和社会发展计划，制定资源开发技术改造和产业结构调整方案，组织指导好各业生产搞好</w:t>
      </w:r>
      <w:r>
        <w:rPr>
          <w:rFonts w:hint="eastAsia" w:ascii="仿宋_GB2312" w:hAnsi="宋体" w:eastAsia="仿宋_GB2312"/>
          <w:color w:val="000000"/>
          <w:sz w:val="32"/>
          <w:szCs w:val="32"/>
        </w:rPr>
        <w:fldChar w:fldCharType="begin"/>
      </w:r>
      <w:r>
        <w:rPr>
          <w:rFonts w:hint="eastAsia" w:ascii="仿宋_GB2312" w:hAnsi="宋体" w:eastAsia="仿宋_GB2312"/>
          <w:color w:val="000000"/>
          <w:sz w:val="32"/>
          <w:szCs w:val="32"/>
        </w:rPr>
        <w:instrText xml:space="preserve"> HYPERLINK "https://www.baidu.com/s?wd=%E5%95%86%E5%93%81%E6%B5%81%E9%80%9A&amp;tn=44039180_cpr&amp;fenlei=mv6quAkxTZn0IZRqIHckPjm4nH00T1dBPjmdrANhPAD3m1KWuARv0ZwV5Hcvrjm3rH6sPfKWUMw85HfYnjn4nH6sgvPsT6KdThsqpZwYTjCEQLGCpyw9Uz4Bmy-bIi4WUvYETgN-TLwGUv3EnHf1njfkrHcdn1R4PH0sn1fkrf" \t "_blank" </w:instrText>
      </w:r>
      <w:r>
        <w:rPr>
          <w:rFonts w:hint="eastAsia" w:ascii="仿宋_GB2312" w:hAnsi="宋体" w:eastAsia="仿宋_GB2312"/>
          <w:color w:val="000000"/>
          <w:sz w:val="32"/>
          <w:szCs w:val="32"/>
        </w:rPr>
        <w:fldChar w:fldCharType="separate"/>
      </w:r>
      <w:r>
        <w:rPr>
          <w:rFonts w:hint="eastAsia" w:ascii="仿宋_GB2312" w:hAnsi="宋体" w:eastAsia="仿宋_GB2312" w:cs="宋体"/>
          <w:color w:val="000000"/>
          <w:kern w:val="0"/>
          <w:sz w:val="32"/>
          <w:szCs w:val="32"/>
        </w:rPr>
        <w:t>商品流通</w:t>
      </w:r>
      <w:r>
        <w:rPr>
          <w:rFonts w:hint="eastAsia" w:ascii="仿宋_GB2312" w:hAnsi="宋体" w:eastAsia="仿宋_GB2312" w:cs="宋体"/>
          <w:color w:val="000000"/>
          <w:kern w:val="0"/>
          <w:sz w:val="32"/>
          <w:szCs w:val="32"/>
        </w:rPr>
        <w:fldChar w:fldCharType="end"/>
      </w:r>
      <w:r>
        <w:rPr>
          <w:rFonts w:hint="eastAsia" w:ascii="仿宋_GB2312" w:hAnsi="宋体" w:eastAsia="仿宋_GB2312" w:cs="宋体"/>
          <w:color w:val="000000"/>
          <w:kern w:val="0"/>
          <w:sz w:val="32"/>
          <w:szCs w:val="32"/>
        </w:rPr>
        <w:t>，协调好本乡与外地区的经济交流与合作，抓好招商引资，</w:t>
      </w:r>
      <w:r>
        <w:rPr>
          <w:rFonts w:hint="eastAsia" w:ascii="仿宋_GB2312" w:hAnsi="宋体" w:eastAsia="仿宋_GB2312"/>
          <w:color w:val="000000"/>
          <w:sz w:val="32"/>
          <w:szCs w:val="32"/>
        </w:rPr>
        <w:fldChar w:fldCharType="begin"/>
      </w:r>
      <w:r>
        <w:rPr>
          <w:rFonts w:hint="eastAsia" w:ascii="仿宋_GB2312" w:hAnsi="宋体" w:eastAsia="仿宋_GB2312"/>
          <w:color w:val="000000"/>
          <w:sz w:val="32"/>
          <w:szCs w:val="32"/>
        </w:rPr>
        <w:instrText xml:space="preserve"> HYPERLINK "https://www.baidu.com/s?wd=%E4%BA%BA%E6%89%8D%E5%BC%95%E8%BF%9B&amp;tn=44039180_cpr&amp;fenlei=mv6quAkxTZn0IZRqIHckPjm4nH00T1dBPjmdrANhPAD3m1KWuARv0ZwV5Hcvrjm3rH6sPfKWUMw85HfYnjn4nH6sgvPsT6KdThsqpZwYTjCEQLGCpyw9Uz4Bmy-bIi4WUvYETgN-TLwGUv3EnHf1njfkrHcdn1R4PH0sn1fkrf" \t "_blank" </w:instrText>
      </w:r>
      <w:r>
        <w:rPr>
          <w:rFonts w:hint="eastAsia" w:ascii="仿宋_GB2312" w:hAnsi="宋体" w:eastAsia="仿宋_GB2312"/>
          <w:color w:val="000000"/>
          <w:sz w:val="32"/>
          <w:szCs w:val="32"/>
        </w:rPr>
        <w:fldChar w:fldCharType="separate"/>
      </w:r>
      <w:r>
        <w:rPr>
          <w:rFonts w:hint="eastAsia" w:ascii="仿宋_GB2312" w:hAnsi="宋体" w:eastAsia="仿宋_GB2312" w:cs="宋体"/>
          <w:color w:val="000000"/>
          <w:kern w:val="0"/>
          <w:sz w:val="32"/>
          <w:szCs w:val="32"/>
        </w:rPr>
        <w:t>人才引进</w:t>
      </w:r>
      <w:r>
        <w:rPr>
          <w:rFonts w:hint="eastAsia" w:ascii="仿宋_GB2312" w:hAnsi="宋体" w:eastAsia="仿宋_GB2312" w:cs="宋体"/>
          <w:color w:val="000000"/>
          <w:kern w:val="0"/>
          <w:sz w:val="32"/>
          <w:szCs w:val="32"/>
        </w:rPr>
        <w:fldChar w:fldCharType="end"/>
      </w:r>
      <w:r>
        <w:rPr>
          <w:rFonts w:hint="eastAsia" w:ascii="仿宋_GB2312" w:hAnsi="宋体" w:eastAsia="仿宋_GB2312" w:cs="宋体"/>
          <w:color w:val="000000"/>
          <w:kern w:val="0"/>
          <w:sz w:val="32"/>
          <w:szCs w:val="32"/>
        </w:rPr>
        <w:t>项目开发，不断培育市场体系，组织经济运行，促进经济发展。</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35" w:lineRule="atLeast"/>
        <w:ind w:firstLine="160" w:firstLineChars="50"/>
        <w:jc w:val="left"/>
        <w:rPr>
          <w:rFonts w:hint="eastAsia" w:ascii="仿宋_GB2312" w:hAnsi="宋体" w:eastAsia="仿宋_GB2312" w:cs="宋体"/>
          <w:color w:val="333333"/>
          <w:kern w:val="0"/>
          <w:sz w:val="32"/>
          <w:szCs w:val="32"/>
        </w:rPr>
      </w:pPr>
      <w:r>
        <w:rPr>
          <w:rFonts w:hint="eastAsia" w:ascii="仿宋_GB2312" w:hAnsi="宋体" w:eastAsia="仿宋_GB2312" w:cs="宋体"/>
          <w:color w:val="000000"/>
          <w:kern w:val="0"/>
          <w:sz w:val="32"/>
          <w:szCs w:val="32"/>
        </w:rPr>
        <w:t>2、制定并组织实施村镇建设规划，部署重点工程建设，地方道路建设及公共设施，水利设施的管理，负责土地、林木、水等自然资源和生态环境的保护，做好护林防火工作。</w:t>
      </w:r>
      <w:r>
        <w:rPr>
          <w:rFonts w:hint="eastAsia" w:ascii="仿宋_GB2312" w:hAnsi="宋体" w:eastAsia="仿宋_GB2312" w:cs="宋体"/>
          <w:color w:val="000000"/>
          <w:kern w:val="0"/>
          <w:sz w:val="32"/>
          <w:szCs w:val="32"/>
        </w:rPr>
        <w:br w:type="textWrapping"/>
      </w:r>
      <w:r>
        <w:rPr>
          <w:rFonts w:hint="eastAsia" w:ascii="仿宋_GB2312" w:hAnsi="宋体" w:eastAsia="仿宋_GB2312" w:cs="宋体"/>
          <w:color w:val="000000"/>
          <w:kern w:val="0"/>
          <w:sz w:val="32"/>
          <w:szCs w:val="32"/>
        </w:rPr>
        <w:t xml:space="preserve"> 3、负责本行政区域内的民政、计划生育、</w:t>
      </w:r>
      <w:r>
        <w:rPr>
          <w:rFonts w:hint="eastAsia" w:ascii="仿宋_GB2312" w:hAnsi="宋体" w:eastAsia="仿宋_GB2312"/>
          <w:color w:val="000000"/>
          <w:sz w:val="32"/>
          <w:szCs w:val="32"/>
        </w:rPr>
        <w:fldChar w:fldCharType="begin"/>
      </w:r>
      <w:r>
        <w:rPr>
          <w:rFonts w:hint="eastAsia" w:ascii="仿宋_GB2312" w:hAnsi="宋体" w:eastAsia="仿宋_GB2312"/>
          <w:color w:val="000000"/>
          <w:sz w:val="32"/>
          <w:szCs w:val="32"/>
        </w:rPr>
        <w:instrText xml:space="preserve"> HYPERLINK "https://www.baidu.com/s?wd=%E6%96%87%E5%8C%96%E6%95%99%E8%82%B2&amp;tn=44039180_cpr&amp;fenlei=mv6quAkxTZn0IZRqIHckPjm4nH00T1dBPjmdrANhPAD3m1KWuARv0ZwV5Hcvrjm3rH6sPfKWUMw85HfYnjn4nH6sgvPsT6KdThsqpZwYTjCEQLGCpyw9Uz4Bmy-bIi4WUvYETgN-TLwGUv3EnHf1njfkrHcdn1R4PH0sn1fkrf" \t "_blank" </w:instrText>
      </w:r>
      <w:r>
        <w:rPr>
          <w:rFonts w:hint="eastAsia" w:ascii="仿宋_GB2312" w:hAnsi="宋体" w:eastAsia="仿宋_GB2312"/>
          <w:color w:val="000000"/>
          <w:sz w:val="32"/>
          <w:szCs w:val="32"/>
        </w:rPr>
        <w:fldChar w:fldCharType="separate"/>
      </w:r>
      <w:r>
        <w:rPr>
          <w:rFonts w:hint="eastAsia" w:ascii="仿宋_GB2312" w:hAnsi="宋体" w:eastAsia="仿宋_GB2312" w:cs="宋体"/>
          <w:color w:val="000000"/>
          <w:kern w:val="0"/>
          <w:sz w:val="32"/>
          <w:szCs w:val="32"/>
        </w:rPr>
        <w:t>文化教育</w:t>
      </w:r>
      <w:r>
        <w:rPr>
          <w:rFonts w:hint="eastAsia" w:ascii="仿宋_GB2312" w:hAnsi="宋体" w:eastAsia="仿宋_GB2312" w:cs="宋体"/>
          <w:color w:val="000000"/>
          <w:kern w:val="0"/>
          <w:sz w:val="32"/>
          <w:szCs w:val="32"/>
        </w:rPr>
        <w:fldChar w:fldCharType="end"/>
      </w:r>
      <w:r>
        <w:rPr>
          <w:rFonts w:hint="eastAsia" w:ascii="仿宋_GB2312" w:hAnsi="宋体" w:eastAsia="仿宋_GB2312" w:cs="宋体"/>
          <w:color w:val="000000"/>
          <w:kern w:val="0"/>
          <w:sz w:val="32"/>
          <w:szCs w:val="32"/>
        </w:rPr>
        <w:t>、卫生、体育等社会公益事业的综合性工作，维护一切经济单位和个人的正当经济权益，取缔非法经济活动，调解和处理</w:t>
      </w:r>
      <w:r>
        <w:rPr>
          <w:rFonts w:hint="eastAsia" w:ascii="仿宋_GB2312" w:hAnsi="宋体" w:eastAsia="仿宋_GB2312"/>
          <w:color w:val="000000"/>
          <w:sz w:val="32"/>
          <w:szCs w:val="32"/>
        </w:rPr>
        <w:fldChar w:fldCharType="begin"/>
      </w:r>
      <w:r>
        <w:rPr>
          <w:rFonts w:hint="eastAsia" w:ascii="仿宋_GB2312" w:hAnsi="宋体" w:eastAsia="仿宋_GB2312"/>
          <w:color w:val="000000"/>
          <w:sz w:val="32"/>
          <w:szCs w:val="32"/>
        </w:rPr>
        <w:instrText xml:space="preserve"> HYPERLINK "https://www.baidu.com/s?wd=%E6%B0%91%E4%BA%8B%E7%BA%A0%E7%BA%B7&amp;tn=44039180_cpr&amp;fenlei=mv6quAkxTZn0IZRqIHckPjm4nH00T1dBPjmdrANhPAD3m1KWuARv0ZwV5Hcvrjm3rH6sPfKWUMw85HfYnjn4nH6sgvPsT6KdThsqpZwYTjCEQLGCpyw9Uz4Bmy-bIi4WUvYETgN-TLwGUv3EnHf1njfkrHcdn1R4PH0sn1fkrf" \t "_blank" </w:instrText>
      </w:r>
      <w:r>
        <w:rPr>
          <w:rFonts w:hint="eastAsia" w:ascii="仿宋_GB2312" w:hAnsi="宋体" w:eastAsia="仿宋_GB2312"/>
          <w:color w:val="000000"/>
          <w:sz w:val="32"/>
          <w:szCs w:val="32"/>
        </w:rPr>
        <w:fldChar w:fldCharType="separate"/>
      </w:r>
      <w:r>
        <w:rPr>
          <w:rFonts w:hint="eastAsia" w:ascii="仿宋_GB2312" w:hAnsi="宋体" w:eastAsia="仿宋_GB2312" w:cs="宋体"/>
          <w:color w:val="000000"/>
          <w:kern w:val="0"/>
          <w:sz w:val="32"/>
          <w:szCs w:val="32"/>
        </w:rPr>
        <w:t>民事纠纷</w:t>
      </w:r>
      <w:r>
        <w:rPr>
          <w:rFonts w:hint="eastAsia" w:ascii="仿宋_GB2312" w:hAnsi="宋体" w:eastAsia="仿宋_GB2312" w:cs="宋体"/>
          <w:color w:val="000000"/>
          <w:kern w:val="0"/>
          <w:sz w:val="32"/>
          <w:szCs w:val="32"/>
        </w:rPr>
        <w:fldChar w:fldCharType="end"/>
      </w:r>
      <w:r>
        <w:rPr>
          <w:rFonts w:hint="eastAsia" w:ascii="仿宋_GB2312" w:hAnsi="宋体" w:eastAsia="仿宋_GB2312" w:cs="宋体"/>
          <w:color w:val="000000"/>
          <w:kern w:val="0"/>
          <w:sz w:val="32"/>
          <w:szCs w:val="32"/>
        </w:rPr>
        <w:t>，打击刑事犯罪维护社会稳定。</w:t>
      </w:r>
      <w:r>
        <w:rPr>
          <w:rFonts w:hint="eastAsia" w:ascii="仿宋_GB2312" w:hAnsi="宋体" w:eastAsia="仿宋_GB2312" w:cs="宋体"/>
          <w:color w:val="000000"/>
          <w:kern w:val="0"/>
          <w:sz w:val="32"/>
          <w:szCs w:val="32"/>
        </w:rPr>
        <w:br w:type="textWrapping"/>
      </w:r>
      <w:r>
        <w:rPr>
          <w:rFonts w:hint="eastAsia" w:ascii="仿宋_GB2312" w:hAnsi="宋体" w:eastAsia="仿宋_GB2312" w:cs="宋体"/>
          <w:color w:val="000000"/>
          <w:kern w:val="0"/>
          <w:sz w:val="32"/>
          <w:szCs w:val="32"/>
        </w:rPr>
        <w:t xml:space="preserve"> 4、按计划组织本级财政收入和地方税的征收，完成国家财政计划，不断培植税源，管好财政资金，增强财政实力。</w:t>
      </w:r>
      <w:r>
        <w:rPr>
          <w:rFonts w:hint="eastAsia" w:ascii="仿宋_GB2312" w:hAnsi="宋体" w:eastAsia="仿宋_GB2312" w:cs="宋体"/>
          <w:color w:val="000000"/>
          <w:kern w:val="0"/>
          <w:sz w:val="32"/>
          <w:szCs w:val="32"/>
        </w:rPr>
        <w:br w:type="textWrapping"/>
      </w:r>
      <w:r>
        <w:rPr>
          <w:rFonts w:hint="eastAsia" w:ascii="仿宋_GB2312" w:hAnsi="宋体" w:eastAsia="仿宋_GB2312" w:cs="宋体"/>
          <w:color w:val="000000"/>
          <w:kern w:val="0"/>
          <w:sz w:val="32"/>
          <w:szCs w:val="32"/>
        </w:rPr>
        <w:t xml:space="preserve"> 5、抓好精神文明建设，丰富</w:t>
      </w:r>
      <w:r>
        <w:rPr>
          <w:rFonts w:hint="eastAsia" w:ascii="仿宋_GB2312" w:hAnsi="宋体" w:eastAsia="仿宋_GB2312"/>
          <w:color w:val="000000"/>
          <w:sz w:val="32"/>
          <w:szCs w:val="32"/>
        </w:rPr>
        <w:fldChar w:fldCharType="begin"/>
      </w:r>
      <w:r>
        <w:rPr>
          <w:rFonts w:hint="eastAsia" w:ascii="仿宋_GB2312" w:hAnsi="宋体" w:eastAsia="仿宋_GB2312"/>
          <w:color w:val="000000"/>
          <w:sz w:val="32"/>
          <w:szCs w:val="32"/>
        </w:rPr>
        <w:instrText xml:space="preserve"> HYPERLINK "https://www.baidu.com/s?wd=%E7%BE%A4%E4%BC%97%E6%96%87%E5%8C%96&amp;tn=44039180_cpr&amp;fenlei=mv6quAkxTZn0IZRqIHckPjm4nH00T1dBPjmdrANhPAD3m1KWuARv0ZwV5Hcvrjm3rH6sPfKWUMw85HfYnjn4nH6sgvPsT6KdThsqpZwYTjCEQLGCpyw9Uz4Bmy-bIi4WUvYETgN-TLwGUv3EnHf1njfkrHcdn1R4PH0sn1fkrf" \t "_blank" </w:instrText>
      </w:r>
      <w:r>
        <w:rPr>
          <w:rFonts w:hint="eastAsia" w:ascii="仿宋_GB2312" w:hAnsi="宋体" w:eastAsia="仿宋_GB2312"/>
          <w:color w:val="000000"/>
          <w:sz w:val="32"/>
          <w:szCs w:val="32"/>
        </w:rPr>
        <w:fldChar w:fldCharType="separate"/>
      </w:r>
      <w:r>
        <w:rPr>
          <w:rFonts w:hint="eastAsia" w:ascii="仿宋_GB2312" w:hAnsi="宋体" w:eastAsia="仿宋_GB2312" w:cs="宋体"/>
          <w:color w:val="000000"/>
          <w:kern w:val="0"/>
          <w:sz w:val="32"/>
          <w:szCs w:val="32"/>
        </w:rPr>
        <w:t>群众文化</w:t>
      </w:r>
      <w:r>
        <w:rPr>
          <w:rFonts w:hint="eastAsia" w:ascii="仿宋_GB2312" w:hAnsi="宋体" w:eastAsia="仿宋_GB2312" w:cs="宋体"/>
          <w:color w:val="000000"/>
          <w:kern w:val="0"/>
          <w:sz w:val="32"/>
          <w:szCs w:val="32"/>
        </w:rPr>
        <w:fldChar w:fldCharType="end"/>
      </w:r>
      <w:r>
        <w:rPr>
          <w:rFonts w:hint="eastAsia" w:ascii="仿宋_GB2312" w:hAnsi="宋体" w:eastAsia="仿宋_GB2312" w:cs="宋体"/>
          <w:color w:val="000000"/>
          <w:kern w:val="0"/>
          <w:sz w:val="32"/>
          <w:szCs w:val="32"/>
        </w:rPr>
        <w:t>生活，提倡移风易俗，</w:t>
      </w:r>
      <w:r>
        <w:rPr>
          <w:rFonts w:hint="eastAsia" w:ascii="仿宋_GB2312" w:hAnsi="宋体" w:eastAsia="仿宋_GB2312" w:cs="宋体"/>
          <w:color w:val="333333"/>
          <w:kern w:val="0"/>
          <w:sz w:val="32"/>
          <w:szCs w:val="32"/>
        </w:rPr>
        <w:t>反对封建迷信，破除陈规陋习，树立社会主义新风尚。</w:t>
      </w:r>
      <w:r>
        <w:rPr>
          <w:rFonts w:hint="eastAsia" w:ascii="仿宋_GB2312" w:hAnsi="宋体" w:eastAsia="仿宋_GB2312" w:cs="宋体"/>
          <w:color w:val="333333"/>
          <w:kern w:val="0"/>
          <w:sz w:val="32"/>
          <w:szCs w:val="32"/>
        </w:rPr>
        <w:br w:type="textWrapping"/>
      </w:r>
      <w:r>
        <w:rPr>
          <w:rFonts w:hint="eastAsia" w:ascii="仿宋_GB2312" w:hAnsi="宋体" w:eastAsia="仿宋_GB2312" w:cs="宋体"/>
          <w:color w:val="333333"/>
          <w:kern w:val="0"/>
          <w:sz w:val="32"/>
          <w:szCs w:val="32"/>
        </w:rPr>
        <w:t xml:space="preserve"> 6、完成上级政府交办的其它事项。</w:t>
      </w:r>
    </w:p>
    <w:p>
      <w:pPr>
        <w:spacing w:line="600" w:lineRule="exact"/>
        <w:rPr>
          <w:rFonts w:hint="eastAsia" w:ascii="黑体" w:eastAsia="黑体"/>
          <w:color w:val="000000"/>
          <w:sz w:val="32"/>
          <w:szCs w:val="32"/>
        </w:rPr>
      </w:pPr>
      <w:r>
        <w:rPr>
          <w:rFonts w:hint="eastAsia" w:ascii="黑体" w:eastAsia="黑体"/>
          <w:color w:val="000000"/>
          <w:sz w:val="32"/>
          <w:szCs w:val="32"/>
        </w:rPr>
        <w:t>二、部门概况</w:t>
      </w:r>
    </w:p>
    <w:p>
      <w:pPr>
        <w:pStyle w:val="2"/>
        <w:adjustRightInd w:val="0"/>
        <w:snapToGrid w:val="0"/>
        <w:spacing w:line="600" w:lineRule="exact"/>
        <w:ind w:firstLine="672" w:firstLineChars="210"/>
        <w:rPr>
          <w:rFonts w:hint="eastAsia"/>
          <w:color w:val="000000"/>
          <w:sz w:val="32"/>
          <w:szCs w:val="32"/>
        </w:rPr>
      </w:pPr>
      <w:r>
        <w:rPr>
          <w:rFonts w:hint="eastAsia"/>
          <w:color w:val="000000"/>
          <w:sz w:val="32"/>
          <w:szCs w:val="32"/>
          <w:lang w:val="en-US" w:eastAsia="zh-CN"/>
        </w:rPr>
        <w:t>桐子林镇人民政府属于机关事业一级单位，</w:t>
      </w:r>
      <w:r>
        <w:rPr>
          <w:rFonts w:hint="eastAsia"/>
          <w:color w:val="000000"/>
          <w:sz w:val="32"/>
          <w:szCs w:val="32"/>
        </w:rPr>
        <w:t>其中行政单位</w:t>
      </w:r>
      <w:r>
        <w:rPr>
          <w:rFonts w:hint="eastAsia"/>
          <w:color w:val="000000"/>
          <w:sz w:val="32"/>
          <w:szCs w:val="32"/>
          <w:lang w:eastAsia="zh-CN"/>
        </w:rPr>
        <w:t>1</w:t>
      </w:r>
      <w:r>
        <w:rPr>
          <w:rFonts w:hint="eastAsia"/>
          <w:color w:val="000000"/>
          <w:sz w:val="32"/>
          <w:szCs w:val="32"/>
        </w:rPr>
        <w:t>个，</w:t>
      </w:r>
      <w:r>
        <w:rPr>
          <w:rFonts w:hint="eastAsia"/>
          <w:color w:val="000000"/>
          <w:sz w:val="32"/>
          <w:szCs w:val="32"/>
          <w:lang w:eastAsia="zh-CN"/>
        </w:rPr>
        <w:t>事业单位3个，包含：农业服务中心、宣文中心、社会保障和就业服务中心</w:t>
      </w:r>
      <w:r>
        <w:rPr>
          <w:rFonts w:hint="eastAsia"/>
          <w:color w:val="000000"/>
          <w:sz w:val="32"/>
          <w:szCs w:val="32"/>
        </w:rPr>
        <w:t>。</w:t>
      </w:r>
    </w:p>
    <w:p>
      <w:pPr>
        <w:spacing w:line="600" w:lineRule="exact"/>
        <w:rPr>
          <w:rFonts w:hint="eastAsia" w:ascii="黑体" w:eastAsia="黑体"/>
          <w:color w:val="000000"/>
          <w:sz w:val="32"/>
          <w:szCs w:val="32"/>
        </w:rPr>
      </w:pPr>
      <w:r>
        <w:rPr>
          <w:rFonts w:hint="eastAsia" w:ascii="黑体" w:eastAsia="黑体"/>
          <w:color w:val="000000"/>
          <w:sz w:val="32"/>
          <w:szCs w:val="32"/>
        </w:rPr>
        <w:t>三、收支决算总体情况</w:t>
      </w:r>
    </w:p>
    <w:p>
      <w:pPr>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桐子林镇人民政府2016年本年收入合计1321.91万元，其中：财政拨款收入1286.02万元，占97.28%；其他收入35.89万元，占2.72%。</w:t>
      </w:r>
    </w:p>
    <w:p>
      <w:pPr>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桐子林镇人民政府2016年本年支出合计1615.41万元，其中：基本支出807.88万元，占50%；项目支出807.53万元，占50%。</w:t>
      </w:r>
    </w:p>
    <w:p>
      <w:pPr>
        <w:spacing w:line="600" w:lineRule="exact"/>
        <w:rPr>
          <w:rFonts w:hint="eastAsia" w:ascii="仿宋_GB2312" w:eastAsia="仿宋_GB2312"/>
          <w:color w:val="000000"/>
          <w:sz w:val="32"/>
          <w:szCs w:val="32"/>
        </w:rPr>
      </w:pPr>
      <w:r>
        <w:rPr>
          <w:rFonts w:hint="eastAsia" w:ascii="黑体" w:eastAsia="黑体"/>
          <w:color w:val="000000"/>
          <w:sz w:val="32"/>
          <w:szCs w:val="32"/>
        </w:rPr>
        <w:t>四、财政拨款收支决算情况</w:t>
      </w:r>
    </w:p>
    <w:p>
      <w:pPr>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桐子林镇人民政府2016年度财政拨款收支总决算1690.32万元。与2015年相比，财政拨款收、支总计各减少558.43万元，下降24.83%。</w:t>
      </w:r>
    </w:p>
    <w:p>
      <w:pPr>
        <w:spacing w:line="600" w:lineRule="exact"/>
        <w:rPr>
          <w:rFonts w:hint="eastAsia" w:ascii="黑体" w:eastAsia="黑体"/>
          <w:color w:val="000000"/>
          <w:sz w:val="32"/>
          <w:szCs w:val="32"/>
        </w:rPr>
      </w:pPr>
      <w:r>
        <w:rPr>
          <w:rFonts w:hint="eastAsia" w:ascii="黑体" w:eastAsia="黑体"/>
          <w:color w:val="000000"/>
          <w:sz w:val="32"/>
          <w:szCs w:val="32"/>
        </w:rPr>
        <w:t>五、一般公共预算财政拨款支出决算情况</w:t>
      </w:r>
    </w:p>
    <w:p>
      <w:pPr>
        <w:spacing w:line="600" w:lineRule="exact"/>
        <w:rPr>
          <w:rFonts w:hint="eastAsia" w:ascii="仿宋_GB2312" w:eastAsia="仿宋_GB2312"/>
          <w:color w:val="000000"/>
          <w:sz w:val="32"/>
          <w:szCs w:val="32"/>
        </w:rPr>
      </w:pPr>
      <w:r>
        <w:rPr>
          <w:rFonts w:hint="eastAsia" w:ascii="仿宋_GB2312" w:eastAsia="仿宋_GB2312"/>
          <w:color w:val="000000"/>
          <w:sz w:val="32"/>
          <w:szCs w:val="32"/>
        </w:rPr>
        <w:t>（一）一般公共预算财政拨款支出决算总体情况</w:t>
      </w:r>
    </w:p>
    <w:p>
      <w:pPr>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桐子林镇人民政府2016年度一般公共预算财政拨款支出1196万元，占本年支出合计的71%。与2015年相比，一般公共预算财政拨款减少40.85万元，下降3.3%。</w:t>
      </w:r>
    </w:p>
    <w:p>
      <w:pPr>
        <w:spacing w:line="600" w:lineRule="exact"/>
        <w:rPr>
          <w:rFonts w:hint="eastAsia" w:ascii="仿宋_GB2312" w:eastAsia="仿宋_GB2312"/>
          <w:color w:val="000000"/>
          <w:sz w:val="32"/>
          <w:szCs w:val="32"/>
        </w:rPr>
      </w:pPr>
      <w:r>
        <w:rPr>
          <w:rFonts w:hint="eastAsia" w:ascii="仿宋_GB2312" w:eastAsia="仿宋_GB2312"/>
          <w:color w:val="000000"/>
          <w:sz w:val="32"/>
          <w:szCs w:val="32"/>
        </w:rPr>
        <w:t>（二）一般公共预算财政拨款支出决算结构情况</w:t>
      </w:r>
    </w:p>
    <w:p>
      <w:pPr>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桐子林镇2016年一般公共预算财政拨款支出1196万元，主要用于以下方面:一般公共服务支出494.21万元，占41%；文化体育与传媒支出30万元，占2.51%；社会保障和就业支出313.67万元，占26.22%；医疗卫生支出17.25万元，占1.44%；城乡社区支出1.81万元，占0.49%；农林水支出271.91万元，占22.73%；资源勘探信息等支出14万元，占1.17%；住房保障支出53.16万元，占4.44%。</w:t>
      </w:r>
    </w:p>
    <w:p>
      <w:pPr>
        <w:spacing w:line="600" w:lineRule="exact"/>
        <w:rPr>
          <w:rFonts w:hint="eastAsia" w:ascii="仿宋_GB2312" w:eastAsia="仿宋_GB2312"/>
          <w:color w:val="000000"/>
          <w:sz w:val="32"/>
          <w:szCs w:val="32"/>
        </w:rPr>
      </w:pPr>
      <w:r>
        <w:rPr>
          <w:rFonts w:hint="eastAsia" w:ascii="仿宋_GB2312" w:eastAsia="仿宋_GB2312"/>
          <w:color w:val="000000"/>
          <w:sz w:val="32"/>
          <w:szCs w:val="32"/>
        </w:rPr>
        <w:t>（三）一般公共预算财政拨款支出决算具体情况</w:t>
      </w:r>
    </w:p>
    <w:tbl>
      <w:tblPr>
        <w:tblStyle w:val="5"/>
        <w:tblW w:w="5000" w:type="pct"/>
        <w:tblCellSpacing w:w="0" w:type="dxa"/>
        <w:tblInd w:w="0" w:type="dxa"/>
        <w:tblLayout w:type="autofit"/>
        <w:tblCellMar>
          <w:top w:w="0" w:type="dxa"/>
          <w:left w:w="0" w:type="dxa"/>
          <w:bottom w:w="0" w:type="dxa"/>
          <w:right w:w="0" w:type="dxa"/>
        </w:tblCellMar>
      </w:tblPr>
      <w:tblGrid>
        <w:gridCol w:w="8306"/>
      </w:tblGrid>
      <w:tr>
        <w:trPr>
          <w:wBefore w:w="0" w:type="dxa"/>
          <w:wAfter w:w="0" w:type="dxa"/>
          <w:tblCellSpacing w:w="0" w:type="dxa"/>
        </w:trPr>
        <w:tc>
          <w:tcPr>
            <w:tcW w:w="5000" w:type="pct"/>
            <w:shd w:val="clear" w:color="auto" w:fill="FFFFFF"/>
            <w:noWrap w:val="0"/>
            <w:vAlign w:val="top"/>
          </w:tcPr>
          <w:tbl>
            <w:tblPr>
              <w:tblStyle w:val="5"/>
              <w:tblW w:w="12000" w:type="dxa"/>
              <w:jc w:val="center"/>
              <w:tblCellSpacing w:w="0" w:type="dxa"/>
              <w:tblLayout w:type="autofit"/>
              <w:tblCellMar>
                <w:top w:w="0" w:type="dxa"/>
                <w:left w:w="0" w:type="dxa"/>
                <w:bottom w:w="0" w:type="dxa"/>
                <w:right w:w="0" w:type="dxa"/>
              </w:tblCellMar>
            </w:tblPr>
            <w:tblGrid>
              <w:gridCol w:w="12000"/>
            </w:tblGrid>
            <w:tr>
              <w:tblPrEx>
                <w:tblCellMar>
                  <w:top w:w="0" w:type="dxa"/>
                  <w:left w:w="0" w:type="dxa"/>
                  <w:bottom w:w="0" w:type="dxa"/>
                  <w:right w:w="0" w:type="dxa"/>
                </w:tblCellMar>
              </w:tblPrEx>
              <w:trPr>
                <w:wBefore w:w="0" w:type="auto"/>
                <w:tblCellSpacing w:w="0" w:type="dxa"/>
                <w:jc w:val="center"/>
              </w:trPr>
              <w:tc>
                <w:tcPr>
                  <w:tcW w:w="0" w:type="auto"/>
                  <w:shd w:val="clear" w:color="auto" w:fill="FFFFFF"/>
                  <w:noWrap w:val="0"/>
                  <w:vAlign w:val="top"/>
                </w:tcPr>
                <w:tbl>
                  <w:tblPr>
                    <w:tblStyle w:val="5"/>
                    <w:tblW w:w="5000" w:type="pct"/>
                    <w:tblCellSpacing w:w="0" w:type="dxa"/>
                    <w:tblInd w:w="0" w:type="dxa"/>
                    <w:tblLayout w:type="autofit"/>
                    <w:tblCellMar>
                      <w:top w:w="0" w:type="dxa"/>
                      <w:left w:w="0" w:type="dxa"/>
                      <w:bottom w:w="0" w:type="dxa"/>
                      <w:right w:w="0" w:type="dxa"/>
                    </w:tblCellMar>
                  </w:tblPr>
                  <w:tblGrid>
                    <w:gridCol w:w="12000"/>
                  </w:tblGrid>
                  <w:tr>
                    <w:trPr>
                      <w:wBefore w:w="0" w:type="auto"/>
                      <w:tblCellSpacing w:w="0" w:type="dxa"/>
                    </w:trPr>
                    <w:tc>
                      <w:tcPr>
                        <w:tcW w:w="0" w:type="auto"/>
                        <w:noWrap w:val="0"/>
                        <w:vAlign w:val="top"/>
                      </w:tcPr>
                      <w:p>
                        <w:pPr>
                          <w:widowControl/>
                          <w:jc w:val="left"/>
                          <w:rPr>
                            <w:rFonts w:ascii="宋体" w:hAnsi="宋体" w:cs="宋体"/>
                            <w:color w:val="000000"/>
                            <w:kern w:val="0"/>
                            <w:szCs w:val="21"/>
                          </w:rPr>
                        </w:pPr>
                      </w:p>
                    </w:tc>
                  </w:tr>
                </w:tbl>
                <w:p>
                  <w:pPr>
                    <w:widowControl/>
                    <w:jc w:val="left"/>
                    <w:rPr>
                      <w:rFonts w:ascii="宋体" w:hAnsi="宋体" w:cs="宋体"/>
                      <w:color w:val="000000"/>
                      <w:kern w:val="0"/>
                      <w:szCs w:val="21"/>
                    </w:rPr>
                  </w:pPr>
                </w:p>
              </w:tc>
            </w:tr>
            <w:tr>
              <w:tblPrEx>
                <w:tblCellMar>
                  <w:top w:w="0" w:type="dxa"/>
                  <w:left w:w="0" w:type="dxa"/>
                  <w:bottom w:w="0" w:type="dxa"/>
                  <w:right w:w="0" w:type="dxa"/>
                </w:tblCellMar>
              </w:tblPrEx>
              <w:trPr>
                <w:wBefore w:w="0" w:type="auto"/>
                <w:trHeight w:val="75" w:hRule="atLeast"/>
                <w:tblCellSpacing w:w="0" w:type="dxa"/>
                <w:jc w:val="center"/>
              </w:trPr>
              <w:tc>
                <w:tcPr>
                  <w:tcW w:w="0" w:type="auto"/>
                  <w:noWrap w:val="0"/>
                  <w:vAlign w:val="center"/>
                </w:tcPr>
                <w:p>
                  <w:pPr>
                    <w:widowControl/>
                    <w:jc w:val="left"/>
                    <w:rPr>
                      <w:rFonts w:ascii="宋体" w:hAnsi="宋体" w:cs="宋体"/>
                      <w:color w:val="000000"/>
                      <w:kern w:val="0"/>
                      <w:sz w:val="8"/>
                      <w:szCs w:val="21"/>
                    </w:rPr>
                  </w:pPr>
                </w:p>
              </w:tc>
            </w:tr>
          </w:tbl>
          <w:p>
            <w:pPr>
              <w:widowControl/>
              <w:jc w:val="center"/>
              <w:rPr>
                <w:rFonts w:ascii="宋体" w:hAnsi="宋体" w:cs="宋体"/>
                <w:color w:val="000000"/>
                <w:kern w:val="0"/>
                <w:szCs w:val="21"/>
              </w:rPr>
            </w:pPr>
          </w:p>
        </w:tc>
      </w:tr>
      <w:tr>
        <w:tblPrEx>
          <w:tblCellMar>
            <w:top w:w="0" w:type="dxa"/>
            <w:left w:w="0" w:type="dxa"/>
            <w:bottom w:w="0" w:type="dxa"/>
            <w:right w:w="0" w:type="dxa"/>
          </w:tblCellMar>
        </w:tblPrEx>
        <w:trPr>
          <w:wBefore w:w="0" w:type="dxa"/>
          <w:wAfter w:w="0" w:type="dxa"/>
          <w:tblCellSpacing w:w="0" w:type="dxa"/>
        </w:trPr>
        <w:tc>
          <w:tcPr>
            <w:tcW w:w="0" w:type="auto"/>
            <w:shd w:val="clear" w:color="auto" w:fill="FFFFFF"/>
            <w:noWrap w:val="0"/>
            <w:vAlign w:val="top"/>
          </w:tcPr>
          <w:p>
            <w:pPr>
              <w:widowControl/>
              <w:jc w:val="left"/>
              <w:rPr>
                <w:rFonts w:ascii="宋体" w:hAnsi="宋体" w:cs="宋体"/>
                <w:color w:val="000000"/>
                <w:kern w:val="0"/>
                <w:szCs w:val="21"/>
              </w:rPr>
            </w:pPr>
          </w:p>
        </w:tc>
      </w:tr>
    </w:tbl>
    <w:p>
      <w:pPr>
        <w:numPr>
          <w:ilvl w:val="0"/>
          <w:numId w:val="1"/>
        </w:numPr>
        <w:spacing w:line="600" w:lineRule="exact"/>
        <w:rPr>
          <w:rStyle w:val="7"/>
          <w:rFonts w:hint="eastAsia" w:ascii="仿宋_GB2312" w:eastAsia="仿宋_GB2312"/>
          <w:color w:val="000000"/>
          <w:sz w:val="32"/>
          <w:szCs w:val="32"/>
        </w:rPr>
      </w:pPr>
      <w:r>
        <w:rPr>
          <w:rStyle w:val="7"/>
          <w:rFonts w:hint="eastAsia" w:ascii="仿宋_GB2312" w:eastAsia="仿宋_GB2312"/>
          <w:color w:val="000000"/>
          <w:sz w:val="32"/>
          <w:szCs w:val="32"/>
        </w:rPr>
        <w:t>一般公共服务</w:t>
      </w:r>
    </w:p>
    <w:p>
      <w:pPr>
        <w:spacing w:line="600" w:lineRule="exact"/>
        <w:ind w:firstLine="313" w:firstLineChars="98"/>
        <w:rPr>
          <w:rFonts w:hint="eastAsia" w:ascii="仿宋_GB2312" w:eastAsia="仿宋_GB2312"/>
          <w:color w:val="000000"/>
          <w:sz w:val="32"/>
          <w:szCs w:val="32"/>
        </w:rPr>
      </w:pPr>
      <w:r>
        <w:rPr>
          <w:rStyle w:val="7"/>
          <w:rFonts w:hint="eastAsia" w:ascii="仿宋_GB2312" w:eastAsia="仿宋_GB2312"/>
          <w:b w:val="0"/>
          <w:color w:val="000000"/>
          <w:sz w:val="32"/>
          <w:szCs w:val="32"/>
        </w:rPr>
        <w:t>2010101人大事务行政运行:</w:t>
      </w:r>
      <w:r>
        <w:rPr>
          <w:rFonts w:hint="eastAsia" w:ascii="仿宋_GB2312" w:eastAsia="仿宋_GB2312"/>
          <w:color w:val="000000"/>
          <w:sz w:val="32"/>
          <w:szCs w:val="32"/>
        </w:rPr>
        <w:t>2016年决算数为15.97万元，完成预算100%；2010104人大会议：2016年决算数为3.58万元，完成预算100%；2010301政府行政运行：2016年决算数为324.93万元，完成预算100%；2010302政府一般行政管理事务：2016年决算数为22.92万元，完成预算100%；2010305政府专项业务活动：2016年决算数为0.73万元，完成预算100%；2010350政府事业运行：2016年决算数为20.85万元，完成预算100%；2010602财务事务一般行政管理事务：2016年决算数为0.6万元，完成预算100%；2010650财政事务事业运行：2016年决算数为9.7万元，完成预算100%；2012301民族工作专项：2016年决算数为30万元，完成预算100%；2012399其他民族事务支出：2016年决算数为1.2万元，完成预算100%；2012901群众团体事务行政运行：2016年决算数为10.44万元，完成预算100%；2013101单位办公厅（室）及相关机构事务行政运行：2016年决算数为53.29万元，完成预算100%。</w:t>
      </w:r>
    </w:p>
    <w:p>
      <w:pPr>
        <w:spacing w:line="600" w:lineRule="exact"/>
        <w:rPr>
          <w:rStyle w:val="7"/>
          <w:rFonts w:hint="eastAsia" w:ascii="仿宋_GB2312" w:eastAsia="仿宋_GB2312"/>
          <w:color w:val="000000"/>
          <w:sz w:val="32"/>
          <w:szCs w:val="32"/>
        </w:rPr>
      </w:pPr>
      <w:r>
        <w:rPr>
          <w:rStyle w:val="7"/>
          <w:rFonts w:hint="eastAsia" w:ascii="仿宋_GB2312" w:eastAsia="仿宋_GB2312"/>
          <w:color w:val="000000"/>
          <w:sz w:val="32"/>
          <w:szCs w:val="32"/>
        </w:rPr>
        <w:t>2.文化体育与传媒支出</w:t>
      </w:r>
    </w:p>
    <w:p>
      <w:pPr>
        <w:spacing w:line="600" w:lineRule="exact"/>
        <w:ind w:firstLine="320" w:firstLineChars="100"/>
        <w:rPr>
          <w:rFonts w:hint="eastAsia" w:ascii="仿宋_GB2312" w:eastAsia="仿宋_GB2312"/>
          <w:color w:val="000000"/>
          <w:sz w:val="32"/>
          <w:szCs w:val="32"/>
        </w:rPr>
      </w:pPr>
      <w:r>
        <w:rPr>
          <w:rStyle w:val="7"/>
          <w:rFonts w:hint="eastAsia" w:ascii="仿宋_GB2312" w:eastAsia="仿宋_GB2312"/>
          <w:b w:val="0"/>
          <w:color w:val="000000"/>
          <w:sz w:val="32"/>
          <w:szCs w:val="32"/>
        </w:rPr>
        <w:t>2010109</w:t>
      </w:r>
      <w:r>
        <w:rPr>
          <w:rFonts w:hint="eastAsia" w:ascii="仿宋_GB2312" w:eastAsia="仿宋_GB2312"/>
          <w:color w:val="000000"/>
          <w:sz w:val="32"/>
          <w:szCs w:val="32"/>
        </w:rPr>
        <w:t>群众文化：2016年决算数为20万元，完成预算100%；2079903文化产业发展专项支出：2016年决算数为10万元，完成预算100%。</w:t>
      </w:r>
    </w:p>
    <w:p>
      <w:pPr>
        <w:spacing w:line="600" w:lineRule="exact"/>
        <w:rPr>
          <w:rStyle w:val="7"/>
          <w:rFonts w:hint="eastAsia" w:ascii="仿宋_GB2312" w:eastAsia="仿宋_GB2312"/>
          <w:b w:val="0"/>
          <w:color w:val="000000"/>
          <w:sz w:val="32"/>
          <w:szCs w:val="32"/>
        </w:rPr>
      </w:pPr>
      <w:r>
        <w:rPr>
          <w:rStyle w:val="7"/>
          <w:rFonts w:hint="eastAsia" w:ascii="仿宋_GB2312" w:eastAsia="仿宋_GB2312"/>
          <w:color w:val="000000"/>
          <w:sz w:val="32"/>
          <w:szCs w:val="32"/>
        </w:rPr>
        <w:t>3.社会保障和就业支出</w:t>
      </w:r>
    </w:p>
    <w:p>
      <w:pPr>
        <w:spacing w:line="600" w:lineRule="exact"/>
        <w:ind w:firstLine="320" w:firstLineChars="100"/>
        <w:rPr>
          <w:rFonts w:hint="eastAsia" w:ascii="仿宋_GB2312" w:eastAsia="仿宋_GB2312"/>
          <w:color w:val="000000"/>
          <w:sz w:val="32"/>
          <w:szCs w:val="32"/>
        </w:rPr>
      </w:pPr>
      <w:r>
        <w:rPr>
          <w:rFonts w:hint="eastAsia" w:ascii="仿宋_GB2312" w:eastAsia="仿宋_GB2312"/>
          <w:color w:val="000000"/>
          <w:sz w:val="32"/>
          <w:szCs w:val="32"/>
        </w:rPr>
        <w:t>2080109社会保险经办机构：2016年决算数为26.66元，完成预算100%；2080208基层政权和社区建设：2016年决算数为156.56万元，完成预算100%；2080504未归口管理的行政单位离退休：2016年决算数为12.5万元，完成预算100%；2080505机关事业单位基本养老保险缴费支出：2016年决算数为70.46万元，完成预算100%；2080801死亡抚恤：2016年决算数为4.67万元，完成预算100%；2080802伤残抚恤：2016年决算数为5.72万元，完成预算100%；2081501中央自然灾害生活补助：2016年决算数为16万元，完成预算100%；2082102农村五保户供养支出：2016年决算数为21.1万元，完成预算100%；</w:t>
      </w:r>
    </w:p>
    <w:p>
      <w:pPr>
        <w:spacing w:line="600" w:lineRule="exact"/>
        <w:rPr>
          <w:rStyle w:val="7"/>
          <w:rFonts w:hint="eastAsia" w:ascii="仿宋_GB2312" w:eastAsia="仿宋_GB2312"/>
          <w:color w:val="000000"/>
          <w:sz w:val="32"/>
          <w:szCs w:val="32"/>
        </w:rPr>
      </w:pPr>
      <w:r>
        <w:rPr>
          <w:rStyle w:val="7"/>
          <w:rFonts w:hint="eastAsia" w:ascii="仿宋_GB2312" w:eastAsia="仿宋_GB2312"/>
          <w:color w:val="000000"/>
          <w:sz w:val="32"/>
          <w:szCs w:val="32"/>
        </w:rPr>
        <w:t>4.医疗卫生与计划生育支出</w:t>
      </w:r>
    </w:p>
    <w:p>
      <w:pPr>
        <w:spacing w:line="600" w:lineRule="exact"/>
        <w:ind w:firstLine="320" w:firstLineChars="100"/>
        <w:rPr>
          <w:rFonts w:hint="eastAsia" w:ascii="仿宋_GB2312" w:eastAsia="仿宋_GB2312"/>
          <w:color w:val="000000"/>
          <w:sz w:val="32"/>
          <w:szCs w:val="32"/>
        </w:rPr>
      </w:pPr>
      <w:r>
        <w:rPr>
          <w:rStyle w:val="7"/>
          <w:rFonts w:hint="eastAsia" w:ascii="仿宋_GB2312" w:eastAsia="仿宋_GB2312"/>
          <w:b w:val="0"/>
          <w:color w:val="000000"/>
          <w:sz w:val="32"/>
          <w:szCs w:val="32"/>
        </w:rPr>
        <w:t>2100799其他计划生育事务支出:</w:t>
      </w:r>
      <w:r>
        <w:rPr>
          <w:rFonts w:hint="eastAsia" w:ascii="仿宋_GB2312" w:eastAsia="仿宋_GB2312"/>
          <w:color w:val="000000"/>
          <w:sz w:val="32"/>
          <w:szCs w:val="32"/>
        </w:rPr>
        <w:t>2016年决算数为17.25万元，完成预算100%。</w:t>
      </w:r>
    </w:p>
    <w:p>
      <w:pPr>
        <w:spacing w:line="600" w:lineRule="exact"/>
        <w:rPr>
          <w:rStyle w:val="7"/>
          <w:rFonts w:hint="eastAsia" w:ascii="仿宋_GB2312" w:eastAsia="仿宋_GB2312"/>
          <w:color w:val="000000"/>
          <w:sz w:val="32"/>
          <w:szCs w:val="32"/>
        </w:rPr>
      </w:pPr>
      <w:r>
        <w:rPr>
          <w:rStyle w:val="7"/>
          <w:rFonts w:hint="eastAsia" w:ascii="仿宋_GB2312" w:eastAsia="仿宋_GB2312"/>
          <w:color w:val="000000"/>
          <w:sz w:val="32"/>
          <w:szCs w:val="32"/>
        </w:rPr>
        <w:t>5.城乡社区支出</w:t>
      </w:r>
    </w:p>
    <w:p>
      <w:pPr>
        <w:spacing w:line="600" w:lineRule="exact"/>
        <w:ind w:firstLine="320" w:firstLineChars="100"/>
        <w:rPr>
          <w:rFonts w:hint="eastAsia" w:ascii="仿宋_GB2312" w:eastAsia="仿宋_GB2312"/>
          <w:color w:val="000000"/>
          <w:sz w:val="32"/>
          <w:szCs w:val="32"/>
        </w:rPr>
      </w:pPr>
      <w:r>
        <w:rPr>
          <w:rStyle w:val="7"/>
          <w:rFonts w:hint="eastAsia" w:ascii="仿宋_GB2312" w:eastAsia="仿宋_GB2312"/>
          <w:b w:val="0"/>
          <w:color w:val="000000"/>
          <w:sz w:val="32"/>
          <w:szCs w:val="32"/>
        </w:rPr>
        <w:t>2120501城乡社区环境卫生：</w:t>
      </w:r>
      <w:r>
        <w:rPr>
          <w:rFonts w:hint="eastAsia" w:ascii="仿宋_GB2312" w:eastAsia="仿宋_GB2312"/>
          <w:color w:val="000000"/>
          <w:sz w:val="32"/>
          <w:szCs w:val="32"/>
        </w:rPr>
        <w:t xml:space="preserve"> 2016年决算数为1.81万元，完成预算100%。</w:t>
      </w:r>
    </w:p>
    <w:p>
      <w:pPr>
        <w:spacing w:line="600" w:lineRule="exact"/>
        <w:rPr>
          <w:rStyle w:val="7"/>
          <w:rFonts w:hint="eastAsia" w:ascii="仿宋_GB2312" w:eastAsia="仿宋_GB2312"/>
          <w:color w:val="000000"/>
          <w:sz w:val="32"/>
          <w:szCs w:val="32"/>
        </w:rPr>
      </w:pPr>
      <w:r>
        <w:rPr>
          <w:rStyle w:val="7"/>
          <w:rFonts w:hint="eastAsia" w:ascii="仿宋_GB2312" w:eastAsia="仿宋_GB2312"/>
          <w:color w:val="000000"/>
          <w:sz w:val="32"/>
          <w:szCs w:val="32"/>
        </w:rPr>
        <w:t>6.农林水支出</w:t>
      </w:r>
    </w:p>
    <w:p>
      <w:pPr>
        <w:spacing w:line="600" w:lineRule="exact"/>
        <w:ind w:firstLine="320" w:firstLineChars="100"/>
        <w:rPr>
          <w:rFonts w:hint="eastAsia" w:ascii="仿宋_GB2312" w:eastAsia="仿宋_GB2312"/>
          <w:color w:val="000000"/>
          <w:sz w:val="32"/>
          <w:szCs w:val="32"/>
        </w:rPr>
      </w:pPr>
      <w:r>
        <w:rPr>
          <w:rStyle w:val="7"/>
          <w:rFonts w:hint="eastAsia" w:ascii="仿宋_GB2312" w:eastAsia="仿宋_GB2312"/>
          <w:b w:val="0"/>
          <w:color w:val="000000"/>
          <w:sz w:val="32"/>
          <w:szCs w:val="32"/>
        </w:rPr>
        <w:t>2130104农业事业运行:</w:t>
      </w:r>
      <w:r>
        <w:rPr>
          <w:rFonts w:hint="eastAsia" w:ascii="仿宋_GB2312" w:eastAsia="仿宋_GB2312"/>
          <w:color w:val="000000"/>
          <w:sz w:val="32"/>
          <w:szCs w:val="32"/>
        </w:rPr>
        <w:t>2016年决算数为59.17万元，完成预算100%；2130108农业病虫害控制：2016年决算数为6.8万元，完成预算100%；2130204林业事业机构：2016年决算数为21.22万元，完成预算100%；2130321大中型水库移民后期扶持专项支出：2016年决算数为15.66万元，完成预算100%；2130399其他水利支出：2016年决算数为12.46万元，完成预算100%；2130701对村级一事一议的补助：2016年决算数为35.4万元，完成预算100%；2130705对村民委员会和村党支部的补助：2016年决算数为101.2万元，完成预算100%；2130707农村综合改革示范试点补助：2016年决算数为20万元，完成预算100%。</w:t>
      </w:r>
    </w:p>
    <w:p>
      <w:pPr>
        <w:spacing w:line="600" w:lineRule="exact"/>
        <w:rPr>
          <w:rStyle w:val="7"/>
          <w:rFonts w:hint="eastAsia" w:ascii="仿宋_GB2312" w:eastAsia="仿宋_GB2312"/>
          <w:color w:val="000000"/>
          <w:sz w:val="32"/>
          <w:szCs w:val="32"/>
        </w:rPr>
      </w:pPr>
      <w:r>
        <w:rPr>
          <w:rStyle w:val="7"/>
          <w:rFonts w:hint="eastAsia" w:ascii="仿宋_GB2312" w:eastAsia="仿宋_GB2312"/>
          <w:color w:val="000000"/>
          <w:sz w:val="32"/>
          <w:szCs w:val="32"/>
        </w:rPr>
        <w:t>7.资源勘探信息等支出</w:t>
      </w:r>
    </w:p>
    <w:p>
      <w:pPr>
        <w:spacing w:line="600" w:lineRule="exact"/>
        <w:ind w:firstLine="320" w:firstLineChars="100"/>
        <w:rPr>
          <w:rFonts w:hint="eastAsia" w:ascii="仿宋_GB2312" w:eastAsia="仿宋_GB2312"/>
          <w:color w:val="000000"/>
          <w:sz w:val="32"/>
          <w:szCs w:val="32"/>
        </w:rPr>
      </w:pPr>
      <w:r>
        <w:rPr>
          <w:rStyle w:val="7"/>
          <w:rFonts w:hint="eastAsia" w:ascii="仿宋_GB2312" w:eastAsia="仿宋_GB2312"/>
          <w:b w:val="0"/>
          <w:color w:val="000000"/>
          <w:sz w:val="32"/>
          <w:szCs w:val="32"/>
        </w:rPr>
        <w:t>2150605安全监管监察专项：</w:t>
      </w:r>
      <w:r>
        <w:rPr>
          <w:rFonts w:hint="eastAsia" w:ascii="仿宋_GB2312" w:eastAsia="仿宋_GB2312"/>
          <w:color w:val="000000"/>
          <w:sz w:val="32"/>
          <w:szCs w:val="32"/>
        </w:rPr>
        <w:t>2016年决算数为14万元，完成预算100%。</w:t>
      </w:r>
    </w:p>
    <w:p>
      <w:pPr>
        <w:spacing w:line="600" w:lineRule="exact"/>
        <w:rPr>
          <w:rStyle w:val="7"/>
          <w:rFonts w:hint="eastAsia" w:ascii="仿宋_GB2312" w:eastAsia="仿宋_GB2312"/>
          <w:color w:val="000000"/>
          <w:sz w:val="32"/>
          <w:szCs w:val="32"/>
        </w:rPr>
      </w:pPr>
      <w:r>
        <w:rPr>
          <w:rStyle w:val="7"/>
          <w:rFonts w:hint="eastAsia" w:ascii="仿宋_GB2312" w:eastAsia="仿宋_GB2312"/>
          <w:color w:val="000000"/>
          <w:sz w:val="32"/>
          <w:szCs w:val="32"/>
        </w:rPr>
        <w:t>8.住房保障支出</w:t>
      </w:r>
    </w:p>
    <w:p>
      <w:pPr>
        <w:spacing w:line="600" w:lineRule="exact"/>
        <w:ind w:firstLine="320" w:firstLineChars="100"/>
        <w:rPr>
          <w:rFonts w:hint="eastAsia" w:ascii="仿宋_GB2312" w:eastAsia="仿宋_GB2312"/>
          <w:color w:val="000000"/>
          <w:sz w:val="32"/>
          <w:szCs w:val="32"/>
        </w:rPr>
      </w:pPr>
      <w:r>
        <w:rPr>
          <w:rStyle w:val="7"/>
          <w:rFonts w:hint="eastAsia" w:ascii="仿宋_GB2312" w:eastAsia="仿宋_GB2312"/>
          <w:b w:val="0"/>
          <w:color w:val="000000"/>
          <w:sz w:val="32"/>
          <w:szCs w:val="32"/>
        </w:rPr>
        <w:t>2210201住房公积金:</w:t>
      </w:r>
      <w:r>
        <w:rPr>
          <w:rFonts w:hint="eastAsia" w:ascii="仿宋_GB2312" w:eastAsia="仿宋_GB2312"/>
          <w:color w:val="000000"/>
          <w:sz w:val="32"/>
          <w:szCs w:val="32"/>
        </w:rPr>
        <w:t xml:space="preserve"> 2016年决算数为53.16万元，完成预算100%。</w:t>
      </w:r>
    </w:p>
    <w:p>
      <w:pPr>
        <w:spacing w:line="600" w:lineRule="exact"/>
        <w:rPr>
          <w:rFonts w:hint="eastAsia" w:ascii="黑体" w:eastAsia="黑体"/>
          <w:color w:val="000000"/>
          <w:sz w:val="32"/>
          <w:szCs w:val="32"/>
        </w:rPr>
      </w:pPr>
      <w:r>
        <w:rPr>
          <w:rFonts w:hint="eastAsia" w:ascii="黑体" w:eastAsia="黑体"/>
          <w:color w:val="000000"/>
          <w:sz w:val="32"/>
          <w:szCs w:val="32"/>
        </w:rPr>
        <w:t>六、一般公共预算财政拨款基本支出决算情况</w:t>
      </w:r>
    </w:p>
    <w:p>
      <w:pPr>
        <w:spacing w:line="600" w:lineRule="exact"/>
        <w:rPr>
          <w:rFonts w:hint="eastAsia" w:ascii="仿宋_GB2312" w:eastAsia="仿宋_GB2312"/>
          <w:color w:val="000000"/>
          <w:sz w:val="32"/>
          <w:szCs w:val="32"/>
        </w:rPr>
      </w:pPr>
      <w:r>
        <w:rPr>
          <w:rFonts w:hint="eastAsia" w:ascii="仿宋_GB2312" w:eastAsia="仿宋_GB2312"/>
          <w:color w:val="000000"/>
          <w:sz w:val="32"/>
          <w:szCs w:val="32"/>
        </w:rPr>
        <w:t>桐子林镇2016年一般公共预算财政拨款基本支出807.88万元，其中：</w:t>
      </w:r>
    </w:p>
    <w:p>
      <w:pPr>
        <w:spacing w:line="600" w:lineRule="exact"/>
        <w:ind w:firstLine="645"/>
        <w:rPr>
          <w:rFonts w:hint="eastAsia" w:ascii="仿宋_GB2312" w:eastAsia="仿宋_GB2312"/>
          <w:color w:val="000000"/>
          <w:sz w:val="32"/>
          <w:szCs w:val="32"/>
        </w:rPr>
      </w:pPr>
      <w:r>
        <w:rPr>
          <w:rFonts w:hint="eastAsia" w:ascii="仿宋_GB2312" w:eastAsia="仿宋_GB2312"/>
          <w:color w:val="000000"/>
          <w:sz w:val="32"/>
          <w:szCs w:val="32"/>
        </w:rPr>
        <w:t>人员经费663.41万元，主要包括：基本工资143.3万元、津贴补贴186.63万元、奖金60.15万元、绩效工资33.08万元、机关事业单位基本养老保险缴费70.46万元、其他社会保障缴费33.38万元、其他工资福利支出7.18万元、退休费8.37万元、抚恤金10.4万元、生活补助56.2万元、医疗费1万元、奖励金0.1万元、住房公积金53.16万元。</w:t>
      </w:r>
      <w:r>
        <w:rPr>
          <w:rFonts w:hint="eastAsia" w:ascii="仿宋_GB2312" w:eastAsia="仿宋_GB2312"/>
          <w:color w:val="000000"/>
          <w:sz w:val="32"/>
          <w:szCs w:val="32"/>
        </w:rPr>
        <w:br w:type="textWrapping"/>
      </w:r>
      <w:r>
        <w:rPr>
          <w:rFonts w:hint="eastAsia" w:ascii="仿宋_GB2312" w:eastAsia="仿宋_GB2312"/>
          <w:color w:val="000000"/>
          <w:sz w:val="32"/>
          <w:szCs w:val="32"/>
        </w:rPr>
        <w:t>　　公用经费144.47万元，主要包括：办公费44.62万元、水费2.76万元、电费2.45万元、邮电费6.1万元、差旅费26.15万元、会议费9.21万元、公务接待费0.72万元、劳务费13.28万元、工会经费9.94万元、福利费5.15万元公务用车运行维护费15.9万元、其他交通费8.04万元、其他商品和服务支出0.15万元。</w:t>
      </w:r>
    </w:p>
    <w:p>
      <w:pPr>
        <w:spacing w:line="600" w:lineRule="exact"/>
        <w:rPr>
          <w:rFonts w:hint="eastAsia" w:ascii="黑体" w:eastAsia="黑体"/>
          <w:color w:val="000000"/>
          <w:sz w:val="32"/>
          <w:szCs w:val="32"/>
        </w:rPr>
      </w:pPr>
      <w:r>
        <w:rPr>
          <w:rFonts w:hint="eastAsia" w:ascii="黑体" w:eastAsia="黑体"/>
          <w:color w:val="000000"/>
          <w:sz w:val="32"/>
          <w:szCs w:val="32"/>
        </w:rPr>
        <w:t>七、“三公”经费财政拨款支出决算情况</w:t>
      </w:r>
    </w:p>
    <w:p>
      <w:pPr>
        <w:spacing w:line="600" w:lineRule="exact"/>
        <w:rPr>
          <w:rFonts w:hint="eastAsia" w:ascii="仿宋_GB2312" w:eastAsia="仿宋_GB2312"/>
          <w:b/>
          <w:color w:val="000000"/>
          <w:sz w:val="32"/>
          <w:szCs w:val="32"/>
        </w:rPr>
      </w:pPr>
      <w:r>
        <w:rPr>
          <w:rFonts w:hint="eastAsia" w:ascii="仿宋_GB2312" w:eastAsia="仿宋_GB2312"/>
          <w:b/>
          <w:color w:val="000000"/>
          <w:sz w:val="32"/>
          <w:szCs w:val="32"/>
        </w:rPr>
        <w:t>（一）“三公”经费财政拨款支出决算总体情况说明</w:t>
      </w:r>
    </w:p>
    <w:p>
      <w:pPr>
        <w:spacing w:line="600" w:lineRule="exact"/>
        <w:ind w:firstLine="640"/>
        <w:rPr>
          <w:rFonts w:hint="eastAsia" w:ascii="仿宋_GB2312" w:eastAsia="仿宋_GB2312"/>
          <w:color w:val="333333"/>
          <w:sz w:val="32"/>
          <w:szCs w:val="32"/>
        </w:rPr>
      </w:pPr>
      <w:r>
        <w:rPr>
          <w:rFonts w:hint="eastAsia" w:ascii="仿宋_GB2312" w:eastAsia="仿宋_GB2312"/>
          <w:color w:val="333333"/>
          <w:sz w:val="32"/>
          <w:szCs w:val="32"/>
        </w:rPr>
        <w:t>桐子林镇2016年度“三公”经费财政拨款支出决算为20.62万元，完成预算100%，其中：因公出国（境）费支出决算为0万元，完成预算0%；公务用车购置及运行维护费支出决算为19.9万元，完成预算100%；公务接待费支出决算为0.72万元，完成预算100%。2016年度“三公”经费支出决算数公务接待费小于预算数的主要原因是严格控制接待费用途。</w:t>
      </w:r>
    </w:p>
    <w:p>
      <w:pPr>
        <w:spacing w:line="600" w:lineRule="exact"/>
        <w:ind w:firstLine="640"/>
        <w:rPr>
          <w:rFonts w:hint="eastAsia" w:ascii="仿宋_GB2312" w:eastAsia="仿宋_GB2312"/>
          <w:color w:val="333333"/>
          <w:sz w:val="32"/>
          <w:szCs w:val="32"/>
        </w:rPr>
      </w:pPr>
      <w:r>
        <w:rPr>
          <w:rFonts w:hint="eastAsia" w:ascii="仿宋_GB2312" w:eastAsia="仿宋_GB2312"/>
          <w:color w:val="333333"/>
          <w:sz w:val="32"/>
          <w:szCs w:val="32"/>
        </w:rPr>
        <w:t>2016年度“三公”经费财政拨款支出决算数比2015年</w:t>
      </w:r>
      <w:r>
        <w:rPr>
          <w:rFonts w:hint="eastAsia" w:ascii="仿宋_GB2312" w:eastAsia="仿宋_GB2312"/>
          <w:color w:val="000000"/>
          <w:sz w:val="32"/>
          <w:szCs w:val="32"/>
        </w:rPr>
        <w:t>增加1.79</w:t>
      </w:r>
      <w:r>
        <w:rPr>
          <w:rFonts w:hint="eastAsia" w:ascii="仿宋_GB2312" w:eastAsia="仿宋_GB2312"/>
          <w:color w:val="333333"/>
          <w:sz w:val="32"/>
          <w:szCs w:val="32"/>
        </w:rPr>
        <w:t>万元，</w:t>
      </w:r>
      <w:r>
        <w:rPr>
          <w:rFonts w:hint="eastAsia" w:ascii="仿宋_GB2312" w:eastAsia="仿宋_GB2312"/>
          <w:color w:val="000000"/>
          <w:sz w:val="32"/>
          <w:szCs w:val="32"/>
        </w:rPr>
        <w:t>增长9.5%，其中：</w:t>
      </w:r>
      <w:r>
        <w:rPr>
          <w:rFonts w:hint="eastAsia" w:ascii="仿宋_GB2312" w:eastAsia="仿宋_GB2312"/>
          <w:color w:val="333333"/>
          <w:sz w:val="32"/>
          <w:szCs w:val="32"/>
        </w:rPr>
        <w:t>因公出国（境）费支出决算</w:t>
      </w:r>
      <w:r>
        <w:rPr>
          <w:rFonts w:hint="eastAsia" w:ascii="仿宋_GB2312" w:eastAsia="仿宋_GB2312"/>
          <w:color w:val="000000"/>
          <w:sz w:val="32"/>
          <w:szCs w:val="32"/>
        </w:rPr>
        <w:t>增加/减少</w:t>
      </w:r>
      <w:r>
        <w:rPr>
          <w:rFonts w:hint="eastAsia" w:ascii="仿宋_GB2312" w:eastAsia="仿宋_GB2312"/>
          <w:color w:val="333333"/>
          <w:sz w:val="32"/>
          <w:szCs w:val="32"/>
        </w:rPr>
        <w:t>0万元，</w:t>
      </w:r>
      <w:r>
        <w:rPr>
          <w:rFonts w:hint="eastAsia" w:ascii="仿宋_GB2312" w:eastAsia="仿宋_GB2312"/>
          <w:color w:val="000000"/>
          <w:sz w:val="32"/>
          <w:szCs w:val="32"/>
        </w:rPr>
        <w:t>增长/下降0%</w:t>
      </w:r>
      <w:r>
        <w:rPr>
          <w:rFonts w:hint="eastAsia" w:ascii="仿宋_GB2312" w:eastAsia="仿宋_GB2312"/>
          <w:color w:val="333333"/>
          <w:sz w:val="32"/>
          <w:szCs w:val="32"/>
        </w:rPr>
        <w:t>；公务用车购置及运行维护费支出决算</w:t>
      </w:r>
      <w:r>
        <w:rPr>
          <w:rFonts w:hint="eastAsia" w:ascii="仿宋_GB2312" w:eastAsia="仿宋_GB2312"/>
          <w:color w:val="000000"/>
          <w:sz w:val="32"/>
          <w:szCs w:val="32"/>
        </w:rPr>
        <w:t>增加1.07</w:t>
      </w:r>
      <w:r>
        <w:rPr>
          <w:rFonts w:hint="eastAsia" w:ascii="仿宋_GB2312" w:eastAsia="仿宋_GB2312"/>
          <w:color w:val="333333"/>
          <w:sz w:val="32"/>
          <w:szCs w:val="32"/>
        </w:rPr>
        <w:t>万元，</w:t>
      </w:r>
      <w:r>
        <w:rPr>
          <w:rFonts w:hint="eastAsia" w:ascii="仿宋_GB2312" w:eastAsia="仿宋_GB2312"/>
          <w:color w:val="000000"/>
          <w:sz w:val="32"/>
          <w:szCs w:val="32"/>
        </w:rPr>
        <w:t>增长5.6%</w:t>
      </w:r>
      <w:r>
        <w:rPr>
          <w:rFonts w:hint="eastAsia" w:ascii="仿宋_GB2312" w:eastAsia="仿宋_GB2312"/>
          <w:color w:val="333333"/>
          <w:sz w:val="32"/>
          <w:szCs w:val="32"/>
        </w:rPr>
        <w:t>；公务接待费支出决算</w:t>
      </w:r>
      <w:r>
        <w:rPr>
          <w:rFonts w:hint="eastAsia" w:ascii="仿宋_GB2312" w:eastAsia="仿宋_GB2312"/>
          <w:color w:val="000000"/>
          <w:sz w:val="32"/>
          <w:szCs w:val="32"/>
        </w:rPr>
        <w:t>增加0.19</w:t>
      </w:r>
      <w:r>
        <w:rPr>
          <w:rFonts w:hint="eastAsia" w:ascii="仿宋_GB2312" w:eastAsia="仿宋_GB2312"/>
          <w:color w:val="333333"/>
          <w:sz w:val="32"/>
          <w:szCs w:val="32"/>
        </w:rPr>
        <w:t>万元，</w:t>
      </w:r>
      <w:r>
        <w:rPr>
          <w:rFonts w:hint="eastAsia" w:ascii="仿宋_GB2312" w:eastAsia="仿宋_GB2312"/>
          <w:color w:val="000000"/>
          <w:sz w:val="32"/>
          <w:szCs w:val="32"/>
        </w:rPr>
        <w:t>增长35.84%</w:t>
      </w:r>
      <w:r>
        <w:rPr>
          <w:rFonts w:hint="eastAsia" w:ascii="仿宋_GB2312" w:eastAsia="仿宋_GB2312"/>
          <w:color w:val="333333"/>
          <w:sz w:val="32"/>
          <w:szCs w:val="32"/>
        </w:rPr>
        <w:t>。增减变动的主要原因经费使用正常变化。</w:t>
      </w:r>
    </w:p>
    <w:p>
      <w:pPr>
        <w:spacing w:line="600" w:lineRule="exact"/>
        <w:ind w:firstLine="640"/>
        <w:rPr>
          <w:rFonts w:hint="eastAsia" w:ascii="仿宋_GB2312" w:eastAsia="仿宋_GB2312"/>
          <w:b/>
          <w:color w:val="333333"/>
          <w:sz w:val="32"/>
          <w:szCs w:val="32"/>
        </w:rPr>
      </w:pPr>
      <w:r>
        <w:rPr>
          <w:rFonts w:hint="eastAsia" w:ascii="仿宋_GB2312" w:eastAsia="仿宋_GB2312"/>
          <w:b/>
          <w:color w:val="333333"/>
          <w:sz w:val="32"/>
          <w:szCs w:val="32"/>
        </w:rPr>
        <w:t>（二）“三公”经费财政拨款支出决算具体情况说明</w:t>
      </w:r>
    </w:p>
    <w:p>
      <w:pPr>
        <w:spacing w:line="600" w:lineRule="exact"/>
        <w:ind w:firstLine="640"/>
        <w:rPr>
          <w:rFonts w:hint="eastAsia" w:ascii="仿宋_GB2312" w:eastAsia="仿宋_GB2312"/>
          <w:color w:val="000000"/>
          <w:sz w:val="32"/>
          <w:szCs w:val="32"/>
        </w:rPr>
      </w:pPr>
      <w:r>
        <w:rPr>
          <w:rFonts w:hint="eastAsia" w:ascii="仿宋_GB2312" w:eastAsia="仿宋_GB2312"/>
          <w:color w:val="333333"/>
          <w:sz w:val="32"/>
          <w:szCs w:val="32"/>
        </w:rPr>
        <w:t>2016年度“三公”经费财政拨款支出决算中，因公出国（境）费支出决算0万元，</w:t>
      </w:r>
      <w:r>
        <w:rPr>
          <w:rFonts w:hint="eastAsia" w:ascii="仿宋_GB2312" w:eastAsia="仿宋_GB2312"/>
          <w:color w:val="000000"/>
          <w:sz w:val="32"/>
          <w:szCs w:val="32"/>
        </w:rPr>
        <w:t>占0%</w:t>
      </w:r>
      <w:r>
        <w:rPr>
          <w:rFonts w:hint="eastAsia" w:ascii="仿宋_GB2312" w:eastAsia="仿宋_GB2312"/>
          <w:color w:val="333333"/>
          <w:sz w:val="32"/>
          <w:szCs w:val="32"/>
        </w:rPr>
        <w:t>；公务用车购置及运行维护费支出决算19.9万元，</w:t>
      </w:r>
      <w:r>
        <w:rPr>
          <w:rFonts w:hint="eastAsia" w:ascii="仿宋_GB2312" w:eastAsia="仿宋_GB2312"/>
          <w:color w:val="000000"/>
          <w:sz w:val="32"/>
          <w:szCs w:val="32"/>
        </w:rPr>
        <w:t>占1.66%</w:t>
      </w:r>
      <w:r>
        <w:rPr>
          <w:rFonts w:hint="eastAsia" w:ascii="仿宋_GB2312" w:eastAsia="仿宋_GB2312"/>
          <w:color w:val="333333"/>
          <w:sz w:val="32"/>
          <w:szCs w:val="32"/>
        </w:rPr>
        <w:t>；公务接待费支出决算0.72万元，</w:t>
      </w:r>
      <w:r>
        <w:rPr>
          <w:rFonts w:hint="eastAsia" w:ascii="仿宋_GB2312" w:eastAsia="仿宋_GB2312"/>
          <w:color w:val="000000"/>
          <w:sz w:val="32"/>
          <w:szCs w:val="32"/>
        </w:rPr>
        <w:t>占0.06%。</w:t>
      </w:r>
    </w:p>
    <w:p>
      <w:pPr>
        <w:spacing w:line="600" w:lineRule="exact"/>
        <w:ind w:firstLine="640"/>
        <w:rPr>
          <w:rFonts w:ascii="仿宋_GB2312" w:eastAsia="仿宋_GB2312"/>
          <w:b/>
          <w:color w:val="000000"/>
          <w:sz w:val="32"/>
          <w:szCs w:val="32"/>
        </w:rPr>
      </w:pPr>
      <w:r>
        <w:rPr>
          <w:rFonts w:hint="eastAsia" w:ascii="仿宋_GB2312" w:eastAsia="仿宋_GB2312"/>
          <w:b/>
          <w:color w:val="000000"/>
          <w:sz w:val="32"/>
          <w:szCs w:val="32"/>
        </w:rPr>
        <w:t>1.因公出国（境）经费</w:t>
      </w:r>
    </w:p>
    <w:p>
      <w:pPr>
        <w:spacing w:line="600" w:lineRule="exact"/>
        <w:ind w:firstLine="640"/>
        <w:rPr>
          <w:rFonts w:hint="eastAsia"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6年因公出国（境）费0万元。全年安排因公出国（境）团组0次，出国（境）0人。</w:t>
      </w:r>
    </w:p>
    <w:p>
      <w:pPr>
        <w:spacing w:line="600" w:lineRule="exact"/>
        <w:ind w:firstLine="643" w:firstLineChars="200"/>
        <w:rPr>
          <w:rFonts w:hint="eastAsia" w:ascii="仿宋_GB2312" w:eastAsia="仿宋_GB2312"/>
          <w:b/>
          <w:color w:val="000000"/>
          <w:sz w:val="32"/>
          <w:szCs w:val="32"/>
        </w:rPr>
      </w:pPr>
      <w:r>
        <w:rPr>
          <w:rFonts w:hint="eastAsia" w:ascii="仿宋_GB2312" w:eastAsia="仿宋_GB2312"/>
          <w:b/>
          <w:color w:val="000000"/>
          <w:sz w:val="32"/>
          <w:szCs w:val="32"/>
        </w:rPr>
        <w:t>2.公务用车购置及运行维护费</w:t>
      </w:r>
    </w:p>
    <w:p>
      <w:pPr>
        <w:spacing w:line="600" w:lineRule="exact"/>
        <w:ind w:firstLine="640"/>
        <w:rPr>
          <w:rFonts w:hint="eastAsia"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6年公务用车购置及运行维护费19.9万元,其中：</w:t>
      </w:r>
    </w:p>
    <w:p>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公务用车购置支出0万元。全年按规定更新购置公务用车0辆，其中：轿车0辆、金额0万元，越野车0辆、金额0万元，载客汽车0辆、金额0万元，00。截至2016年12月底，单位共有公务用车1辆，其中：轿车1辆、越野车0辆、载客汽车0辆。</w:t>
      </w:r>
    </w:p>
    <w:p>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公务用车运行维护费支出19.9万元。主要用于公务用车油费，保险费、洗车费，维修费等支出。</w:t>
      </w:r>
    </w:p>
    <w:p>
      <w:pPr>
        <w:spacing w:line="600" w:lineRule="exact"/>
        <w:ind w:firstLine="643" w:firstLineChars="200"/>
        <w:rPr>
          <w:rFonts w:ascii="楷体_GB2312" w:eastAsia="楷体_GB2312"/>
          <w:b/>
          <w:color w:val="000000"/>
          <w:sz w:val="32"/>
          <w:szCs w:val="32"/>
        </w:rPr>
      </w:pPr>
      <w:r>
        <w:rPr>
          <w:rFonts w:hint="eastAsia" w:ascii="仿宋_GB2312" w:eastAsia="仿宋_GB2312"/>
          <w:b/>
          <w:color w:val="000000"/>
          <w:sz w:val="32"/>
          <w:szCs w:val="32"/>
        </w:rPr>
        <w:t>3.公务接待费</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6年公务接待费0.72万元。主要用于接待其他单位到桐子林镇开展调研活动用餐费等。国内公务接待4批次，141人，共计支出0.72万元，具体内容包括：接待市移民局到桐子林镇开展移民工作调研0.12万元；接待红格镇到桐子林镇考察学习芒果种植技术餐费0.35万元；接待永兴镇打哦桐子林镇开展芒果种植调研餐费0.25万元。</w:t>
      </w:r>
    </w:p>
    <w:p>
      <w:pPr>
        <w:spacing w:line="600" w:lineRule="exact"/>
        <w:ind w:firstLine="640"/>
        <w:rPr>
          <w:rFonts w:hint="eastAsia" w:ascii="黑体" w:eastAsia="黑体"/>
          <w:color w:val="000000"/>
          <w:sz w:val="32"/>
          <w:szCs w:val="32"/>
        </w:rPr>
      </w:pPr>
      <w:r>
        <w:rPr>
          <w:rFonts w:hint="eastAsia" w:ascii="黑体" w:eastAsia="黑体"/>
          <w:color w:val="000000"/>
          <w:sz w:val="32"/>
          <w:szCs w:val="32"/>
        </w:rPr>
        <w:t>八、政府性基金预算财政拨款支出决算情况</w:t>
      </w:r>
    </w:p>
    <w:p>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桐子林镇2016年使用政府性基金预算财政拨款支出384.09万元。</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九、其他重要事项的情况说明</w:t>
      </w:r>
    </w:p>
    <w:p>
      <w:pPr>
        <w:spacing w:line="600" w:lineRule="exact"/>
        <w:ind w:firstLine="643" w:firstLineChars="200"/>
        <w:rPr>
          <w:rFonts w:hint="eastAsia" w:ascii="仿宋_GB2312" w:eastAsia="仿宋_GB2312"/>
          <w:color w:val="000000"/>
          <w:sz w:val="32"/>
          <w:szCs w:val="32"/>
        </w:rPr>
      </w:pPr>
      <w:r>
        <w:rPr>
          <w:rFonts w:hint="eastAsia" w:ascii="仿宋_GB2312" w:eastAsia="仿宋_GB2312"/>
          <w:b/>
          <w:color w:val="000000"/>
          <w:sz w:val="32"/>
          <w:szCs w:val="32"/>
        </w:rPr>
        <w:t>（一）机关运行经费支出情况</w:t>
      </w:r>
    </w:p>
    <w:p>
      <w:pPr>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2016年度，桐子林镇机关运行经费支出144.47万元，比2015年增加16.35万元，增加12.76%。</w:t>
      </w:r>
    </w:p>
    <w:p>
      <w:pPr>
        <w:autoSpaceDE w:val="0"/>
        <w:autoSpaceDN w:val="0"/>
        <w:adjustRightInd w:val="0"/>
        <w:spacing w:line="600" w:lineRule="exact"/>
        <w:ind w:firstLine="643" w:firstLineChars="200"/>
        <w:jc w:val="left"/>
        <w:rPr>
          <w:rFonts w:ascii="仿宋_GB2312" w:eastAsia="仿宋_GB2312"/>
          <w:b/>
          <w:color w:val="000000"/>
          <w:sz w:val="32"/>
          <w:szCs w:val="32"/>
        </w:rPr>
      </w:pPr>
      <w:r>
        <w:rPr>
          <w:rFonts w:hint="eastAsia" w:ascii="仿宋_GB2312" w:eastAsia="仿宋_GB2312"/>
          <w:b/>
          <w:color w:val="000000"/>
          <w:sz w:val="32"/>
          <w:szCs w:val="32"/>
        </w:rPr>
        <w:t>（二）政府采购支出情况</w:t>
      </w:r>
    </w:p>
    <w:p>
      <w:pPr>
        <w:spacing w:line="600" w:lineRule="exact"/>
        <w:ind w:firstLine="640" w:firstLineChars="200"/>
        <w:rPr>
          <w:rFonts w:hint="eastAsia" w:ascii="仿宋_GB2312" w:eastAsia="仿宋_GB2312"/>
          <w:b/>
          <w:i/>
          <w:color w:val="404040"/>
          <w:sz w:val="32"/>
          <w:szCs w:val="32"/>
        </w:rPr>
      </w:pPr>
      <w:r>
        <w:rPr>
          <w:rFonts w:hint="eastAsia" w:ascii="仿宋_GB2312" w:eastAsia="仿宋_GB2312"/>
          <w:color w:val="000000"/>
          <w:sz w:val="32"/>
          <w:szCs w:val="32"/>
        </w:rPr>
        <w:t>2016年度，桐子林镇政府采购支出总额0万元，其中：政府采购货物支出0万元、政府采购工程支出0万元、政府采购服务支出0万元。</w:t>
      </w:r>
    </w:p>
    <w:p>
      <w:pPr>
        <w:autoSpaceDE w:val="0"/>
        <w:autoSpaceDN w:val="0"/>
        <w:adjustRightInd w:val="0"/>
        <w:spacing w:line="600" w:lineRule="exact"/>
        <w:ind w:firstLine="643" w:firstLineChars="200"/>
        <w:jc w:val="left"/>
        <w:rPr>
          <w:rFonts w:ascii="仿宋_GB2312" w:eastAsia="仿宋_GB2312"/>
          <w:b/>
          <w:color w:val="000000"/>
          <w:sz w:val="32"/>
          <w:szCs w:val="32"/>
        </w:rPr>
      </w:pPr>
      <w:r>
        <w:rPr>
          <w:rFonts w:hint="eastAsia" w:ascii="仿宋_GB2312" w:eastAsia="仿宋_GB2312"/>
          <w:b/>
          <w:color w:val="000000"/>
          <w:sz w:val="32"/>
          <w:szCs w:val="32"/>
        </w:rPr>
        <w:t>（三）国有资产占有使用情况</w:t>
      </w:r>
    </w:p>
    <w:p>
      <w:pPr>
        <w:autoSpaceDE w:val="0"/>
        <w:autoSpaceDN w:val="0"/>
        <w:adjustRightInd w:val="0"/>
        <w:spacing w:line="600" w:lineRule="exact"/>
        <w:ind w:firstLine="640" w:firstLineChars="200"/>
        <w:jc w:val="left"/>
        <w:rPr>
          <w:rFonts w:hint="eastAsia" w:ascii="仿宋_GB2312" w:eastAsia="仿宋_GB2312"/>
          <w:color w:val="000000"/>
          <w:sz w:val="32"/>
          <w:szCs w:val="32"/>
        </w:rPr>
      </w:pPr>
      <w:r>
        <w:rPr>
          <w:rFonts w:hint="eastAsia" w:ascii="仿宋_GB2312" w:eastAsia="仿宋_GB2312"/>
          <w:color w:val="000000"/>
          <w:sz w:val="32"/>
          <w:szCs w:val="32"/>
        </w:rPr>
        <w:t>截至2016年12月31日，桐子林镇公有车辆1辆，其中：省部级领导干部用车0辆、一般公务用车1辆；单价50万元以上通用设备0台（套），单价100万元以上专用设备0台（套）。</w:t>
      </w:r>
    </w:p>
    <w:p>
      <w:pPr>
        <w:autoSpaceDE w:val="0"/>
        <w:autoSpaceDN w:val="0"/>
        <w:adjustRightInd w:val="0"/>
        <w:spacing w:line="600" w:lineRule="exact"/>
        <w:ind w:firstLine="643" w:firstLineChars="200"/>
        <w:jc w:val="left"/>
        <w:rPr>
          <w:rFonts w:hint="eastAsia" w:ascii="仿宋_GB2312" w:eastAsia="仿宋_GB2312"/>
          <w:b/>
          <w:color w:val="000000"/>
          <w:sz w:val="32"/>
          <w:szCs w:val="32"/>
        </w:rPr>
      </w:pPr>
      <w:r>
        <w:rPr>
          <w:rFonts w:hint="eastAsia" w:ascii="仿宋_GB2312" w:eastAsia="仿宋_GB2312"/>
          <w:b/>
          <w:color w:val="000000"/>
          <w:sz w:val="32"/>
          <w:szCs w:val="32"/>
        </w:rPr>
        <w:t>（四）预算绩效情况</w:t>
      </w:r>
    </w:p>
    <w:p>
      <w:pPr>
        <w:spacing w:line="600" w:lineRule="atLeast"/>
        <w:ind w:firstLine="640" w:firstLineChars="200"/>
        <w:rPr>
          <w:rFonts w:hint="eastAsia" w:ascii="仿宋_GB2312" w:eastAsia="仿宋_GB2312"/>
          <w:sz w:val="32"/>
          <w:szCs w:val="32"/>
        </w:rPr>
      </w:pPr>
      <w:r>
        <w:rPr>
          <w:rFonts w:hint="eastAsia" w:ascii="仿宋_GB2312" w:eastAsia="仿宋_GB2312"/>
          <w:sz w:val="32"/>
          <w:szCs w:val="32"/>
        </w:rPr>
        <w:t>按照预算绩效管理要求，本部门对2016年一般公共预算项目支出开展了绩效目标管理，共编制绩效目标3个，涉及财政资金33.08万元，覆盖率达到100%。</w:t>
      </w:r>
    </w:p>
    <w:p>
      <w:pPr>
        <w:spacing w:line="600" w:lineRule="atLeast"/>
        <w:ind w:firstLine="643" w:firstLineChars="200"/>
        <w:rPr>
          <w:rFonts w:hint="eastAsia" w:ascii="仿宋_GB2312" w:eastAsia="仿宋_GB2312"/>
          <w:b/>
          <w:sz w:val="32"/>
          <w:szCs w:val="32"/>
        </w:rPr>
      </w:pPr>
      <w:r>
        <w:rPr>
          <w:rFonts w:hint="eastAsia" w:ascii="仿宋_GB2312" w:eastAsia="仿宋_GB2312"/>
          <w:b/>
          <w:sz w:val="32"/>
          <w:szCs w:val="32"/>
        </w:rPr>
        <w:t>（五）总决算公示空表情况</w:t>
      </w:r>
    </w:p>
    <w:p>
      <w:pPr>
        <w:spacing w:line="600" w:lineRule="atLeast"/>
        <w:ind w:firstLine="640" w:firstLineChars="200"/>
        <w:rPr>
          <w:rFonts w:hint="eastAsia" w:ascii="仿宋_GB2312" w:eastAsia="仿宋_GB2312"/>
          <w:sz w:val="32"/>
          <w:szCs w:val="32"/>
        </w:rPr>
      </w:pPr>
      <w:r>
        <w:rPr>
          <w:rFonts w:hint="eastAsia" w:ascii="仿宋_GB2312" w:eastAsia="仿宋_GB2312"/>
          <w:sz w:val="32"/>
          <w:szCs w:val="32"/>
        </w:rPr>
        <w:t>决算公示表中的第8表、17表、18表、19表、20表、21表，这六张表没有决算数据显示，是因为我镇没有基本设施建设、社保基金预算和国有资本经营预算，所以没有相应决算数据。</w:t>
      </w:r>
    </w:p>
    <w:p>
      <w:pPr>
        <w:autoSpaceDE w:val="0"/>
        <w:autoSpaceDN w:val="0"/>
        <w:adjustRightInd w:val="0"/>
        <w:spacing w:line="600" w:lineRule="exact"/>
        <w:ind w:firstLine="643" w:firstLineChars="200"/>
        <w:jc w:val="left"/>
        <w:rPr>
          <w:rFonts w:hint="eastAsia" w:ascii="仿宋_GB2312" w:eastAsia="仿宋_GB2312"/>
          <w:b/>
          <w:color w:val="000000"/>
          <w:sz w:val="32"/>
          <w:szCs w:val="32"/>
        </w:rPr>
      </w:pPr>
      <w:r>
        <w:rPr>
          <w:rFonts w:hint="eastAsia" w:ascii="仿宋_GB2312" w:eastAsia="仿宋_GB2312"/>
          <w:b/>
          <w:color w:val="000000"/>
          <w:sz w:val="32"/>
          <w:szCs w:val="32"/>
        </w:rPr>
        <w:t>（六）决算公开情况</w:t>
      </w:r>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color w:val="000000"/>
          <w:sz w:val="32"/>
          <w:szCs w:val="32"/>
        </w:rPr>
        <w:t>按照要求在决算批复后20日内公开我镇2016年决算情况。</w:t>
      </w:r>
    </w:p>
    <w:p>
      <w:pPr>
        <w:autoSpaceDE w:val="0"/>
        <w:autoSpaceDN w:val="0"/>
        <w:adjustRightInd w:val="0"/>
        <w:spacing w:line="600" w:lineRule="exact"/>
        <w:ind w:firstLine="640" w:firstLineChars="200"/>
        <w:jc w:val="left"/>
        <w:rPr>
          <w:rFonts w:hint="eastAsia" w:ascii="黑体" w:eastAsia="黑体"/>
          <w:color w:val="000000"/>
          <w:sz w:val="32"/>
          <w:szCs w:val="32"/>
        </w:rPr>
      </w:pPr>
      <w:r>
        <w:rPr>
          <w:rFonts w:hint="eastAsia" w:ascii="黑体" w:eastAsia="黑体"/>
          <w:color w:val="000000"/>
          <w:sz w:val="32"/>
          <w:szCs w:val="32"/>
        </w:rPr>
        <w:t>十、名词解释</w:t>
      </w:r>
    </w:p>
    <w:p>
      <w:pPr>
        <w:pStyle w:val="11"/>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1.财政拨款收入：指省级财政当年拨付的资金。 </w:t>
      </w:r>
    </w:p>
    <w:p>
      <w:pPr>
        <w:pStyle w:val="11"/>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2.其他收入：指除上述“财政拨款收入”、“事业收入”、“经营收入”等以外的收入。主要是…（收入类型）等。 </w:t>
      </w:r>
    </w:p>
    <w:p>
      <w:pPr>
        <w:pStyle w:val="11"/>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3.经营收入：指事业单位在专业业务活动及其辅助活动之外开展非独立核算经营活动取得的收入。如…（二级预算单位经营收入情况）等。</w:t>
      </w:r>
    </w:p>
    <w:p>
      <w:pPr>
        <w:pStyle w:val="11"/>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4.其他收入：指除上述“财政拨款收入”、“事业收入”、“经营收入”等以外的收入。主要是…（收入类型）等。 </w:t>
      </w:r>
    </w:p>
    <w:p>
      <w:pPr>
        <w:pStyle w:val="11"/>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pStyle w:val="11"/>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6.年初结转和结余：指以前年度尚未完成、结转到本年按有关规定继续使用的资金。 </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7.一般公共服务（类）…（款）…（项）：指……。</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8.教育（类）…（款）…（项）：指……。</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9.科学技术（类）…（款）…（项）：指……。</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10.文化体育与传媒（类）…（款）…（项）：指……。</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11.社会保障和就业（类）…（款）…（项）：指……。</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w:t>
      </w:r>
    </w:p>
    <w:p>
      <w:pPr>
        <w:spacing w:line="600" w:lineRule="exact"/>
        <w:ind w:firstLine="640"/>
        <w:rPr>
          <w:rFonts w:hint="eastAsia" w:ascii="仿宋_GB2312" w:eastAsia="仿宋_GB2312"/>
          <w:b/>
          <w:i/>
          <w:color w:val="404040"/>
          <w:sz w:val="32"/>
          <w:szCs w:val="32"/>
        </w:rPr>
      </w:pPr>
      <w:r>
        <w:rPr>
          <w:rFonts w:hint="eastAsia" w:ascii="仿宋_GB2312" w:eastAsia="仿宋_GB2312"/>
          <w:b/>
          <w:i/>
          <w:color w:val="404040"/>
          <w:sz w:val="32"/>
          <w:szCs w:val="32"/>
        </w:rPr>
        <w:t>（解释本部门决算报表中全部功能分类科目，至项级，参照《2016年政府收支分类科目》）</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12.结余分配：指事业单位按规定提取的职工福利基金、事业基金和缴纳的所得税，以及建设单位按规定应交回的基本建设竣工项目结余资金。</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13.年末结转和结余：指本年度或以前年度预算安排、因客观条件发生变化无法按原计划实施，需延迟到以后年度按有关规定继续使用的资金。</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14.基本支出：指为保障机构正常运转、完成日常工作任务而发生的人员支出和公用支出。</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15.项目支出：指在基本支出之外为完成特定行政任务和事业发展目标所发生的支出。 </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16.经营支出：指事业单位在专业业务活动及其辅助活动之外开展非独立核算经营活动发生的支出。</w:t>
      </w:r>
    </w:p>
    <w:p>
      <w:pPr>
        <w:pStyle w:val="11"/>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17.“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11"/>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18.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1"/>
        <w:spacing w:line="560" w:lineRule="exact"/>
        <w:ind w:firstLine="640" w:firstLineChars="200"/>
        <w:rPr>
          <w:rFonts w:hint="eastAsia" w:ascii="仿宋_GB2312" w:eastAsia="仿宋_GB2312" w:cs="黑体"/>
          <w:sz w:val="32"/>
          <w:szCs w:val="32"/>
        </w:rPr>
      </w:pPr>
      <w:r>
        <w:rPr>
          <w:rFonts w:hint="eastAsia" w:ascii="仿宋_GB2312" w:eastAsia="仿宋_GB2312"/>
          <w:sz w:val="32"/>
          <w:szCs w:val="32"/>
        </w:rPr>
        <w:t>19.……。</w:t>
      </w:r>
    </w:p>
    <w:p>
      <w:pPr>
        <w:rPr>
          <w:rFonts w:hint="eastAsia" w:ascii="仿宋_GB2312" w:eastAsia="仿宋_GB2312"/>
          <w:color w:val="000000"/>
          <w:sz w:val="32"/>
          <w:szCs w:val="32"/>
        </w:rPr>
      </w:pPr>
    </w:p>
    <w:p>
      <w:pPr>
        <w:pStyle w:val="11"/>
        <w:spacing w:line="560" w:lineRule="exact"/>
        <w:ind w:firstLine="640" w:firstLineChars="200"/>
        <w:rPr>
          <w:rFonts w:hint="eastAsia" w:ascii="仿宋_GB2312"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11</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6160A5"/>
    <w:multiLevelType w:val="multilevel"/>
    <w:tmpl w:val="546160A5"/>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530DD"/>
    <w:rsid w:val="000B047F"/>
    <w:rsid w:val="000B5A48"/>
    <w:rsid w:val="000C3CA6"/>
    <w:rsid w:val="000D5782"/>
    <w:rsid w:val="0011545D"/>
    <w:rsid w:val="00141E76"/>
    <w:rsid w:val="0014729F"/>
    <w:rsid w:val="00191536"/>
    <w:rsid w:val="001965DA"/>
    <w:rsid w:val="001B3223"/>
    <w:rsid w:val="00260C38"/>
    <w:rsid w:val="00261B4B"/>
    <w:rsid w:val="002D13F8"/>
    <w:rsid w:val="00300970"/>
    <w:rsid w:val="00314EED"/>
    <w:rsid w:val="003268A2"/>
    <w:rsid w:val="003463D5"/>
    <w:rsid w:val="0037013F"/>
    <w:rsid w:val="003A484F"/>
    <w:rsid w:val="003B0C1B"/>
    <w:rsid w:val="003D2004"/>
    <w:rsid w:val="0047780C"/>
    <w:rsid w:val="00487AEF"/>
    <w:rsid w:val="0058486E"/>
    <w:rsid w:val="005871AB"/>
    <w:rsid w:val="005A5D0A"/>
    <w:rsid w:val="005D2469"/>
    <w:rsid w:val="005D5CED"/>
    <w:rsid w:val="005F5994"/>
    <w:rsid w:val="00607E6C"/>
    <w:rsid w:val="0066343B"/>
    <w:rsid w:val="0068457C"/>
    <w:rsid w:val="00754A52"/>
    <w:rsid w:val="0076182A"/>
    <w:rsid w:val="00767B7E"/>
    <w:rsid w:val="00774397"/>
    <w:rsid w:val="007770C3"/>
    <w:rsid w:val="007D1E05"/>
    <w:rsid w:val="007E228F"/>
    <w:rsid w:val="00800112"/>
    <w:rsid w:val="00866F38"/>
    <w:rsid w:val="00871F71"/>
    <w:rsid w:val="008A3E7F"/>
    <w:rsid w:val="00944BD6"/>
    <w:rsid w:val="00951248"/>
    <w:rsid w:val="0095152F"/>
    <w:rsid w:val="00971FFC"/>
    <w:rsid w:val="009B4EAE"/>
    <w:rsid w:val="009B7573"/>
    <w:rsid w:val="009C43D4"/>
    <w:rsid w:val="009D3447"/>
    <w:rsid w:val="009D3721"/>
    <w:rsid w:val="009E09D5"/>
    <w:rsid w:val="009E3FF9"/>
    <w:rsid w:val="009F2170"/>
    <w:rsid w:val="00A307CD"/>
    <w:rsid w:val="00A6539E"/>
    <w:rsid w:val="00AC2D2E"/>
    <w:rsid w:val="00AF4CCF"/>
    <w:rsid w:val="00B03C9D"/>
    <w:rsid w:val="00B10517"/>
    <w:rsid w:val="00B3092B"/>
    <w:rsid w:val="00B310B9"/>
    <w:rsid w:val="00BE760C"/>
    <w:rsid w:val="00C03E31"/>
    <w:rsid w:val="00C151BD"/>
    <w:rsid w:val="00C35554"/>
    <w:rsid w:val="00C5068D"/>
    <w:rsid w:val="00C533CC"/>
    <w:rsid w:val="00C53FAB"/>
    <w:rsid w:val="00C62B85"/>
    <w:rsid w:val="00CC09B6"/>
    <w:rsid w:val="00CC51D6"/>
    <w:rsid w:val="00CE7B61"/>
    <w:rsid w:val="00DA444A"/>
    <w:rsid w:val="00DC410D"/>
    <w:rsid w:val="00DF3593"/>
    <w:rsid w:val="00E00A10"/>
    <w:rsid w:val="00E34066"/>
    <w:rsid w:val="00E82267"/>
    <w:rsid w:val="00EB1A43"/>
    <w:rsid w:val="00EC0AE5"/>
    <w:rsid w:val="00EC18AE"/>
    <w:rsid w:val="00ED1B63"/>
    <w:rsid w:val="00ED6EE8"/>
    <w:rsid w:val="00EF4C34"/>
    <w:rsid w:val="00F1361C"/>
    <w:rsid w:val="00F160C7"/>
    <w:rsid w:val="00F37D2D"/>
    <w:rsid w:val="00F8305E"/>
    <w:rsid w:val="00FC2478"/>
    <w:rsid w:val="00FC6000"/>
    <w:rsid w:val="00FF1E02"/>
    <w:rsid w:val="2A7C7D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Style w:val="5"/>
      <w:tblCellMar>
        <w:top w:w="0" w:type="dxa"/>
        <w:left w:w="108" w:type="dxa"/>
        <w:bottom w:w="0" w:type="dxa"/>
        <w:right w:w="108" w:type="dxa"/>
      </w:tblCellMar>
    </w:tblPr>
    <w:trPr>
      <w:wBefore w:w="0" w:type="dxa"/>
    </w:trPr>
  </w:style>
  <w:style w:type="paragraph" w:styleId="2">
    <w:name w:val="Body Text"/>
    <w:basedOn w:val="1"/>
    <w:link w:val="10"/>
    <w:uiPriority w:val="0"/>
    <w:pPr>
      <w:spacing w:before="93" w:beforeLines="30"/>
    </w:pPr>
    <w:rPr>
      <w:rFonts w:ascii="仿宋_GB2312" w:eastAsia="仿宋_GB2312"/>
      <w:kern w:val="0"/>
      <w:sz w:val="30"/>
    </w:rPr>
  </w:style>
  <w:style w:type="paragraph" w:styleId="3">
    <w:name w:val="footer"/>
    <w:basedOn w:val="1"/>
    <w:link w:val="9"/>
    <w:unhideWhenUsed/>
    <w:uiPriority w:val="99"/>
    <w:pPr>
      <w:tabs>
        <w:tab w:val="center" w:pos="4153"/>
        <w:tab w:val="right" w:pos="8306"/>
      </w:tabs>
      <w:snapToGrid w:val="0"/>
      <w:jc w:val="left"/>
    </w:pPr>
    <w:rPr>
      <w:rFonts w:ascii="Calibri" w:hAnsi="Calibri"/>
      <w:kern w:val="0"/>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character" w:styleId="7">
    <w:name w:val="Strong"/>
    <w:qFormat/>
    <w:uiPriority w:val="22"/>
    <w:rPr>
      <w:b/>
      <w:bCs/>
    </w:rPr>
  </w:style>
  <w:style w:type="character" w:customStyle="1" w:styleId="8">
    <w:name w:val="页眉 Char"/>
    <w:link w:val="4"/>
    <w:semiHidden/>
    <w:uiPriority w:val="99"/>
    <w:rPr>
      <w:sz w:val="18"/>
      <w:szCs w:val="18"/>
    </w:rPr>
  </w:style>
  <w:style w:type="character" w:customStyle="1" w:styleId="9">
    <w:name w:val="页脚 Char"/>
    <w:link w:val="3"/>
    <w:uiPriority w:val="99"/>
    <w:rPr>
      <w:sz w:val="18"/>
      <w:szCs w:val="18"/>
    </w:rPr>
  </w:style>
  <w:style w:type="character" w:customStyle="1" w:styleId="10">
    <w:name w:val="正文文本 Char"/>
    <w:link w:val="2"/>
    <w:uiPriority w:val="0"/>
    <w:rPr>
      <w:rFonts w:ascii="仿宋_GB2312" w:hAnsi="Times New Roman" w:eastAsia="仿宋_GB2312" w:cs="Times New Roman"/>
      <w:sz w:val="30"/>
      <w:szCs w:val="24"/>
    </w:rPr>
  </w:style>
  <w:style w:type="paragraph" w:customStyle="1" w:styleId="11">
    <w:name w:val="Default"/>
    <w:uiPriority w:val="0"/>
    <w:pPr>
      <w:widowControl w:val="0"/>
      <w:autoSpaceDE w:val="0"/>
      <w:autoSpaceDN w:val="0"/>
      <w:adjustRightInd w:val="0"/>
    </w:pPr>
    <w:rPr>
      <w:rFonts w:ascii="仿宋"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11</Pages>
  <Words>1064</Words>
  <Characters>6065</Characters>
  <Lines>50</Lines>
  <Paragraphs>14</Paragraphs>
  <TotalTime>0</TotalTime>
  <ScaleCrop>false</ScaleCrop>
  <LinksUpToDate>false</LinksUpToDate>
  <CharactersWithSpaces>7115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2017-08-07T01:48:00Z</dcterms:created>
  <dc:creator>张彬茜</dc:creator>
  <cp:lastModifiedBy>石林</cp:lastModifiedBy>
  <cp:lastPrinted>2017-08-03T09:26:00Z</cp:lastPrinted>
  <dcterms:modified xsi:type="dcterms:W3CDTF">2022-01-20T01:53:48Z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8E4C7C063BD14E67B58AA907D50FF473</vt:lpwstr>
  </property>
</Properties>
</file>