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13" w:firstLineChars="49"/>
        <w:rPr>
          <w:rFonts w:hint="eastAsia" w:ascii="方正小标宋简体" w:hAnsi="Times New Roman" w:eastAsia="方正小标宋简体" w:cs="Times New Roman"/>
          <w:color w:val="FF0000"/>
          <w:w w:val="50"/>
          <w:sz w:val="128"/>
          <w:lang w:eastAsia="zh-CN"/>
        </w:rPr>
      </w:pPr>
      <w:r>
        <w:rPr>
          <w:rFonts w:hint="eastAsia" w:ascii="方正小标宋简体" w:hAnsi="Times New Roman" w:eastAsia="方正小标宋简体" w:cs="Times New Roman"/>
          <w:color w:val="FF0000"/>
          <w:w w:val="50"/>
          <w:sz w:val="128"/>
          <w:lang w:eastAsia="zh-CN"/>
        </w:rPr>
        <w:t>盐边县疾病预防控制中心文件</w:t>
      </w:r>
    </w:p>
    <w:p>
      <w:pPr>
        <w:jc w:val="center"/>
        <w:rPr>
          <w:rFonts w:hint="eastAsia"/>
          <w:lang w:eastAsia="zh-CN"/>
        </w:rPr>
      </w:pPr>
    </w:p>
    <w:p>
      <w:pPr>
        <w:jc w:val="center"/>
        <w:rPr>
          <w:rFonts w:hint="eastAsia"/>
          <w:lang w:eastAsia="zh-CN"/>
        </w:rPr>
      </w:pPr>
    </w:p>
    <w:p>
      <w:pPr>
        <w:jc w:val="left"/>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8240" behindDoc="0" locked="0" layoutInCell="1" allowOverlap="1">
                <wp:simplePos x="0" y="0"/>
                <wp:positionH relativeFrom="column">
                  <wp:posOffset>-40005</wp:posOffset>
                </wp:positionH>
                <wp:positionV relativeFrom="paragraph">
                  <wp:posOffset>356870</wp:posOffset>
                </wp:positionV>
                <wp:extent cx="5656580" cy="0"/>
                <wp:effectExtent l="0" t="0" r="0" b="0"/>
                <wp:wrapNone/>
                <wp:docPr id="1" name="直接连接符 1"/>
                <wp:cNvGraphicFramePr/>
                <a:graphic xmlns:a="http://schemas.openxmlformats.org/drawingml/2006/main">
                  <a:graphicData uri="http://schemas.microsoft.com/office/word/2010/wordprocessingShape">
                    <wps:wsp>
                      <wps:cNvCnPr/>
                      <wps:spPr>
                        <a:xfrm>
                          <a:off x="1058545" y="2120900"/>
                          <a:ext cx="5656580" cy="0"/>
                        </a:xfrm>
                        <a:prstGeom prst="line">
                          <a:avLst/>
                        </a:prstGeom>
                        <a:ln w="12700" cmpd="sng">
                          <a:solidFill>
                            <a:srgbClr val="FF0000"/>
                          </a:solidFill>
                          <a:prstDash val="solid"/>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_x0000_s1026" o:spid="_x0000_s1026" o:spt="20" style="position:absolute;left:0pt;margin-left:-3.15pt;margin-top:28.1pt;height:0pt;width:445.4pt;z-index:251658240;mso-width-relative:page;mso-height-relative:page;" filled="f" stroked="t" coordsize="21600,21600" o:gfxdata="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9rj7XYAAAACAEAAA8AAAAAAAAAAQAgAAAAIgAAAGRycy9kb3ducmV2LnhtbFBLAQIU&#10;ABQAAAAIAIdO4kBJpBuo8wEAAL4DAAAOAAAAAAAAAAEAIAAAACcBAABkcnMvZTJvRG9jLnhtbFBL&#10;BQYAAAAABgAGAFkBAACMBQAAAAA=&#10;">
                <v:fill on="f" focussize="0,0"/>
                <v:stroke weight="1pt" color="#FF0000 [3205]" miterlimit="8" joinstyle="miter"/>
                <v:imagedata o:title=""/>
                <o:lock v:ext="edit" aspectratio="f"/>
              </v:line>
            </w:pict>
          </mc:Fallback>
        </mc:AlternateContent>
      </w:r>
      <w:r>
        <w:rPr>
          <w:rFonts w:hint="eastAsia" w:ascii="仿宋_GB2312" w:hAnsi="仿宋_GB2312" w:eastAsia="仿宋_GB2312" w:cs="仿宋_GB2312"/>
          <w:sz w:val="32"/>
          <w:szCs w:val="32"/>
          <w:lang w:eastAsia="zh-CN"/>
        </w:rPr>
        <w:t>盐边疾控</w:t>
      </w:r>
      <w:r>
        <w:rPr>
          <w:rFonts w:hint="eastAsia" w:ascii="仿宋_GB2312" w:hAnsi="仿宋_GB2312" w:eastAsia="仿宋_GB2312" w:cs="仿宋_GB2312"/>
          <w:sz w:val="32"/>
          <w:szCs w:val="32"/>
          <w:lang w:val="en-US" w:eastAsia="zh-CN"/>
        </w:rPr>
        <w:t>〔2021〕13</w:t>
      </w:r>
      <w:bookmarkStart w:id="0" w:name="_GoBack"/>
      <w:bookmarkEnd w:id="0"/>
      <w:r>
        <w:rPr>
          <w:rFonts w:hint="eastAsia" w:ascii="仿宋_GB2312" w:hAnsi="仿宋_GB2312" w:eastAsia="仿宋_GB2312" w:cs="仿宋_GB2312"/>
          <w:sz w:val="32"/>
          <w:szCs w:val="32"/>
          <w:lang w:val="en-US" w:eastAsia="zh-CN"/>
        </w:rPr>
        <w:t>7号                    签发人：安顺兵</w:t>
      </w:r>
    </w:p>
    <w:p>
      <w:pPr>
        <w:jc w:val="both"/>
        <w:rPr>
          <w:rFonts w:hint="eastAsia" w:ascii="方正仿宋_GBK" w:hAnsi="方正仿宋_GBK" w:eastAsia="方正仿宋_GBK" w:cs="方正仿宋_GBK"/>
          <w:sz w:val="32"/>
          <w:szCs w:val="32"/>
          <w:lang w:val="en-US" w:eastAsia="zh-CN"/>
        </w:rPr>
      </w:pPr>
    </w:p>
    <w:p>
      <w:pPr>
        <w:jc w:val="both"/>
        <w:rPr>
          <w:rFonts w:hint="eastAsia" w:ascii="方正仿宋_GBK" w:hAnsi="方正仿宋_GBK" w:eastAsia="方正仿宋_GBK" w:cs="方正仿宋_GBK"/>
          <w:sz w:val="32"/>
          <w:szCs w:val="32"/>
          <w:lang w:val="en-US" w:eastAsia="zh-CN"/>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盐边县疾病预防控制中心职业病防治</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hint="eastAsia"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eastAsia="仿宋_GB2312"/>
          <w:sz w:val="32"/>
          <w:szCs w:val="32"/>
        </w:rPr>
      </w:pPr>
      <w:r>
        <w:rPr>
          <w:rFonts w:hint="eastAsia" w:eastAsia="仿宋_GB2312"/>
          <w:sz w:val="32"/>
          <w:szCs w:val="32"/>
        </w:rPr>
        <w:t>开展重点行业职业病危害因素种类、职业暴露人群分布和接触水平等职业危害现状调查。开展用人单位工作场所存在的职业病危害因素种类及接触粉尘、化学毒物、物理因素和其他因素的劳动者数量及主要岗位分布等情况项目调查。开展用人单位工作场所职业危害因素现场检测。建立完善我县职业病危害现状数据库，为进一步加强职业病防治工作提供基础依据。</w:t>
      </w:r>
    </w:p>
    <w:p>
      <w:pPr>
        <w:spacing w:line="560" w:lineRule="exact"/>
        <w:ind w:firstLine="640" w:firstLineChars="200"/>
        <w:rPr>
          <w:rFonts w:hint="eastAsia"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根据攀财资社[2019]139号职业病防治经费文件，2020年度盐边县疾控中心职业病防治经费金额为50000元。</w:t>
      </w:r>
    </w:p>
    <w:p>
      <w:pPr>
        <w:spacing w:line="560" w:lineRule="exact"/>
        <w:ind w:firstLine="640" w:firstLineChars="200"/>
        <w:rPr>
          <w:rFonts w:hint="eastAsia" w:eastAsia="仿宋_GB2312"/>
          <w:sz w:val="32"/>
          <w:szCs w:val="32"/>
        </w:rPr>
      </w:pPr>
      <w:r>
        <w:rPr>
          <w:rFonts w:eastAsia="仿宋_GB2312"/>
          <w:sz w:val="32"/>
          <w:szCs w:val="32"/>
        </w:rPr>
        <w:t>3.资金管理办法制定情况，资金支持具体项目的条件、范围与支持方式概况。</w:t>
      </w:r>
    </w:p>
    <w:p>
      <w:pPr>
        <w:ind w:firstLine="660" w:firstLineChars="200"/>
        <w:rPr>
          <w:rFonts w:eastAsia="方正仿宋_GBK"/>
          <w:color w:val="000000"/>
          <w:sz w:val="33"/>
          <w:szCs w:val="33"/>
        </w:rPr>
      </w:pPr>
      <w:r>
        <w:rPr>
          <w:rFonts w:hint="eastAsia" w:eastAsia="方正仿宋_GBK"/>
          <w:color w:val="000000"/>
          <w:sz w:val="33"/>
          <w:szCs w:val="33"/>
        </w:rPr>
        <w:t>中心</w:t>
      </w:r>
      <w:r>
        <w:rPr>
          <w:rFonts w:eastAsia="方正仿宋_GBK"/>
          <w:color w:val="000000"/>
          <w:sz w:val="33"/>
          <w:szCs w:val="33"/>
        </w:rPr>
        <w:t>对每笔项目经费的支出都做出了相应要求，并上</w:t>
      </w:r>
      <w:r>
        <w:rPr>
          <w:rFonts w:hint="eastAsia" w:eastAsia="方正仿宋_GBK"/>
          <w:color w:val="000000"/>
          <w:sz w:val="33"/>
          <w:szCs w:val="33"/>
        </w:rPr>
        <w:t>领导班子</w:t>
      </w:r>
      <w:r>
        <w:rPr>
          <w:rFonts w:eastAsia="方正仿宋_GBK"/>
          <w:color w:val="000000"/>
          <w:sz w:val="33"/>
          <w:szCs w:val="33"/>
        </w:rPr>
        <w:t>会讨论通过，有会议纪要作为支撑。</w:t>
      </w:r>
    </w:p>
    <w:p>
      <w:pPr>
        <w:spacing w:line="560" w:lineRule="exact"/>
        <w:ind w:firstLine="640" w:firstLineChars="200"/>
        <w:rPr>
          <w:rFonts w:hint="eastAsia"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全部经费用于职业病防治。</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pacing w:line="560" w:lineRule="exact"/>
        <w:ind w:firstLine="640" w:firstLineChars="200"/>
        <w:rPr>
          <w:rFonts w:eastAsia="仿宋_GB2312"/>
          <w:sz w:val="32"/>
          <w:szCs w:val="32"/>
        </w:rPr>
      </w:pPr>
      <w:r>
        <w:rPr>
          <w:rFonts w:hint="eastAsia" w:eastAsia="仿宋_GB2312"/>
          <w:sz w:val="32"/>
          <w:szCs w:val="32"/>
        </w:rPr>
        <w:t>开展重点行业用人单位工作场所职业病危害因素项目调查及工作场所职业病危害因素现场检测和重点行业用人单位职业病危害现状调查。</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autoSpaceDE w:val="0"/>
        <w:autoSpaceDN w:val="0"/>
        <w:adjustRightInd w:val="0"/>
        <w:spacing w:line="560" w:lineRule="exact"/>
        <w:ind w:firstLine="640" w:firstLineChars="200"/>
        <w:jc w:val="left"/>
        <w:rPr>
          <w:rFonts w:eastAsia="仿宋_GB2312"/>
          <w:sz w:val="32"/>
          <w:szCs w:val="32"/>
        </w:rPr>
      </w:pPr>
      <w:r>
        <w:rPr>
          <w:rFonts w:hint="eastAsia" w:eastAsia="仿宋_GB2312"/>
          <w:sz w:val="32"/>
          <w:szCs w:val="32"/>
        </w:rPr>
        <w:t>工作场所职业病危害因素项目调查：调查24家企业，完成率100%，于2020年11月20日前完成。</w:t>
      </w:r>
    </w:p>
    <w:p>
      <w:pPr>
        <w:autoSpaceDE w:val="0"/>
        <w:autoSpaceDN w:val="0"/>
        <w:adjustRightInd w:val="0"/>
        <w:spacing w:line="560" w:lineRule="exact"/>
        <w:ind w:firstLine="640" w:firstLineChars="200"/>
        <w:jc w:val="left"/>
        <w:rPr>
          <w:rFonts w:eastAsia="仿宋_GB2312"/>
          <w:sz w:val="32"/>
          <w:szCs w:val="32"/>
        </w:rPr>
      </w:pPr>
      <w:r>
        <w:rPr>
          <w:rFonts w:hint="eastAsia" w:eastAsia="仿宋_GB2312"/>
          <w:sz w:val="32"/>
          <w:szCs w:val="32"/>
        </w:rPr>
        <w:t>工作场所职业病危害因素现场检测：检测24家企业，完成率100%，于2020年11月20日前完成。</w:t>
      </w:r>
    </w:p>
    <w:p>
      <w:pPr>
        <w:autoSpaceDE w:val="0"/>
        <w:autoSpaceDN w:val="0"/>
        <w:adjustRightInd w:val="0"/>
        <w:spacing w:line="560" w:lineRule="exact"/>
        <w:ind w:firstLine="640" w:firstLineChars="200"/>
        <w:jc w:val="left"/>
        <w:rPr>
          <w:rFonts w:eastAsia="仿宋_GB2312"/>
          <w:sz w:val="32"/>
          <w:szCs w:val="32"/>
        </w:rPr>
      </w:pPr>
      <w:r>
        <w:rPr>
          <w:rFonts w:hint="eastAsia" w:eastAsia="仿宋_GB2312"/>
          <w:sz w:val="32"/>
          <w:szCs w:val="32"/>
        </w:rPr>
        <w:t>用人单位职业病危害现状调查：调查13家企业，完成率100%，于2020年10月30日前完成。</w:t>
      </w:r>
    </w:p>
    <w:p>
      <w:pPr>
        <w:spacing w:line="560" w:lineRule="exact"/>
        <w:ind w:firstLine="640" w:firstLineChars="200"/>
        <w:rPr>
          <w:rFonts w:eastAsia="仿宋_GB2312"/>
          <w:sz w:val="32"/>
          <w:szCs w:val="32"/>
        </w:rPr>
      </w:pPr>
      <w:r>
        <w:rPr>
          <w:rFonts w:hint="eastAsia" w:eastAsia="仿宋_GB2312"/>
          <w:sz w:val="32"/>
          <w:szCs w:val="32"/>
        </w:rPr>
        <w:t>3.分析评价申报内容是否与实际相符，申报目标是否合理可行。</w:t>
      </w:r>
    </w:p>
    <w:p>
      <w:pPr>
        <w:autoSpaceDE w:val="0"/>
        <w:autoSpaceDN w:val="0"/>
        <w:adjustRightInd w:val="0"/>
        <w:spacing w:line="560" w:lineRule="exact"/>
        <w:ind w:firstLine="640" w:firstLineChars="200"/>
        <w:jc w:val="left"/>
        <w:rPr>
          <w:rFonts w:eastAsia="仿宋_GB2312"/>
          <w:sz w:val="32"/>
          <w:szCs w:val="32"/>
        </w:rPr>
      </w:pPr>
      <w:r>
        <w:rPr>
          <w:rFonts w:eastAsia="仿宋_GB2312"/>
          <w:sz w:val="32"/>
          <w:szCs w:val="32"/>
        </w:rPr>
        <w:t>按照省、市印发的</w:t>
      </w:r>
      <w:r>
        <w:rPr>
          <w:rFonts w:hint="eastAsia" w:eastAsia="仿宋_GB2312"/>
          <w:sz w:val="32"/>
          <w:szCs w:val="32"/>
        </w:rPr>
        <w:t>2020年职业病防治项目工作方案及职业病危害现状调查实施方案要求，结合实际分解细化目标任务，确保了任务全面完成</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60" w:firstLineChars="200"/>
        <w:rPr>
          <w:rFonts w:eastAsia="仿宋_GB2312"/>
          <w:sz w:val="32"/>
          <w:szCs w:val="32"/>
        </w:rPr>
      </w:pPr>
      <w:r>
        <w:rPr>
          <w:rFonts w:hint="eastAsia" w:eastAsia="方正仿宋_GBK"/>
          <w:color w:val="000000"/>
          <w:sz w:val="33"/>
          <w:szCs w:val="33"/>
        </w:rPr>
        <w:t>疾控中心</w:t>
      </w:r>
      <w:r>
        <w:rPr>
          <w:rFonts w:eastAsia="方正仿宋_GBK"/>
          <w:color w:val="000000"/>
          <w:sz w:val="33"/>
          <w:szCs w:val="33"/>
        </w:rPr>
        <w:t>按照</w:t>
      </w:r>
      <w:r>
        <w:rPr>
          <w:rFonts w:hint="eastAsia" w:eastAsia="方正仿宋_GBK"/>
          <w:color w:val="000000"/>
          <w:sz w:val="33"/>
          <w:szCs w:val="33"/>
        </w:rPr>
        <w:t>上级</w:t>
      </w:r>
      <w:r>
        <w:rPr>
          <w:rFonts w:eastAsia="方正仿宋_GBK"/>
          <w:color w:val="000000"/>
          <w:sz w:val="33"/>
          <w:szCs w:val="33"/>
        </w:rPr>
        <w:t>要求，认真核对</w:t>
      </w:r>
      <w:r>
        <w:rPr>
          <w:rFonts w:hint="eastAsia" w:eastAsia="方正仿宋_GBK"/>
          <w:color w:val="000000"/>
          <w:sz w:val="33"/>
          <w:szCs w:val="33"/>
        </w:rPr>
        <w:t>该</w:t>
      </w:r>
      <w:r>
        <w:rPr>
          <w:rFonts w:eastAsia="方正仿宋_GBK"/>
          <w:color w:val="000000"/>
          <w:sz w:val="33"/>
          <w:szCs w:val="33"/>
        </w:rPr>
        <w:t>项目资金，并造册管理，每年对各基层医疗卫生机构财务人员进行财经纪律上的培训，保障项目专款专用。</w:t>
      </w:r>
      <w:r>
        <w:rPr>
          <w:rFonts w:eastAsia="仿宋_GB2312"/>
          <w:color w:val="000000"/>
          <w:spacing w:val="-2"/>
          <w:sz w:val="33"/>
          <w:szCs w:val="33"/>
        </w:rPr>
        <w:t>坚持兼顾公平、多劳多得、优劳优得的原则。</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autoSpaceDE w:val="0"/>
        <w:autoSpaceDN w:val="0"/>
        <w:adjustRightInd w:val="0"/>
        <w:spacing w:line="560" w:lineRule="exact"/>
        <w:ind w:firstLine="660" w:firstLineChars="200"/>
        <w:jc w:val="left"/>
        <w:rPr>
          <w:rFonts w:eastAsia="仿宋_GB2312"/>
          <w:color w:val="000000"/>
          <w:kern w:val="0"/>
          <w:sz w:val="33"/>
          <w:szCs w:val="33"/>
        </w:rPr>
      </w:pPr>
      <w:r>
        <w:rPr>
          <w:rFonts w:hint="eastAsia" w:eastAsia="仿宋_GB2312"/>
          <w:color w:val="000000"/>
          <w:kern w:val="0"/>
          <w:sz w:val="33"/>
          <w:szCs w:val="33"/>
        </w:rPr>
        <w:t>疫情防控项目</w:t>
      </w:r>
      <w:r>
        <w:rPr>
          <w:rFonts w:eastAsia="仿宋_GB2312"/>
          <w:color w:val="000000"/>
          <w:kern w:val="0"/>
          <w:sz w:val="33"/>
          <w:szCs w:val="33"/>
        </w:rPr>
        <w:t>资金</w:t>
      </w:r>
      <w:r>
        <w:rPr>
          <w:rFonts w:hint="eastAsia" w:eastAsia="仿宋_GB2312"/>
          <w:color w:val="000000"/>
          <w:kern w:val="0"/>
          <w:sz w:val="33"/>
          <w:szCs w:val="33"/>
        </w:rPr>
        <w:t>由盐边县疾控中心组织</w:t>
      </w:r>
      <w:r>
        <w:rPr>
          <w:rFonts w:eastAsia="仿宋_GB2312"/>
          <w:color w:val="000000"/>
          <w:kern w:val="0"/>
          <w:sz w:val="33"/>
          <w:szCs w:val="33"/>
        </w:rPr>
        <w:t>申报、</w:t>
      </w:r>
      <w:r>
        <w:rPr>
          <w:rFonts w:hint="eastAsia" w:eastAsia="仿宋_GB2312"/>
          <w:color w:val="000000"/>
          <w:kern w:val="0"/>
          <w:sz w:val="33"/>
          <w:szCs w:val="33"/>
        </w:rPr>
        <w:t>县财政根据实际情况予以</w:t>
      </w:r>
      <w:r>
        <w:rPr>
          <w:rFonts w:eastAsia="仿宋_GB2312"/>
          <w:color w:val="000000"/>
          <w:kern w:val="0"/>
          <w:sz w:val="33"/>
          <w:szCs w:val="33"/>
        </w:rPr>
        <w:t>批复及</w:t>
      </w:r>
      <w:r>
        <w:rPr>
          <w:rFonts w:hint="eastAsia" w:eastAsia="仿宋_GB2312"/>
          <w:color w:val="000000"/>
          <w:kern w:val="0"/>
          <w:sz w:val="33"/>
          <w:szCs w:val="33"/>
        </w:rPr>
        <w:t>进行</w:t>
      </w:r>
      <w:r>
        <w:rPr>
          <w:rFonts w:eastAsia="仿宋_GB2312"/>
          <w:color w:val="000000"/>
          <w:kern w:val="0"/>
          <w:sz w:val="33"/>
          <w:szCs w:val="33"/>
        </w:rPr>
        <w:t>预算调整。</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0" w:firstLineChars="200"/>
        <w:rPr>
          <w:rFonts w:hint="eastAsia" w:eastAsia="仿宋_GB2312"/>
          <w:sz w:val="32"/>
          <w:szCs w:val="32"/>
        </w:rPr>
      </w:pPr>
      <w:r>
        <w:rPr>
          <w:rFonts w:hint="eastAsia" w:eastAsia="仿宋_GB2312"/>
          <w:sz w:val="32"/>
          <w:szCs w:val="32"/>
        </w:rPr>
        <w:t>1.资金计划。</w:t>
      </w:r>
    </w:p>
    <w:p>
      <w:pPr>
        <w:spacing w:line="560" w:lineRule="exact"/>
        <w:ind w:firstLine="640" w:firstLineChars="200"/>
        <w:rPr>
          <w:rFonts w:hint="eastAsia" w:eastAsia="仿宋_GB2312"/>
          <w:sz w:val="32"/>
          <w:szCs w:val="32"/>
        </w:rPr>
      </w:pPr>
      <w:r>
        <w:rPr>
          <w:rFonts w:hint="eastAsia" w:eastAsia="仿宋_GB2312"/>
          <w:sz w:val="32"/>
          <w:szCs w:val="32"/>
        </w:rPr>
        <w:t>县级财政资金下达50000元。</w:t>
      </w:r>
    </w:p>
    <w:p>
      <w:pPr>
        <w:spacing w:line="560" w:lineRule="exact"/>
        <w:ind w:firstLine="640" w:firstLineChars="200"/>
        <w:rPr>
          <w:rFonts w:hint="eastAsia" w:eastAsia="仿宋_GB2312"/>
          <w:sz w:val="32"/>
          <w:szCs w:val="32"/>
        </w:rPr>
      </w:pPr>
      <w:r>
        <w:rPr>
          <w:rFonts w:hint="eastAsia" w:eastAsia="仿宋_GB2312"/>
          <w:sz w:val="32"/>
          <w:szCs w:val="32"/>
        </w:rPr>
        <w:t>2.资金到位。</w:t>
      </w:r>
    </w:p>
    <w:p>
      <w:pPr>
        <w:spacing w:line="560" w:lineRule="exact"/>
        <w:ind w:firstLine="640" w:firstLineChars="200"/>
        <w:rPr>
          <w:rFonts w:hint="eastAsia" w:eastAsia="仿宋_GB2312"/>
          <w:sz w:val="32"/>
          <w:szCs w:val="32"/>
        </w:rPr>
      </w:pPr>
      <w:r>
        <w:rPr>
          <w:rFonts w:hint="eastAsia" w:eastAsia="仿宋_GB2312"/>
          <w:sz w:val="32"/>
          <w:szCs w:val="32"/>
        </w:rPr>
        <w:t>2020年到达职业病防治项目资金50000元，与计划资金相符，资金到位率100％。</w:t>
      </w:r>
    </w:p>
    <w:p>
      <w:pPr>
        <w:spacing w:line="560" w:lineRule="exact"/>
        <w:ind w:firstLine="640" w:firstLineChars="200"/>
        <w:rPr>
          <w:rFonts w:hint="eastAsia" w:eastAsia="仿宋_GB2312"/>
          <w:sz w:val="32"/>
          <w:szCs w:val="32"/>
        </w:rPr>
      </w:pPr>
      <w:r>
        <w:rPr>
          <w:rFonts w:hint="eastAsia" w:eastAsia="仿宋_GB2312"/>
          <w:sz w:val="32"/>
          <w:szCs w:val="32"/>
        </w:rPr>
        <w:t>3.资金使用。</w:t>
      </w:r>
    </w:p>
    <w:p>
      <w:pPr>
        <w:spacing w:line="560" w:lineRule="exact"/>
        <w:ind w:firstLine="640" w:firstLineChars="200"/>
        <w:rPr>
          <w:rFonts w:eastAsia="仿宋_GB2312"/>
          <w:sz w:val="32"/>
          <w:szCs w:val="32"/>
        </w:rPr>
      </w:pPr>
      <w:r>
        <w:rPr>
          <w:rFonts w:hint="eastAsia" w:eastAsia="仿宋_GB2312"/>
          <w:sz w:val="32"/>
          <w:szCs w:val="32"/>
        </w:rPr>
        <w:t>2020年9月全部资金用于职业病危害因素监测委托服务费。</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60" w:firstLineChars="200"/>
        <w:rPr>
          <w:rFonts w:eastAsia="方正仿宋_GBK"/>
          <w:color w:val="000000"/>
          <w:sz w:val="33"/>
          <w:szCs w:val="33"/>
        </w:rPr>
      </w:pPr>
      <w:r>
        <w:rPr>
          <w:rFonts w:hint="eastAsia" w:eastAsia="方正仿宋_GBK"/>
          <w:color w:val="000000"/>
          <w:sz w:val="33"/>
          <w:szCs w:val="33"/>
        </w:rPr>
        <w:t>中心</w:t>
      </w:r>
      <w:r>
        <w:rPr>
          <w:rFonts w:eastAsia="方正仿宋_GBK"/>
          <w:color w:val="000000"/>
          <w:sz w:val="33"/>
          <w:szCs w:val="33"/>
        </w:rPr>
        <w:t>财务管理制度健全，严格执行财务管理制度，及时账务处理，会计核算</w:t>
      </w:r>
      <w:r>
        <w:rPr>
          <w:rFonts w:hint="eastAsia" w:eastAsia="方正仿宋_GBK"/>
          <w:color w:val="000000"/>
          <w:sz w:val="33"/>
          <w:szCs w:val="33"/>
        </w:rPr>
        <w:t>规范，及时完成财务年报。</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pStyle w:val="11"/>
        <w:numPr>
          <w:ilvl w:val="0"/>
          <w:numId w:val="1"/>
        </w:numPr>
        <w:spacing w:line="560" w:lineRule="exact"/>
        <w:ind w:firstLineChars="0"/>
        <w:rPr>
          <w:rFonts w:hint="eastAsia" w:eastAsia="楷体_GB2312"/>
          <w:sz w:val="32"/>
          <w:szCs w:val="32"/>
        </w:rPr>
      </w:pPr>
      <w:r>
        <w:rPr>
          <w:rFonts w:eastAsia="楷体_GB2312"/>
          <w:sz w:val="32"/>
          <w:szCs w:val="32"/>
        </w:rPr>
        <w:t>项目组织架构及实施流程。</w:t>
      </w:r>
    </w:p>
    <w:p>
      <w:pPr>
        <w:spacing w:line="560" w:lineRule="exact"/>
        <w:ind w:firstLine="640" w:firstLineChars="200"/>
        <w:rPr>
          <w:rFonts w:eastAsia="仿宋_GB2312"/>
          <w:sz w:val="32"/>
          <w:szCs w:val="32"/>
        </w:rPr>
      </w:pPr>
      <w:r>
        <w:rPr>
          <w:rFonts w:hint="eastAsia" w:eastAsia="仿宋_GB2312"/>
          <w:sz w:val="32"/>
          <w:szCs w:val="32"/>
        </w:rPr>
        <w:t>职业病防治项目时间是2020年1月至12月，盐边县疾控中心按照上级要求对照单位实际情况支出职业病防治相关费用。</w:t>
      </w:r>
    </w:p>
    <w:p>
      <w:pPr>
        <w:pStyle w:val="11"/>
        <w:numPr>
          <w:ilvl w:val="0"/>
          <w:numId w:val="1"/>
        </w:numPr>
        <w:spacing w:line="560" w:lineRule="exact"/>
        <w:ind w:firstLineChars="0"/>
        <w:rPr>
          <w:rFonts w:hint="eastAsia" w:eastAsia="楷体_GB2312"/>
          <w:sz w:val="32"/>
          <w:szCs w:val="32"/>
        </w:rPr>
      </w:pPr>
      <w:r>
        <w:rPr>
          <w:rFonts w:eastAsia="楷体_GB2312"/>
          <w:sz w:val="32"/>
          <w:szCs w:val="32"/>
        </w:rPr>
        <w:t>项目管理情况。</w:t>
      </w:r>
    </w:p>
    <w:p>
      <w:pPr>
        <w:spacing w:line="560" w:lineRule="exact"/>
        <w:ind w:firstLine="640" w:firstLineChars="200"/>
        <w:rPr>
          <w:rFonts w:eastAsia="仿宋_GB2312"/>
          <w:sz w:val="32"/>
          <w:szCs w:val="32"/>
        </w:rPr>
      </w:pPr>
      <w:r>
        <w:rPr>
          <w:rFonts w:hint="eastAsia" w:eastAsia="仿宋_GB2312"/>
          <w:sz w:val="32"/>
          <w:szCs w:val="32"/>
        </w:rPr>
        <w:t>执行单位遵守相关法律法规及项目管理制度。</w:t>
      </w:r>
    </w:p>
    <w:p>
      <w:pPr>
        <w:pStyle w:val="11"/>
        <w:numPr>
          <w:ilvl w:val="0"/>
          <w:numId w:val="1"/>
        </w:numPr>
        <w:spacing w:line="560" w:lineRule="exact"/>
        <w:ind w:firstLineChars="0"/>
        <w:rPr>
          <w:rFonts w:hint="eastAsia" w:eastAsia="楷体_GB2312"/>
          <w:sz w:val="32"/>
          <w:szCs w:val="32"/>
        </w:rPr>
      </w:pPr>
      <w:r>
        <w:rPr>
          <w:rFonts w:eastAsia="楷体_GB2312"/>
          <w:sz w:val="32"/>
          <w:szCs w:val="32"/>
        </w:rPr>
        <w:t>项目监管情况。</w:t>
      </w:r>
    </w:p>
    <w:p>
      <w:pPr>
        <w:spacing w:line="560" w:lineRule="exact"/>
        <w:ind w:firstLine="640" w:firstLineChars="200"/>
        <w:rPr>
          <w:rFonts w:hint="eastAsia" w:eastAsia="仿宋_GB2312"/>
          <w:sz w:val="32"/>
          <w:szCs w:val="32"/>
        </w:rPr>
      </w:pPr>
      <w:r>
        <w:rPr>
          <w:rFonts w:hint="eastAsia" w:eastAsia="仿宋_GB2312"/>
          <w:sz w:val="32"/>
          <w:szCs w:val="32"/>
        </w:rPr>
        <w:t>盐边县疾控中心对用于职业病危害因素监测委托服务费，进行全程跟踪监管。</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color w:val="000000" w:themeColor="text1"/>
          <w:sz w:val="32"/>
          <w:szCs w:val="32"/>
          <w14:textFill>
            <w14:solidFill>
              <w14:schemeClr w14:val="tx1"/>
            </w14:solidFill>
          </w14:textFill>
        </w:rPr>
      </w:pPr>
      <w:r>
        <w:rPr>
          <w:rFonts w:eastAsia="楷体_GB2312"/>
          <w:color w:val="000000" w:themeColor="text1"/>
          <w:sz w:val="32"/>
          <w:szCs w:val="32"/>
          <w14:textFill>
            <w14:solidFill>
              <w14:schemeClr w14:val="tx1"/>
            </w14:solidFill>
          </w14:textFill>
        </w:rPr>
        <w:t>（一）项目完成情况。</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1.工作场所职业病危害因素项目调查：应调查24家企业，实调查24家企业，完成率100%，在要求时限内完成。</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2.工作场所职业病危害因素现场检测：应检测24家企业，实检测24家企业，完成率100%，在要求时限内完成。</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3.用人单位职业病危害现状调查：应调查13家企业，实调查14家企业，完成率107.69%，在要求时限内完成。</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按照职业病防治项目工作方案要求：不具备开展用人单位工作场所职业病危害因素现场检测相关资质的疾控中心委托具备相关资质的第三方检测机构开展现场检测。我中心不具备相关资质，故委托具备相应资质的四川劳研科技有限公司开展我县工作场所职业病危害因素现场检测任务，下拨的项目经费全部用于支付委托检测费。</w:t>
      </w:r>
    </w:p>
    <w:p>
      <w:pPr>
        <w:spacing w:line="560" w:lineRule="exact"/>
        <w:ind w:firstLine="640" w:firstLineChars="200"/>
        <w:rPr>
          <w:rFonts w:eastAsia="楷体_GB2312"/>
          <w:color w:val="000000" w:themeColor="text1"/>
          <w:sz w:val="32"/>
          <w:szCs w:val="32"/>
          <w14:textFill>
            <w14:solidFill>
              <w14:schemeClr w14:val="tx1"/>
            </w14:solidFill>
          </w14:textFill>
        </w:rPr>
      </w:pPr>
      <w:r>
        <w:rPr>
          <w:rFonts w:eastAsia="楷体_GB2312"/>
          <w:color w:val="000000" w:themeColor="text1"/>
          <w:sz w:val="32"/>
          <w:szCs w:val="32"/>
          <w14:textFill>
            <w14:solidFill>
              <w14:schemeClr w14:val="tx1"/>
            </w14:solidFill>
          </w14:textFill>
        </w:rPr>
        <w:t>（二）项目效益情况。</w:t>
      </w:r>
    </w:p>
    <w:p>
      <w:pPr>
        <w:spacing w:line="560" w:lineRule="exact"/>
        <w:ind w:firstLine="640" w:firstLineChars="200"/>
        <w:rPr>
          <w:rFonts w:eastAsia="仿宋_GB2312"/>
          <w:sz w:val="32"/>
          <w:szCs w:val="32"/>
        </w:rPr>
      </w:pPr>
      <w:r>
        <w:rPr>
          <w:rFonts w:hint="eastAsia" w:eastAsia="仿宋_GB2312"/>
          <w:color w:val="000000" w:themeColor="text1"/>
          <w:sz w:val="32"/>
          <w:szCs w:val="32"/>
          <w14:textFill>
            <w14:solidFill>
              <w14:schemeClr w14:val="tx1"/>
            </w14:solidFill>
          </w14:textFill>
        </w:rPr>
        <w:t>通过开展重点行业职业病危害现状调查、用人单位工作场所职业病危害因素项目调查和现场检测，了解我县重点行业职业病危害因素种类、职业暴露人群分布和接触水平等情</w:t>
      </w:r>
      <w:r>
        <w:rPr>
          <w:rFonts w:hint="eastAsia" w:eastAsia="仿宋_GB2312"/>
          <w:sz w:val="32"/>
          <w:szCs w:val="32"/>
        </w:rPr>
        <w:t>况，掌握我县重点行业职业病危害现状，研究分析不同规模、不同类型的用人单位工作场所中职业病危害因素分布及浓度（强度）水平，评估职业病危害因素暴露对劳动者健康的影响，为监管执法、研究制修订职业病防治法规、标准和政策措施提供科学依据。</w:t>
      </w:r>
    </w:p>
    <w:p>
      <w:pPr>
        <w:spacing w:line="560" w:lineRule="exact"/>
        <w:ind w:firstLine="640" w:firstLineChars="200"/>
        <w:rPr>
          <w:rFonts w:eastAsia="黑体"/>
          <w:color w:val="000000" w:themeColor="text1"/>
          <w:sz w:val="32"/>
          <w:szCs w:val="32"/>
          <w14:textFill>
            <w14:solidFill>
              <w14:schemeClr w14:val="tx1"/>
            </w14:solidFill>
          </w14:textFill>
        </w:rPr>
      </w:pPr>
      <w:r>
        <w:rPr>
          <w:rFonts w:eastAsia="黑体"/>
          <w:color w:val="000000" w:themeColor="text1"/>
          <w:sz w:val="32"/>
          <w:szCs w:val="32"/>
          <w14:textFill>
            <w14:solidFill>
              <w14:schemeClr w14:val="tx1"/>
            </w14:solidFill>
          </w14:textFill>
        </w:rPr>
        <w:t>五、评价结论及建议</w:t>
      </w:r>
    </w:p>
    <w:p>
      <w:pPr>
        <w:spacing w:line="560" w:lineRule="exact"/>
        <w:ind w:firstLine="640" w:firstLineChars="200"/>
        <w:rPr>
          <w:rFonts w:eastAsia="楷体_GB2312"/>
          <w:color w:val="000000" w:themeColor="text1"/>
          <w:sz w:val="32"/>
          <w:szCs w:val="32"/>
          <w14:textFill>
            <w14:solidFill>
              <w14:schemeClr w14:val="tx1"/>
            </w14:solidFill>
          </w14:textFill>
        </w:rPr>
      </w:pPr>
      <w:r>
        <w:rPr>
          <w:rFonts w:eastAsia="楷体_GB2312"/>
          <w:color w:val="000000" w:themeColor="text1"/>
          <w:sz w:val="32"/>
          <w:szCs w:val="32"/>
          <w14:textFill>
            <w14:solidFill>
              <w14:schemeClr w14:val="tx1"/>
            </w14:solidFill>
          </w14:textFill>
        </w:rPr>
        <w:t>（一）评价结论。</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2020年职业病防治工作有序进行并逐步走上正轨，工作能力得到提升，用人单位及接害职工健康意识得到进一步增强，满意度逐步提高，获得感不断增强。项目总体指标圆满完成，达到评价指标和预期值。</w:t>
      </w:r>
    </w:p>
    <w:p>
      <w:pPr>
        <w:spacing w:line="560" w:lineRule="exact"/>
        <w:ind w:firstLine="640" w:firstLineChars="200"/>
        <w:rPr>
          <w:rFonts w:eastAsia="楷体_GB2312"/>
          <w:color w:val="000000" w:themeColor="text1"/>
          <w:sz w:val="32"/>
          <w:szCs w:val="32"/>
          <w14:textFill>
            <w14:solidFill>
              <w14:schemeClr w14:val="tx1"/>
            </w14:solidFill>
          </w14:textFill>
        </w:rPr>
      </w:pPr>
      <w:r>
        <w:rPr>
          <w:rFonts w:eastAsia="楷体_GB2312"/>
          <w:color w:val="000000" w:themeColor="text1"/>
          <w:sz w:val="32"/>
          <w:szCs w:val="32"/>
          <w14:textFill>
            <w14:solidFill>
              <w14:schemeClr w14:val="tx1"/>
            </w14:solidFill>
          </w14:textFill>
        </w:rPr>
        <w:t>（二）存在的问题。</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1.资金下拨迟缓、不足。项目资金不能及时拨付到项目实施单位，拨付资金也不足，没有发挥专项资金的高效率作用，不利于项目的实施。</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2.人员配置不足。疾控中心卫生监测科人员配置不足，1人身兼五大卫生监测工作，导致项目工作前期进度迟缓，后期追赶，工作质量不太高。</w:t>
      </w:r>
      <w:r>
        <w:rPr>
          <w:rFonts w:eastAsia="仿宋_GB2312"/>
          <w:color w:val="000000" w:themeColor="text1"/>
          <w:sz w:val="32"/>
          <w:szCs w:val="32"/>
          <w14:textFill>
            <w14:solidFill>
              <w14:schemeClr w14:val="tx1"/>
            </w14:solidFill>
          </w14:textFill>
        </w:rPr>
        <w:tab/>
      </w:r>
    </w:p>
    <w:p>
      <w:pPr>
        <w:spacing w:line="560" w:lineRule="exact"/>
        <w:ind w:firstLine="640" w:firstLineChars="200"/>
        <w:rPr>
          <w:rFonts w:eastAsia="楷体_GB2312"/>
          <w:color w:val="000000" w:themeColor="text1"/>
          <w:sz w:val="32"/>
          <w:szCs w:val="32"/>
          <w14:textFill>
            <w14:solidFill>
              <w14:schemeClr w14:val="tx1"/>
            </w14:solidFill>
          </w14:textFill>
        </w:rPr>
      </w:pPr>
      <w:r>
        <w:rPr>
          <w:rFonts w:eastAsia="楷体_GB2312"/>
          <w:color w:val="000000" w:themeColor="text1"/>
          <w:sz w:val="32"/>
          <w:szCs w:val="32"/>
          <w14:textFill>
            <w14:solidFill>
              <w14:schemeClr w14:val="tx1"/>
            </w14:solidFill>
          </w14:textFill>
        </w:rPr>
        <w:t>（三）相关建议。</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1.加大项目资金投入并及时拨付。</w:t>
      </w:r>
    </w:p>
    <w:p>
      <w:pPr>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2.配置相应仪器设备及足够的工作人员。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default" w:ascii="方正仿宋_GBK" w:hAnsi="方正仿宋_GBK" w:eastAsia="方正仿宋_GBK" w:cs="方正仿宋_GBK"/>
          <w:sz w:val="32"/>
          <w:szCs w:val="32"/>
          <w:lang w:val="en-US" w:eastAsia="zh-CN"/>
        </w:rPr>
      </w:pPr>
      <w:r>
        <w:rPr>
          <w:rFonts w:hint="eastAsia" w:ascii="仿宋_GB2312" w:hAnsi="Times New Roman" w:eastAsia="仿宋_GB2312"/>
          <w:sz w:val="32"/>
          <w:szCs w:val="32"/>
        </w:rPr>
        <w:drawing>
          <wp:anchor distT="0" distB="0" distL="114300" distR="114300" simplePos="0" relativeHeight="251662336" behindDoc="0" locked="0" layoutInCell="1" allowOverlap="1">
            <wp:simplePos x="0" y="0"/>
            <wp:positionH relativeFrom="column">
              <wp:posOffset>3717290</wp:posOffset>
            </wp:positionH>
            <wp:positionV relativeFrom="paragraph">
              <wp:posOffset>290195</wp:posOffset>
            </wp:positionV>
            <wp:extent cx="1505585" cy="1516380"/>
            <wp:effectExtent l="0" t="0" r="18415" b="6985"/>
            <wp:wrapNone/>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4"/>
                    <a:stretch>
                      <a:fillRect/>
                    </a:stretch>
                  </pic:blipFill>
                  <pic:spPr>
                    <a:xfrm>
                      <a:off x="0" y="0"/>
                      <a:ext cx="1505585" cy="151638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default" w:ascii="方正仿宋_GBK" w:hAnsi="方正仿宋_GBK" w:eastAsia="方正仿宋_GBK" w:cs="方正仿宋_GBK"/>
          <w:sz w:val="32"/>
          <w:szCs w:val="32"/>
          <w:lang w:val="en-US" w:eastAsia="zh-CN"/>
        </w:rPr>
      </w:pPr>
    </w:p>
    <w:p>
      <w:pPr>
        <w:jc w:val="right"/>
        <w:rPr>
          <w:rFonts w:hint="eastAsia" w:ascii="仿宋_GB2312" w:hAnsi="Times New Roman" w:eastAsia="仿宋_GB2312"/>
          <w:sz w:val="32"/>
          <w:szCs w:val="32"/>
        </w:rPr>
      </w:pPr>
      <w:r>
        <w:rPr>
          <w:rFonts w:hint="eastAsia" w:ascii="仿宋_GB2312" w:hAnsi="Times New Roman" w:eastAsia="仿宋_GB2312"/>
          <w:sz w:val="32"/>
          <w:szCs w:val="32"/>
        </w:rPr>
        <w:t xml:space="preserve"> 盐边县疾病预防控制中心</w:t>
      </w:r>
    </w:p>
    <w:p>
      <w:pPr>
        <w:jc w:val="center"/>
        <w:rPr>
          <w:rFonts w:hint="eastAsia" w:ascii="仿宋_GB2312" w:hAnsi="Times New Roman" w:eastAsia="仿宋_GB2312"/>
          <w:sz w:val="32"/>
          <w:szCs w:val="32"/>
        </w:rPr>
      </w:pPr>
      <w:r>
        <w:rPr>
          <w:rFonts w:hint="eastAsia" w:ascii="仿宋_GB2312" w:hAnsi="Times New Roman" w:eastAsia="仿宋_GB2312"/>
          <w:sz w:val="32"/>
          <w:szCs w:val="32"/>
          <w:lang w:val="en-US" w:eastAsia="zh-CN"/>
        </w:rPr>
        <w:t xml:space="preserve">                                 </w:t>
      </w:r>
      <w:r>
        <w:rPr>
          <w:rFonts w:hint="eastAsia" w:ascii="仿宋_GB2312" w:hAnsi="Times New Roman" w:eastAsia="仿宋_GB2312"/>
          <w:sz w:val="32"/>
          <w:szCs w:val="32"/>
        </w:rPr>
        <w:t>2021年9月10号</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default" w:ascii="方正仿宋_GBK" w:hAnsi="方正仿宋_GBK" w:eastAsia="方正仿宋_GBK" w:cs="方正仿宋_GBK"/>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F7CAC"/>
    <w:multiLevelType w:val="multilevel"/>
    <w:tmpl w:val="59EF7CAC"/>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53019"/>
    <w:rsid w:val="1C6F4128"/>
    <w:rsid w:val="1E197F83"/>
    <w:rsid w:val="22E10EF0"/>
    <w:rsid w:val="32271A45"/>
    <w:rsid w:val="349E16BB"/>
    <w:rsid w:val="3C8C3A3D"/>
    <w:rsid w:val="3F152B6E"/>
    <w:rsid w:val="49810468"/>
    <w:rsid w:val="555E51D5"/>
    <w:rsid w:val="69D53019"/>
    <w:rsid w:val="79F93240"/>
    <w:rsid w:val="7B523599"/>
    <w:rsid w:val="7F6213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Plain Text"/>
    <w:basedOn w:val="1"/>
    <w:qFormat/>
    <w:uiPriority w:val="0"/>
    <w:rPr>
      <w:rFonts w:ascii="宋体" w:hAnsi="Courier New"/>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page number"/>
    <w:qFormat/>
    <w:uiPriority w:val="0"/>
  </w:style>
  <w:style w:type="character" w:customStyle="1" w:styleId="9">
    <w:name w:val="font21"/>
    <w:qFormat/>
    <w:uiPriority w:val="0"/>
    <w:rPr>
      <w:rFonts w:hint="default" w:ascii="Times New Roman" w:hAnsi="Times New Roman" w:cs="Times New Roman"/>
      <w:color w:val="000000"/>
      <w:sz w:val="20"/>
      <w:szCs w:val="20"/>
      <w:u w:val="none"/>
    </w:rPr>
  </w:style>
  <w:style w:type="character" w:customStyle="1" w:styleId="10">
    <w:name w:val="font31"/>
    <w:qFormat/>
    <w:uiPriority w:val="0"/>
    <w:rPr>
      <w:rFonts w:hint="eastAsia" w:ascii="宋体" w:hAnsi="宋体" w:eastAsia="宋体" w:cs="宋体"/>
      <w:color w:val="000000"/>
      <w:sz w:val="20"/>
      <w:szCs w:val="20"/>
      <w:u w:val="none"/>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2"/>
        </a:lnRef>
        <a:fillRef idx="0">
          <a:schemeClr val="accent2"/>
        </a:fillRef>
        <a:effectRef idx="0">
          <a:schemeClr val="accent2"/>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2021-06-22T09:27:00Z</dcterms:created>
  <dc:creator>Owner</dc:creator>
  <cp:lastModifiedBy>鲁炳权</cp:lastModifiedBy>
  <cp:lastPrinted>2021-06-24T01:12:00Z</cp:lastPrinted>
  <dcterms:modified xsi:type="dcterms:W3CDTF">2021-09-10T09:00:04Z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