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3" w:firstLineChars="49"/>
        <w:rPr>
          <w:rFonts w:hint="eastAsia" w:ascii="方正小标宋简体" w:hAnsi="Times New Roman" w:eastAsia="方正小标宋简体" w:cs="Times New Roman"/>
          <w:color w:val="FF0000"/>
          <w:w w:val="50"/>
          <w:sz w:val="128"/>
          <w:lang w:eastAsia="zh-CN"/>
        </w:rPr>
      </w:pPr>
      <w:r>
        <w:rPr>
          <w:rFonts w:hint="eastAsia" w:ascii="方正小标宋简体" w:hAnsi="Times New Roman" w:eastAsia="方正小标宋简体" w:cs="Times New Roman"/>
          <w:color w:val="FF0000"/>
          <w:w w:val="50"/>
          <w:sz w:val="128"/>
          <w:lang w:eastAsia="zh-CN"/>
        </w:rPr>
        <w:t>盐边县疾病预防控制中心文件</w:t>
      </w:r>
    </w:p>
    <w:p>
      <w:pPr>
        <w:jc w:val="center"/>
        <w:rPr>
          <w:rFonts w:hint="eastAsia"/>
          <w:lang w:eastAsia="zh-CN"/>
        </w:rPr>
      </w:pPr>
    </w:p>
    <w:p>
      <w:pPr>
        <w:jc w:val="center"/>
        <w:rPr>
          <w:rFonts w:hint="eastAsia"/>
          <w:lang w:eastAsia="zh-CN"/>
        </w:rPr>
      </w:pPr>
    </w:p>
    <w:p>
      <w:pPr>
        <w:jc w:val="left"/>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8240" behindDoc="0" locked="0" layoutInCell="1" allowOverlap="1">
                <wp:simplePos x="0" y="0"/>
                <wp:positionH relativeFrom="column">
                  <wp:posOffset>-40005</wp:posOffset>
                </wp:positionH>
                <wp:positionV relativeFrom="paragraph">
                  <wp:posOffset>356870</wp:posOffset>
                </wp:positionV>
                <wp:extent cx="5656580" cy="0"/>
                <wp:effectExtent l="0" t="0" r="0" b="0"/>
                <wp:wrapNone/>
                <wp:docPr id="1" name="直接连接符 1"/>
                <wp:cNvGraphicFramePr/>
                <a:graphic xmlns:a="http://schemas.openxmlformats.org/drawingml/2006/main">
                  <a:graphicData uri="http://schemas.microsoft.com/office/word/2010/wordprocessingShape">
                    <wps:wsp>
                      <wps:cNvCnPr/>
                      <wps:spPr>
                        <a:xfrm>
                          <a:off x="1058545" y="2120900"/>
                          <a:ext cx="5656580" cy="0"/>
                        </a:xfrm>
                        <a:prstGeom prst="line">
                          <a:avLst/>
                        </a:prstGeom>
                        <a:ln w="12700"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3.15pt;margin-top:28.1pt;height:0pt;width:445.4pt;z-index:251658240;mso-width-relative:page;mso-height-relative:page;" filled="f" stroked="t" coordsize="21600,21600" o:gfxdata="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9rj7XYAAAACAEAAA8AAAAAAAAAAQAgAAAAIgAAAGRycy9kb3ducmV2LnhtbFBLAQIU&#10;ABQAAAAIAIdO4kBJpBuo8wEAAL4DAAAOAAAAAAAAAAEAIAAAACcBAABkcnMvZTJvRG9jLnhtbFBL&#10;BQYAAAAABgAGAFkBAACMBQAAAAA=&#10;">
                <v:fill on="f" focussize="0,0"/>
                <v:stroke weight="1pt" color="#FF0000 [3205]" miterlimit="8" joinstyle="miter"/>
                <v:imagedata o:title=""/>
                <o:lock v:ext="edit" aspectratio="f"/>
              </v:line>
            </w:pict>
          </mc:Fallback>
        </mc:AlternateContent>
      </w:r>
      <w:r>
        <w:rPr>
          <w:rFonts w:hint="eastAsia" w:ascii="仿宋_GB2312" w:hAnsi="仿宋_GB2312" w:eastAsia="仿宋_GB2312" w:cs="仿宋_GB2312"/>
          <w:sz w:val="32"/>
          <w:szCs w:val="32"/>
          <w:lang w:eastAsia="zh-CN"/>
        </w:rPr>
        <w:t>盐边疾控</w:t>
      </w:r>
      <w:r>
        <w:rPr>
          <w:rFonts w:hint="eastAsia" w:ascii="仿宋_GB2312" w:hAnsi="仿宋_GB2312" w:eastAsia="仿宋_GB2312" w:cs="仿宋_GB2312"/>
          <w:sz w:val="32"/>
          <w:szCs w:val="32"/>
          <w:lang w:val="en-US" w:eastAsia="zh-CN"/>
        </w:rPr>
        <w:t>〔2021〕139号                  签发人：安顺兵</w:t>
      </w:r>
    </w:p>
    <w:p>
      <w:pPr>
        <w:jc w:val="both"/>
        <w:rPr>
          <w:rFonts w:hint="eastAsia" w:ascii="方正仿宋_GBK" w:hAnsi="方正仿宋_GBK" w:eastAsia="方正仿宋_GBK" w:cs="方正仿宋_GBK"/>
          <w:sz w:val="32"/>
          <w:szCs w:val="32"/>
          <w:lang w:val="en-US" w:eastAsia="zh-CN"/>
        </w:rPr>
      </w:pPr>
    </w:p>
    <w:p>
      <w:pPr>
        <w:jc w:val="both"/>
        <w:rPr>
          <w:rFonts w:hint="eastAsia" w:ascii="方正仿宋_GBK" w:hAnsi="方正仿宋_GBK" w:eastAsia="方正仿宋_GBK" w:cs="方正仿宋_GBK"/>
          <w:sz w:val="32"/>
          <w:szCs w:val="32"/>
          <w:lang w:val="en-US" w:eastAsia="zh-CN"/>
        </w:rPr>
      </w:pPr>
    </w:p>
    <w:p>
      <w:pPr>
        <w:pStyle w:val="12"/>
        <w:jc w:val="center"/>
        <w:rPr>
          <w:rFonts w:hint="eastAsia" w:ascii="黑体" w:hAnsi="黑体" w:eastAsia="黑体"/>
          <w:b/>
          <w:kern w:val="2"/>
          <w:sz w:val="44"/>
          <w:szCs w:val="44"/>
        </w:rPr>
      </w:pPr>
      <w:r>
        <w:rPr>
          <w:rFonts w:hint="eastAsia" w:ascii="黑体" w:hAnsi="黑体" w:eastAsia="黑体"/>
          <w:b/>
          <w:kern w:val="2"/>
          <w:sz w:val="44"/>
          <w:szCs w:val="44"/>
        </w:rPr>
        <w:t>2020年盐边县疾病预防控制中心</w:t>
      </w:r>
    </w:p>
    <w:p>
      <w:pPr>
        <w:pStyle w:val="12"/>
        <w:jc w:val="center"/>
        <w:rPr>
          <w:rFonts w:hint="eastAsia" w:ascii="黑体" w:hAnsi="黑体" w:eastAsia="黑体"/>
          <w:b/>
          <w:kern w:val="2"/>
          <w:sz w:val="44"/>
          <w:szCs w:val="44"/>
        </w:rPr>
      </w:pPr>
      <w:r>
        <w:rPr>
          <w:rFonts w:hint="eastAsia" w:ascii="黑体" w:hAnsi="黑体" w:eastAsia="黑体"/>
          <w:b/>
          <w:kern w:val="2"/>
          <w:sz w:val="44"/>
          <w:szCs w:val="44"/>
        </w:rPr>
        <w:t>年度部门整体支出绩效评价报告</w:t>
      </w:r>
    </w:p>
    <w:p>
      <w:pPr>
        <w:adjustRightInd w:val="0"/>
        <w:snapToGrid w:val="0"/>
        <w:spacing w:line="360" w:lineRule="auto"/>
        <w:ind w:firstLine="720"/>
        <w:rPr>
          <w:rFonts w:hint="eastAsia" w:ascii="黑体" w:hAnsi="宋体" w:eastAsia="黑体"/>
          <w:szCs w:val="32"/>
        </w:rPr>
      </w:pPr>
    </w:p>
    <w:p>
      <w:pPr>
        <w:spacing w:line="560" w:lineRule="exact"/>
        <w:ind w:firstLine="640" w:firstLineChars="200"/>
        <w:rPr>
          <w:rFonts w:hint="eastAsia" w:ascii="Times New Roman" w:hAnsi="Times New Roman" w:eastAsia="黑体" w:cs="Times New Roman"/>
          <w:sz w:val="32"/>
          <w:szCs w:val="32"/>
          <w:lang w:val="zh-CN"/>
        </w:rPr>
      </w:pPr>
      <w:r>
        <w:rPr>
          <w:rFonts w:hint="eastAsia" w:ascii="Times New Roman" w:hAnsi="Times New Roman" w:eastAsia="黑体" w:cs="Times New Roman"/>
          <w:sz w:val="32"/>
          <w:szCs w:val="32"/>
        </w:rPr>
        <w:t>一、</w:t>
      </w:r>
      <w:r>
        <w:rPr>
          <w:rFonts w:hint="eastAsia" w:ascii="Times New Roman" w:hAnsi="Times New Roman" w:eastAsia="黑体" w:cs="Times New Roman"/>
          <w:sz w:val="32"/>
          <w:szCs w:val="32"/>
          <w:lang w:val="zh-CN"/>
        </w:rPr>
        <w:t>部门概况</w:t>
      </w:r>
    </w:p>
    <w:p>
      <w:pPr>
        <w:spacing w:line="56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（一）机构情况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盐边县疾病预防控制中心成立于2003年8月,为全额拨款的公益一类（副科级）事业单位, 内设10</w:t>
      </w:r>
      <w:bookmarkStart w:id="0" w:name="_GoBack"/>
      <w:bookmarkEnd w:id="0"/>
      <w:r>
        <w:rPr>
          <w:rFonts w:hint="eastAsia" w:ascii="仿宋_GB2312" w:hAnsi="仿宋_GB2312" w:eastAsia="仿宋_GB2312" w:cs="仿宋_GB2312"/>
          <w:sz w:val="32"/>
          <w:szCs w:val="32"/>
        </w:rPr>
        <w:t>个行政、业务科室。主管部门是盐边县卫生健康局，法定代表人安顺兵,法定地址为盐边县桐子林镇中环南路47号。</w:t>
      </w:r>
    </w:p>
    <w:p>
      <w:pPr>
        <w:spacing w:line="56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（二）单位基本职能</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全县的疾病预防控制和公共卫生技术管理工作进行业务指导，具体承担全县各类传染病、血吸虫病、地方病、麻风病慢性疾病预防和突发公共卫生事件的应急处理，公共卫生监测与检验工作，为卫生行政执法提供依据。</w:t>
      </w:r>
    </w:p>
    <w:p>
      <w:pPr>
        <w:snapToGrid w:val="0"/>
        <w:ind w:firstLine="663" w:firstLineChars="200"/>
        <w:rPr>
          <w:rFonts w:hint="eastAsia" w:ascii="Times New Roman" w:hAnsi="Times New Roman" w:eastAsia="楷体_GB2312" w:cs="Times New Roman"/>
          <w:sz w:val="32"/>
          <w:szCs w:val="32"/>
        </w:rPr>
      </w:pPr>
      <w:r>
        <w:rPr>
          <w:rFonts w:hint="eastAsia" w:ascii="方正楷体_GBK" w:hAnsi="仿宋" w:eastAsia="方正楷体_GBK"/>
          <w:b/>
          <w:sz w:val="33"/>
          <w:szCs w:val="33"/>
        </w:rPr>
        <w:t xml:space="preserve"> </w:t>
      </w:r>
      <w:r>
        <w:rPr>
          <w:rFonts w:hint="eastAsia" w:ascii="Times New Roman" w:hAnsi="Times New Roman" w:eastAsia="楷体_GB2312" w:cs="Times New Roman"/>
          <w:sz w:val="32"/>
          <w:szCs w:val="32"/>
        </w:rPr>
        <w:t>(三)人员情况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本单位人员编制由盐边县编办核定为46人。2020年末在编在岗干部职工36人,退休职工46人。2020年退休职工死亡1人，本年度退休2人，公招考入3人，从其他区县调入1人，人才引进1人。</w:t>
      </w:r>
    </w:p>
    <w:p>
      <w:pPr>
        <w:spacing w:line="560" w:lineRule="exact"/>
        <w:ind w:firstLine="640" w:firstLineChars="200"/>
        <w:rPr>
          <w:rFonts w:hint="eastAsia" w:ascii="Times New Roman" w:hAnsi="Times New Roman" w:eastAsia="黑体" w:cs="Times New Roman"/>
          <w:sz w:val="32"/>
          <w:szCs w:val="32"/>
          <w:lang w:val="zh-CN"/>
        </w:rPr>
      </w:pPr>
      <w:r>
        <w:rPr>
          <w:rFonts w:hint="eastAsia" w:ascii="Times New Roman" w:hAnsi="Times New Roman" w:eastAsia="黑体" w:cs="Times New Roman"/>
          <w:sz w:val="32"/>
          <w:szCs w:val="32"/>
        </w:rPr>
        <w:t>二、</w:t>
      </w:r>
      <w:r>
        <w:rPr>
          <w:rFonts w:hint="eastAsia" w:ascii="Times New Roman" w:hAnsi="Times New Roman" w:eastAsia="黑体" w:cs="Times New Roman"/>
          <w:sz w:val="32"/>
          <w:szCs w:val="32"/>
          <w:lang w:val="zh-CN"/>
        </w:rPr>
        <w:t>工作开展情况</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一、传染病与突发公共卫生事件管理</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1月1日-12月27日盐边县无突发公共卫生事件报告，2020年1-12.20共调查响应168起传染病自动预警信息，及时响应率为100.00%。经调查核实排除168起（其中麻疹1起，菌痢52起，病原学阳性3起，病原学阴性25起，无病原学结果23起，流感4起，流行性腮腺炎2起，其它感染性腹泻57起，手足口病1起），无一起疑似事件及突发公共卫生事件报告，及时填报异常信息卡及现场调查表。</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二、免疫规划</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每月均对全县12个乡（镇）接种点进行了疫苗配送工作。定期开展对12个乡镇15家接种单位免疫规划、儿童信息化管理、报表上报等工作检查督导3次以上，检查督导覆盖率100%，对发现的问题，给予及时指出，并要求限期改进,要求加强业务学习，增强工作责任心，认真开展接种工作，提高接种率，减少免疫空白人群。开展了学校新生入托入学的接种证查验及补种补证工作，全县共开展小学、托幼机构接种证查验52 所，开展接种证查验率100%；培训医务人员209人次，教师725人次；督导学校、幼托机构52所，督导率100%。制作标语23条，板报28期，发放宣传单3001张，召开相关家长会65次。全县需补证儿童2人，补证儿童2人，补证率100%；需补种儿童683人，实际补种664人，全程补种率97.22%。全县未完成接种儿童应补种1015剂次，实际补种977剂次，补种率96.26%。</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（三）基本公共卫生</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1-11月，全县居民健康档案建档199162份，建档率99.58%，规范管理185907份，规范管理率为93.35%，动态记录98697份，使用率为49.56%；辖区内应建立预防接种证人数14525人，已建立预防接种证人数14375人，建证率98.97%；辖区内活产数1576人，按照规范要求接受1次及以上访视的新生儿人数1470人，新生儿访视率93.27%；0-6岁儿童12678人，接受1次及以上随访11406人，儿童健康管理率89.97%；孕13周之前建册并进行第一次产前检查的产妇人数1297人，早孕建册率82.3%,产妇出院后28天内接受过产后访视的产妇人数1468人，产后访视率93.15%；65岁及以上常住居民数23553人，健康体检人数15427人，体检率65.49%；应管高血压13800人，实际在管9568人，管理率69.33%，最近一次随访血压达标人数6981人，血压控制率72.96%；应管糖尿病4864人，实际在管3401人，管理率69.92%，最近一次随访空腹血糖达标人数2386人，血糖控制率70.16%；登记在册的确诊严重精神障碍患者人数1080人，规范要求进行管理902人，规范管理率83.52%；经上级定点医疗机构确诊并通知基层医疗卫生机构管理的肺结核患者人数89人，已管理89人，管理率100%；接受中医药健康管理服务65岁及以上居民数14879人，老年人中医药健康管理率63.17%；0-36个月儿童7128人，按照月龄接受中医药健康管理6392人，0-36个月儿童中医药健康管理服务率89.67%；登记传染病病例数490例，网络报告的传染病490例，报告率100%；协助开展的食源性疾病、饮用水卫生安全、学校卫生、非法行医和非法采供血、计划生育实地巡查次数1823次，发现的事件或线索88个，报告88个，信息报告率100%。</w:t>
      </w:r>
    </w:p>
    <w:p>
      <w:pPr>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三、部门资金基本情况</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（一）部门财政资金收入情况。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2020年收入年初预算为5,103,355.71元，其中上年结转724,835.71，支出年初预算为5,103,355.71元，其中社会保障和就业支出445,047.00元，医疗和计划生育支出4,173,290.71元，住房保障支出485,018.00元。</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上年项目结转结余共计724,835.71元，全部为重大公共卫生专项结转，</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2019年收入预算4，601，973.00元，支出年初预算为4，601，973.00元，其中社会保障和就业支出498,173.00元，医疗和计划生育支出3,675,022.00元，住房保障支出128,742.00元</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2020年较2019年收入、支出预算增加501382.71元，增加11%。变动原因主要是本年度新增职工5人，机关事业单位养老保险、公积金、工资等人员经费增加。</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（二）部门财政资金支出情况。</w:t>
      </w:r>
    </w:p>
    <w:p>
      <w:pPr>
        <w:snapToGrid w:val="0"/>
        <w:ind w:firstLine="640" w:firstLineChars="200"/>
        <w:rPr>
          <w:rFonts w:hint="eastAsia" w:ascii="方正仿宋_GBK" w:hAnsi="仿宋" w:eastAsia="方正仿宋_GBK"/>
          <w:sz w:val="32"/>
          <w:szCs w:val="32"/>
        </w:rPr>
      </w:pPr>
      <w:r>
        <w:rPr>
          <w:rFonts w:hint="eastAsia" w:ascii="仿宋_GB2312" w:hAnsi="仿宋_GB2312" w:eastAsia="仿宋_GB2312" w:cs="仿宋_GB2312"/>
          <w:sz w:val="32"/>
          <w:szCs w:val="32"/>
        </w:rPr>
        <w:t>本年支出合计8，475，695.28元，其中机关事业单位基本养老支出482，582.25元，疾病预防控制机构支出4，904，055.58元，重大公共卫生专项支出1，413，954.32元，其他公共卫生支出151，680.13元，其他卫生健康支出131，000.00元，抗疫特别国债901,650.00元，住房公积金支出490,77.00元</w:t>
      </w:r>
      <w:r>
        <w:rPr>
          <w:rFonts w:hint="eastAsia" w:ascii="方正仿宋_GBK" w:hAnsi="仿宋" w:eastAsia="方正仿宋_GBK"/>
          <w:sz w:val="32"/>
          <w:szCs w:val="32"/>
        </w:rPr>
        <w:t>。</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（三）结转和结余情况。</w:t>
      </w:r>
    </w:p>
    <w:p>
      <w:pPr>
        <w:snapToGrid w:val="0"/>
        <w:ind w:firstLine="640" w:firstLineChars="200"/>
        <w:rPr>
          <w:rFonts w:hint="eastAsia" w:ascii="方正仿宋_GBK" w:hAnsi="仿宋" w:eastAsia="方正仿宋_GBK"/>
          <w:sz w:val="32"/>
          <w:szCs w:val="32"/>
        </w:rPr>
      </w:pPr>
      <w:r>
        <w:rPr>
          <w:rFonts w:hint="eastAsia" w:ascii="仿宋_GB2312" w:hAnsi="仿宋_GB2312" w:eastAsia="仿宋_GB2312" w:cs="仿宋_GB2312"/>
          <w:sz w:val="32"/>
          <w:szCs w:val="32"/>
        </w:rPr>
        <w:t>年末结转结余共计2586981.39元，其中重大公共卫生专项结转645,681.39元，其他卫生健康支出结转1,941,300.00元。</w:t>
      </w:r>
    </w:p>
    <w:p>
      <w:pPr>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四、部门财政支出管理情况</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（一）专项资金分配情况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大公共卫生项目四个：川财社[2018]155号下达2019年公共卫生服务结转64,001.51元。川财社[2019]69号下达2019年医疗服务与保障能力提升结转4,001.00元，川财社【2019】144号下达2020年重大传染病防控中央补助资金结转325,278.88元，川财社【2020】89号下达2020年卫生健康中央和省级补助资金（第三批）结转252,400.00元 ，其他卫生健康项目三个：川财社【2020】50号下达2020年省级财政卫生健康专项资金(冷链系统建设）510,000.00元，川财社【2020】78号下达2020年公共卫生体系建设和重大疫情防控救治体系建设中央补助资金1,231,300.00元，川财社【2020】89号下达2020年卫生健康中央和省级补助资金（第三批）200,000.00元。</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（二）资产管理</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末资产为7,804,621.00元，期初为4,756,424.89元，资产总计比上年增加3,048,196.11元，增长64%。其中银行存款2,097,484.21元，财政应返还额度2,586,981.39元，其他应收款12,396.89元，固定资产净值3,107,758.51元。资产总额相比较2019年增加原因是重大公共卫生专项结转645,681.39元，其他卫生健康支出结转1,941,300.00元。2020年新增固定资产877，221.00元，报废处置资产453,026.00元。</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（三）内控制度管理</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心制定了《盐边县疾病预防控制中心内部控制手册》、《财务管理制度》、《盐边县疾病预防控制采购制度》、《盐边县疾病预防控制中心资产管理制度》等一系列内部控制制度，相关制度合法合规、完整，并且得到有效执行。</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（四）信息公开</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按规定要求和时间节点在公众信息网公开部门预算及决算，以及单位预算整体绩效评价报告。</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（五）2020年预算执行进度监控情况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在预算执行管理过程中，一是切实硬化预算约束，认真贯彻先有预算后有支出的原则，严格按预算执行；二是依照国家税法和有关规定，依法组织收入，及时足额征缴各项预算收入，做到应收尽收，确保收入预算的完成；三是严格按预算安排和项目实际执行进度，及时合理地拨付资金，合理调度预算支出；四是树立“勤俭节约、勒紧裤带过紧日子”思想，采取有力措施，确保收支平衡；五是严格执行财政国库集中支付、政府采购、公务卡等制度，严肃财经纪律，及时解决预算执行中的问题，确保预算顺利执行；六是将财政部门批复的部门预算及报表等信息按相关规定和要求及时在盐边县公众信息网“财政信息”栏中进行公开。</w:t>
      </w:r>
    </w:p>
    <w:p>
      <w:pPr>
        <w:snapToGrid w:val="0"/>
        <w:ind w:firstLine="660" w:firstLineChars="200"/>
        <w:rPr>
          <w:rFonts w:hint="eastAsia" w:ascii="方正楷体_GBK" w:hAnsi="仿宋" w:eastAsia="方正楷体_GBK"/>
          <w:b w:val="0"/>
          <w:bCs/>
          <w:sz w:val="33"/>
          <w:szCs w:val="33"/>
        </w:rPr>
      </w:pPr>
      <w:r>
        <w:rPr>
          <w:rFonts w:hint="eastAsia" w:ascii="方正楷体_GBK" w:hAnsi="仿宋" w:eastAsia="方正楷体_GBK"/>
          <w:b w:val="0"/>
          <w:bCs/>
          <w:sz w:val="33"/>
          <w:szCs w:val="33"/>
        </w:rPr>
        <w:t>（六）部门绩效情况</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传染病与突发公共卫生事件管理</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1月1日-12月27日盐边县无突发公共卫生事件报告，2020年1-12.20共调查响应168起传染病自动预警信息，及时响应率为100.00%。经调查核实排除168起（其中麻疹1起，菌痢52起，病原学阳性3起，病原学阴性25起，无病原学结果23起，流感4起，流行性腮腺炎2起，其它感染性腹泻57起，手足口病1起），无一起疑似事件及突发公共卫生事件报告，及时填报异常信息卡及现场调查表。</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免疫规划</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每月均对全县12个乡（镇）接种点进行了疫苗配送工作。定期开展对12个乡镇15家接种单位免疫规划、儿童信息化管理、报表上报等工作检查督导3次以上，检查督导覆盖率100%，对发现的问题，给予及时指出，并要求限期改进,要求加强业务学习，增强工作责任心，认真开展接种工作，提高接种率，减少免疫空白人群。开展了学校新生入托入学的接种证查验及补种补证工作，全县共开展小学、托幼机构接种证查验52 所，开展接种证查验率100%；培训医务人员209人次，教师725人次；督导学校、幼托机构52所，督导率100%。制作标语23条，板报28期，发放宣传单3001张，召开相关家长会65次。全县需补证儿童2人，补证儿童2人，补证率100%；需补种儿童683人，实际补种664人，全程补种率97.22%。全县未完成接种儿童应补种1015剂次，实际补种977剂次，补种率96.26%。</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基本公共卫生</w:t>
      </w:r>
    </w:p>
    <w:p>
      <w:pPr>
        <w:snapToGri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1-11月，全县居民健康档案建档199162份，建档率99.58%，规范管理185907份，规范管理率为93.35%，动态记录98697份，使用率为49.56%；辖区内应建立预防接种证人数14525人，已建立预防接种证人数14375人，建证率98.97%；辖区内活产数1576人，按照规范要求接受1次及以上访视的新生儿人数1470人，新生儿访视率93.27%；0-6岁儿童12678人，接受1次及以上随访11406人，儿童健康管理率89.97%；孕13周之前建册并进行第一次产前检查的产妇人数1297人，早孕建册率82.3%,产妇出院后28天内接受过产后访视的产妇人数1468人，产后访视率93.15%；65岁及以上常住居民数23553人，健康体检人数15427人，体检率65.49%；应管高血压13800人，实际在管9568人，管理率69.33%，最近一次随访血压达标人数6981人，血压控制率72.96%；应管糖尿病4864人，实际在管3401人，管理率69.92%，最近一次随访空腹血糖达标人数2386人，血糖控制率70.16%；登记在册的确诊严重精神障碍患者人数1080人，规范要求进行管理902人，规范管理率83.52%；经上级定点医疗机构确诊并通知基层医疗卫生机构管理的肺结核患者人数89人，已管理89人，管理率100%；接受中医药健康管理服务65岁及以上居民数14879人，老年人中医药健康管理率63.17%；0-36个月儿童7128人，按照月龄接受中医药健康管理6392人，0-36个月儿童中医药健康管理服务率89.67%；登记传染病病例数490例，网络报告的传染病490例，报告率100%；协助开展的食源性疾病、饮用水卫生安全、学校卫生、非法行医和非法采供血、计划生育实地巡查次数1823次，发现的事件或线索88个，报告88个，信息报告率100%。总体达到预期目标。</w:t>
      </w:r>
    </w:p>
    <w:p>
      <w:pPr>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四、评价结论及建议</w:t>
      </w:r>
    </w:p>
    <w:p>
      <w:pPr>
        <w:snapToGrid w:val="0"/>
        <w:ind w:firstLine="660" w:firstLineChars="200"/>
        <w:rPr>
          <w:rFonts w:hint="eastAsia" w:ascii="方正楷体_GBK" w:hAnsi="仿宋" w:eastAsia="方正楷体_GBK"/>
          <w:b w:val="0"/>
          <w:bCs/>
          <w:sz w:val="33"/>
          <w:szCs w:val="33"/>
          <w:lang w:val="zh-CN"/>
        </w:rPr>
      </w:pPr>
      <w:r>
        <w:rPr>
          <w:rFonts w:hint="eastAsia" w:ascii="方正楷体_GBK" w:hAnsi="仿宋" w:eastAsia="方正楷体_GBK"/>
          <w:b w:val="0"/>
          <w:bCs/>
          <w:sz w:val="33"/>
          <w:szCs w:val="33"/>
          <w:lang w:val="zh-CN"/>
        </w:rPr>
        <w:t>（一）评价结论</w:t>
      </w:r>
    </w:p>
    <w:p>
      <w:pPr>
        <w:snapToGrid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2020年部门支出绩效评价，我单位结合上级文件精神，围绕预算编制、预算执行、支出绩效三个方面对2020年度部门支出绩效进行了认真自评工作。根据得分情况本部门支出绩效评价等级为“良好”。</w:t>
      </w:r>
    </w:p>
    <w:p>
      <w:pPr>
        <w:snapToGrid w:val="0"/>
        <w:ind w:firstLine="660" w:firstLineChars="200"/>
        <w:rPr>
          <w:rFonts w:hint="eastAsia" w:ascii="方正楷体_GBK" w:hAnsi="仿宋" w:eastAsia="方正楷体_GBK"/>
          <w:b w:val="0"/>
          <w:bCs/>
          <w:sz w:val="33"/>
          <w:szCs w:val="33"/>
          <w:lang w:val="zh-CN"/>
        </w:rPr>
      </w:pPr>
      <w:r>
        <w:rPr>
          <w:rFonts w:hint="eastAsia" w:ascii="方正楷体_GBK" w:hAnsi="仿宋" w:eastAsia="方正楷体_GBK"/>
          <w:b w:val="0"/>
          <w:bCs/>
          <w:sz w:val="33"/>
          <w:szCs w:val="33"/>
          <w:lang w:val="zh-CN"/>
        </w:rPr>
        <w:t>（二）存在问题</w:t>
      </w:r>
    </w:p>
    <w:p>
      <w:pPr>
        <w:snapToGrid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年度项目在执行过程中，由于项目资金的分配不均匀，导致部分项目的资金收不抵支。然而部分项目因为工作开展缓慢结余较多。在绩效管理过程中，很多项目绩效指标在时间上未能科学合理设置，年中时部分绩效指标存在零完成率。单位在绩效管理工作中，对绩效指标的理解不足，绩效指标的科学性有待提高。 </w:t>
      </w:r>
    </w:p>
    <w:p>
      <w:pPr>
        <w:snapToGrid w:val="0"/>
        <w:ind w:firstLine="660" w:firstLineChars="200"/>
        <w:rPr>
          <w:rFonts w:hint="eastAsia" w:ascii="方正楷体_GBK" w:hAnsi="仿宋" w:eastAsia="方正楷体_GBK"/>
          <w:b w:val="0"/>
          <w:bCs/>
          <w:sz w:val="33"/>
          <w:szCs w:val="33"/>
          <w:lang w:val="zh-CN"/>
        </w:rPr>
      </w:pPr>
      <w:r>
        <w:rPr>
          <w:rFonts w:hint="eastAsia" w:ascii="方正楷体_GBK" w:hAnsi="仿宋" w:eastAsia="方正楷体_GBK"/>
          <w:b w:val="0"/>
          <w:bCs/>
          <w:sz w:val="33"/>
          <w:szCs w:val="33"/>
          <w:lang w:val="zh-CN"/>
        </w:rPr>
        <w:t>（三）改进建议</w:t>
      </w:r>
    </w:p>
    <w:p>
      <w:pPr>
        <w:snapToGrid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将在制定预算目标前进一步加强计划统筹，增强预算目标的可预见性，使预算实施更加切实准确。2020年单位将加快项目进度，根据因素法的原则在合理范围内重新规划部分资金使用，提高项目资金使用率，使资金的使用更加规范合理，绩效指标的设置更加具有科学性、合理性。</w:t>
      </w:r>
    </w:p>
    <w:p>
      <w:pPr>
        <w:snapToGrid w:val="0"/>
        <w:ind w:firstLine="640" w:firstLineChars="200"/>
        <w:rPr>
          <w:rFonts w:hint="eastAsia" w:ascii="仿宋_GB2312" w:hAnsi="仿宋_GB2312" w:eastAsia="仿宋_GB2312" w:cs="仿宋_GB2312"/>
          <w:sz w:val="32"/>
          <w:szCs w:val="32"/>
          <w:lang w:val="en-US" w:eastAsia="zh-CN"/>
        </w:rPr>
      </w:pPr>
      <w:r>
        <w:rPr>
          <w:rFonts w:hint="eastAsia" w:ascii="仿宋_GB2312" w:hAnsi="Times New Roman" w:eastAsia="仿宋_GB2312"/>
          <w:sz w:val="32"/>
          <w:szCs w:val="32"/>
        </w:rPr>
        <w:drawing>
          <wp:anchor distT="0" distB="0" distL="114300" distR="114300" simplePos="0" relativeHeight="251664384" behindDoc="0" locked="0" layoutInCell="1" allowOverlap="1">
            <wp:simplePos x="0" y="0"/>
            <wp:positionH relativeFrom="column">
              <wp:posOffset>3707765</wp:posOffset>
            </wp:positionH>
            <wp:positionV relativeFrom="paragraph">
              <wp:posOffset>112395</wp:posOffset>
            </wp:positionV>
            <wp:extent cx="1505585" cy="1516380"/>
            <wp:effectExtent l="0" t="0" r="18415" b="6985"/>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4"/>
                    <a:stretch>
                      <a:fillRect/>
                    </a:stretch>
                  </pic:blipFill>
                  <pic:spPr>
                    <a:xfrm>
                      <a:off x="0" y="0"/>
                      <a:ext cx="1505585" cy="1516380"/>
                    </a:xfrm>
                    <a:prstGeom prst="rect">
                      <a:avLst/>
                    </a:prstGeom>
                  </pic:spPr>
                </pic:pic>
              </a:graphicData>
            </a:graphic>
          </wp:anchor>
        </w:drawing>
      </w:r>
      <w:r>
        <w:rPr>
          <w:rFonts w:hint="eastAsia" w:ascii="仿宋_GB2312" w:hAnsi="仿宋_GB2312" w:eastAsia="仿宋_GB2312" w:cs="仿宋_GB2312"/>
          <w:sz w:val="32"/>
          <w:szCs w:val="32"/>
          <w:lang w:val="en-US" w:eastAsia="zh-CN"/>
        </w:rPr>
        <w:t>　</w:t>
      </w:r>
    </w:p>
    <w:p>
      <w:pPr>
        <w:snapToGrid w:val="0"/>
        <w:ind w:firstLine="640" w:firstLineChars="200"/>
        <w:rPr>
          <w:rFonts w:hint="eastAsia" w:ascii="仿宋_GB2312" w:hAnsi="仿宋_GB2312" w:eastAsia="仿宋_GB2312" w:cs="仿宋_GB2312"/>
          <w:sz w:val="32"/>
          <w:szCs w:val="32"/>
          <w:lang w:val="en-US" w:eastAsia="zh-CN"/>
        </w:rPr>
      </w:pPr>
    </w:p>
    <w:p>
      <w:pPr>
        <w:jc w:val="right"/>
        <w:rPr>
          <w:rFonts w:hint="eastAsia" w:ascii="仿宋_GB2312" w:hAnsi="Times New Roman" w:eastAsia="仿宋_GB2312"/>
          <w:sz w:val="32"/>
          <w:szCs w:val="32"/>
        </w:rPr>
      </w:pPr>
      <w:r>
        <w:rPr>
          <w:rFonts w:hint="eastAsia" w:ascii="仿宋_GB2312" w:hAnsi="Times New Roman" w:eastAsia="仿宋_GB2312"/>
          <w:sz w:val="32"/>
          <w:szCs w:val="32"/>
        </w:rPr>
        <w:t xml:space="preserve"> 盐边县疾病预防控制中心</w:t>
      </w:r>
    </w:p>
    <w:p>
      <w:pPr>
        <w:jc w:val="center"/>
        <w:rPr>
          <w:rFonts w:hint="eastAsia" w:ascii="仿宋_GB2312" w:hAnsi="Times New Roman" w:eastAsia="仿宋_GB2312"/>
          <w:sz w:val="32"/>
          <w:szCs w:val="32"/>
        </w:rPr>
      </w:pPr>
      <w:r>
        <w:rPr>
          <w:rFonts w:hint="eastAsia" w:ascii="仿宋_GB2312" w:hAnsi="Times New Roman" w:eastAsia="仿宋_GB2312"/>
          <w:sz w:val="32"/>
          <w:szCs w:val="32"/>
          <w:lang w:val="en-US" w:eastAsia="zh-CN"/>
        </w:rPr>
        <w:t xml:space="preserve">                                 </w:t>
      </w:r>
      <w:r>
        <w:rPr>
          <w:rFonts w:hint="eastAsia" w:ascii="仿宋_GB2312" w:hAnsi="Times New Roman" w:eastAsia="仿宋_GB2312"/>
          <w:sz w:val="32"/>
          <w:szCs w:val="32"/>
        </w:rPr>
        <w:t>2021年9月10号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p>
    <w:p>
      <w:pPr>
        <w:snapToGrid w:val="0"/>
        <w:ind w:firstLine="640" w:firstLineChars="200"/>
        <w:rPr>
          <w:rFonts w:hint="default"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53019"/>
    <w:rsid w:val="10195212"/>
    <w:rsid w:val="1C6F4128"/>
    <w:rsid w:val="1E197F83"/>
    <w:rsid w:val="22E10EF0"/>
    <w:rsid w:val="2D5B16FD"/>
    <w:rsid w:val="32271A45"/>
    <w:rsid w:val="349E16BB"/>
    <w:rsid w:val="3C8C3A3D"/>
    <w:rsid w:val="3F152B6E"/>
    <w:rsid w:val="555E51D5"/>
    <w:rsid w:val="69D53019"/>
    <w:rsid w:val="79F93240"/>
    <w:rsid w:val="7C6C6F14"/>
    <w:rsid w:val="7DF367FB"/>
    <w:rsid w:val="7F621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qFormat/>
    <w:uiPriority w:val="0"/>
  </w:style>
  <w:style w:type="character" w:customStyle="1" w:styleId="9">
    <w:name w:val="font21"/>
    <w:qFormat/>
    <w:uiPriority w:val="0"/>
    <w:rPr>
      <w:rFonts w:hint="default" w:ascii="Times New Roman" w:hAnsi="Times New Roman" w:cs="Times New Roman"/>
      <w:color w:val="000000"/>
      <w:sz w:val="20"/>
      <w:szCs w:val="20"/>
      <w:u w:val="none"/>
    </w:rPr>
  </w:style>
  <w:style w:type="character" w:customStyle="1" w:styleId="10">
    <w:name w:val="font31"/>
    <w:qFormat/>
    <w:uiPriority w:val="0"/>
    <w:rPr>
      <w:rFonts w:hint="eastAsia" w:ascii="宋体" w:hAnsi="宋体" w:eastAsia="宋体" w:cs="宋体"/>
      <w:color w:val="000000"/>
      <w:sz w:val="20"/>
      <w:szCs w:val="20"/>
      <w:u w:val="none"/>
    </w:rPr>
  </w:style>
  <w:style w:type="paragraph" w:styleId="11">
    <w:name w:val="List Paragraph"/>
    <w:basedOn w:val="1"/>
    <w:unhideWhenUsed/>
    <w:qFormat/>
    <w:uiPriority w:val="99"/>
    <w:pPr>
      <w:ind w:firstLine="420" w:firstLineChars="200"/>
    </w:pPr>
  </w:style>
  <w:style w:type="paragraph" w:customStyle="1" w:styleId="12">
    <w:name w:val="四号正文"/>
    <w:basedOn w:val="1"/>
    <w:uiPriority w:val="0"/>
    <w:pPr>
      <w:spacing w:line="360" w:lineRule="auto"/>
    </w:pPr>
    <w:rPr>
      <w:rFonts w:ascii="??" w:hAnsi="??" w:eastAsia="宋体" w:cs="宋体"/>
      <w:color w:val="000000"/>
      <w:kern w:val="0"/>
      <w:sz w:val="28"/>
      <w:szCs w:val="21"/>
    </w:rPr>
  </w:style>
  <w:style w:type="paragraph" w:customStyle="1" w:styleId="13">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2021-06-22T09:27:00Z</dcterms:created>
  <dc:creator>Owner</dc:creator>
  <cp:lastModifiedBy>鲁炳权</cp:lastModifiedBy>
  <cp:lastPrinted>2021-06-24T01:12:00Z</cp:lastPrinted>
  <dcterms:modified xsi:type="dcterms:W3CDTF">2021-09-10T09:00:20Z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