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hint="eastAsia" w:eastAsia="方正小标宋_GBK"/>
          <w:sz w:val="36"/>
          <w:szCs w:val="36"/>
          <w:lang w:eastAsia="zh-CN"/>
        </w:rPr>
      </w:pPr>
      <w:r>
        <w:rPr>
          <w:rFonts w:hint="eastAsia" w:eastAsia="方正小标宋_GBK"/>
          <w:sz w:val="36"/>
          <w:szCs w:val="36"/>
          <w:lang w:eastAsia="zh-CN"/>
        </w:rPr>
        <w:t>盐边县人力资源和社会保障局</w:t>
      </w:r>
    </w:p>
    <w:p>
      <w:pPr>
        <w:spacing w:line="640" w:lineRule="exact"/>
        <w:jc w:val="center"/>
        <w:rPr>
          <w:rFonts w:hint="eastAsia" w:eastAsia="方正小标宋_GBK"/>
          <w:sz w:val="36"/>
          <w:szCs w:val="36"/>
          <w:lang w:eastAsia="zh-CN"/>
        </w:rPr>
      </w:pPr>
      <w:r>
        <w:rPr>
          <w:rFonts w:eastAsia="方正小标宋_GBK"/>
          <w:sz w:val="36"/>
          <w:szCs w:val="36"/>
        </w:rPr>
        <w:t>2020年度</w:t>
      </w:r>
      <w:r>
        <w:rPr>
          <w:rFonts w:hint="eastAsia" w:eastAsia="方正小标宋_GBK"/>
          <w:sz w:val="36"/>
          <w:szCs w:val="36"/>
          <w:lang w:eastAsia="zh-CN"/>
        </w:rPr>
        <w:t>仲裁办案人员和劳动保障监察大队</w:t>
      </w:r>
    </w:p>
    <w:p>
      <w:pPr>
        <w:spacing w:line="640" w:lineRule="exact"/>
        <w:jc w:val="center"/>
        <w:rPr>
          <w:rFonts w:eastAsia="方正小标宋_GBK"/>
          <w:sz w:val="36"/>
          <w:szCs w:val="36"/>
        </w:rPr>
      </w:pPr>
      <w:r>
        <w:rPr>
          <w:rFonts w:hint="eastAsia" w:eastAsia="方正小标宋_GBK"/>
          <w:sz w:val="36"/>
          <w:szCs w:val="36"/>
          <w:lang w:eastAsia="zh-CN"/>
        </w:rPr>
        <w:t>办案人员服装费</w:t>
      </w:r>
      <w:r>
        <w:rPr>
          <w:rFonts w:eastAsia="方正小标宋_GBK"/>
          <w:sz w:val="36"/>
          <w:szCs w:val="36"/>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napToGrid w:val="0"/>
        <w:spacing w:line="520" w:lineRule="exact"/>
        <w:ind w:firstLine="640" w:firstLineChars="200"/>
        <w:rPr>
          <w:rFonts w:hint="eastAsia" w:ascii="仿宋_GB2312" w:hAnsi="仿宋" w:eastAsia="仿宋_GB2312"/>
          <w:color w:val="auto"/>
          <w:sz w:val="32"/>
          <w:szCs w:val="32"/>
          <w:highlight w:val="none"/>
          <w:lang w:eastAsia="zh-CN"/>
        </w:rPr>
      </w:pPr>
      <w:r>
        <w:rPr>
          <w:rFonts w:hint="eastAsia" w:ascii="仿宋_GB2312" w:hAnsi="仿宋" w:eastAsia="仿宋_GB2312"/>
          <w:color w:val="auto"/>
          <w:sz w:val="32"/>
          <w:szCs w:val="32"/>
          <w:lang w:eastAsia="zh-CN"/>
        </w:rPr>
        <w:t>该项目实施单位为盐边县人力资源和社会保障局，项目名称为：仲裁办案人员和劳动保障监察大队办案人员服装费。该项目实施内容为：</w:t>
      </w:r>
      <w:r>
        <w:rPr>
          <w:rFonts w:hint="eastAsia" w:ascii="仿宋_GB2312" w:hAnsi="仿宋_GB2312" w:eastAsia="仿宋_GB2312" w:cs="仿宋_GB2312"/>
          <w:sz w:val="32"/>
          <w:szCs w:val="32"/>
          <w:lang w:eastAsia="zh-CN"/>
        </w:rPr>
        <w:t>为贯彻省人力资源和社会保障厅《关于进一步加强劳动人事争议调解仲裁完善多元化处理机制的实施意见》（川人社发﹝</w:t>
      </w:r>
      <w:r>
        <w:rPr>
          <w:rFonts w:hint="eastAsia" w:ascii="仿宋_GB2312" w:hAnsi="仿宋_GB2312" w:eastAsia="仿宋_GB2312" w:cs="仿宋_GB2312"/>
          <w:sz w:val="32"/>
          <w:szCs w:val="32"/>
          <w:lang w:val="en-US" w:eastAsia="zh-CN"/>
        </w:rPr>
        <w:t>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52号</w:t>
      </w:r>
      <w:r>
        <w:rPr>
          <w:rFonts w:hint="eastAsia" w:ascii="仿宋_GB2312" w:hAnsi="仿宋_GB2312" w:eastAsia="仿宋_GB2312" w:cs="仿宋_GB2312"/>
          <w:sz w:val="32"/>
          <w:szCs w:val="32"/>
          <w:lang w:eastAsia="zh-CN"/>
        </w:rPr>
        <w:t>）、《四川省人力资源和社会保障厅关于全省劳动人事争议仲裁工作人员统一着装有关事项的通知》（川人社办发﹝</w:t>
      </w:r>
      <w:r>
        <w:rPr>
          <w:rFonts w:hint="eastAsia"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142号</w:t>
      </w:r>
      <w:r>
        <w:rPr>
          <w:rFonts w:hint="eastAsia" w:ascii="仿宋_GB2312" w:hAnsi="仿宋_GB2312" w:eastAsia="仿宋_GB2312" w:cs="仿宋_GB2312"/>
          <w:sz w:val="32"/>
          <w:szCs w:val="32"/>
          <w:lang w:eastAsia="zh-CN"/>
        </w:rPr>
        <w:t>）和《四川省人力资源和社会保障厅关于制作</w:t>
      </w:r>
      <w:r>
        <w:rPr>
          <w:rFonts w:hint="eastAsia" w:ascii="仿宋_GB2312" w:hAnsi="仿宋_GB2312" w:eastAsia="仿宋_GB2312" w:cs="仿宋_GB2312"/>
          <w:sz w:val="32"/>
          <w:szCs w:val="32"/>
          <w:lang w:val="en-US" w:eastAsia="zh-CN"/>
        </w:rPr>
        <w:t>2018年-2019年度劳动保障监察员工作服的通知</w:t>
      </w:r>
      <w:r>
        <w:rPr>
          <w:rFonts w:hint="eastAsia" w:ascii="仿宋_GB2312" w:hAnsi="仿宋_GB2312" w:eastAsia="仿宋_GB2312" w:cs="仿宋_GB2312"/>
          <w:sz w:val="32"/>
          <w:szCs w:val="32"/>
          <w:lang w:eastAsia="zh-CN"/>
        </w:rPr>
        <w:t>》（川人社函﹝</w:t>
      </w:r>
      <w:r>
        <w:rPr>
          <w:rFonts w:hint="eastAsia"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632号</w:t>
      </w:r>
      <w:r>
        <w:rPr>
          <w:rFonts w:hint="eastAsia" w:ascii="仿宋_GB2312" w:hAnsi="仿宋_GB2312" w:eastAsia="仿宋_GB2312" w:cs="仿宋_GB2312"/>
          <w:sz w:val="32"/>
          <w:szCs w:val="32"/>
          <w:lang w:eastAsia="zh-CN"/>
        </w:rPr>
        <w:t>）的文件要求，进一步树立良好形象，体现</w:t>
      </w:r>
      <w:r>
        <w:rPr>
          <w:rFonts w:hint="eastAsia" w:ascii="仿宋_GB2312" w:hAnsi="仿宋_GB2312" w:eastAsia="仿宋_GB2312" w:cs="仿宋_GB2312"/>
          <w:sz w:val="32"/>
          <w:szCs w:val="32"/>
          <w:lang w:val="en-US" w:eastAsia="zh-CN"/>
        </w:rPr>
        <w:t>劳动保障监察工作的公正性和严肃性，为劳动保障监察大队4名办案人员定制监察工作服和仲裁院4名办案人员定制仲裁服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eastAsia="zh-CN"/>
        </w:rPr>
        <w:t>依据盐财资社【2020】45号</w:t>
      </w:r>
      <w:r>
        <w:rPr>
          <w:rFonts w:hint="eastAsia" w:ascii="仿宋_GB2312" w:hAnsi="仿宋" w:eastAsia="仿宋_GB2312"/>
          <w:color w:val="auto"/>
          <w:sz w:val="32"/>
          <w:szCs w:val="32"/>
          <w:lang w:val="en-US" w:eastAsia="zh-CN"/>
        </w:rPr>
        <w:t>对</w:t>
      </w:r>
      <w:r>
        <w:rPr>
          <w:rFonts w:hint="eastAsia" w:ascii="仿宋_GB2312" w:hAnsi="仿宋" w:eastAsia="仿宋_GB2312"/>
          <w:color w:val="auto"/>
          <w:sz w:val="32"/>
          <w:szCs w:val="32"/>
          <w:lang w:eastAsia="zh-CN"/>
        </w:rPr>
        <w:t>仲裁办案人员和劳动保障监察大队办案人员服装费等文件要求，20</w:t>
      </w:r>
      <w:r>
        <w:rPr>
          <w:rFonts w:hint="eastAsia" w:ascii="仿宋_GB2312" w:hAnsi="仿宋" w:eastAsia="仿宋_GB2312"/>
          <w:color w:val="auto"/>
          <w:sz w:val="32"/>
          <w:szCs w:val="32"/>
          <w:lang w:val="en-US" w:eastAsia="zh-CN"/>
        </w:rPr>
        <w:t>20</w:t>
      </w:r>
      <w:r>
        <w:rPr>
          <w:rFonts w:hint="eastAsia" w:ascii="仿宋_GB2312" w:hAnsi="仿宋" w:eastAsia="仿宋_GB2312"/>
          <w:color w:val="auto"/>
          <w:sz w:val="32"/>
          <w:szCs w:val="32"/>
          <w:lang w:eastAsia="zh-CN"/>
        </w:rPr>
        <w:t>年仲裁办案人员和劳动保障监察大队办案人员服装费共计</w:t>
      </w:r>
      <w:r>
        <w:rPr>
          <w:rFonts w:hint="eastAsia" w:ascii="仿宋_GB2312" w:hAnsi="仿宋" w:eastAsia="仿宋_GB2312"/>
          <w:color w:val="auto"/>
          <w:sz w:val="32"/>
          <w:szCs w:val="32"/>
          <w:lang w:val="en-US" w:eastAsia="zh-CN"/>
        </w:rPr>
        <w:t>47044元。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numPr>
          <w:numId w:val="0"/>
        </w:numPr>
        <w:autoSpaceDE w:val="0"/>
        <w:autoSpaceDN w:val="0"/>
        <w:adjustRightInd w:val="0"/>
        <w:spacing w:line="560" w:lineRule="exact"/>
        <w:jc w:val="left"/>
        <w:rPr>
          <w:rFonts w:ascii="Times New Roman" w:hAnsi="Times New Roman" w:eastAsia="仿宋_GB2312"/>
          <w:color w:val="FF0000"/>
          <w:kern w:val="0"/>
          <w:sz w:val="32"/>
          <w:szCs w:val="32"/>
        </w:rPr>
      </w:pPr>
      <w:r>
        <w:rPr>
          <w:rFonts w:hint="eastAsia" w:ascii="仿宋_GB2312" w:hAnsi="仿宋" w:eastAsia="仿宋_GB2312"/>
          <w:color w:val="auto"/>
          <w:sz w:val="32"/>
          <w:szCs w:val="32"/>
          <w:lang w:val="en-US" w:eastAsia="zh-CN"/>
        </w:rPr>
        <w:t xml:space="preserve">    </w:t>
      </w:r>
      <w:r>
        <w:rPr>
          <w:rFonts w:hint="eastAsia" w:ascii="仿宋_GB2312" w:hAnsi="仿宋" w:eastAsia="仿宋_GB2312"/>
          <w:color w:val="auto"/>
          <w:sz w:val="32"/>
          <w:szCs w:val="32"/>
          <w:lang w:eastAsia="zh-CN"/>
        </w:rPr>
        <w:t>该笔项目资金的管理，依据盐边财政关于项目资金的使用要求进行资金管理，专款专用，及时用于</w:t>
      </w:r>
      <w:r>
        <w:rPr>
          <w:rFonts w:hint="eastAsia" w:ascii="仿宋_GB2312" w:hAnsi="仿宋_GB2312" w:eastAsia="仿宋_GB2312" w:cs="仿宋_GB2312"/>
          <w:sz w:val="32"/>
          <w:szCs w:val="32"/>
          <w:lang w:val="en-US" w:eastAsia="zh-CN"/>
        </w:rPr>
        <w:t>劳动保障监察大队4名办案人员定制监察工作服和仲裁院4名办案人员定制仲裁服</w:t>
      </w:r>
      <w:r>
        <w:rPr>
          <w:rFonts w:hint="eastAsia" w:ascii="仿宋_GB2312" w:hAnsi="仿宋" w:eastAsia="仿宋_GB2312"/>
          <w:color w:val="auto"/>
          <w:sz w:val="32"/>
          <w:szCs w:val="32"/>
          <w:lang w:eastAsia="zh-CN"/>
        </w:rPr>
        <w:t>。</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lang w:eastAsia="zh-CN"/>
        </w:rPr>
        <w:t>根据</w:t>
      </w:r>
      <w:r>
        <w:rPr>
          <w:rFonts w:hint="eastAsia" w:ascii="仿宋_GB2312" w:hAnsi="仿宋" w:eastAsia="仿宋_GB2312"/>
          <w:color w:val="auto"/>
          <w:sz w:val="32"/>
          <w:szCs w:val="32"/>
          <w:lang w:eastAsia="zh-CN"/>
        </w:rPr>
        <w:t>盐财资社【2020】45号文件要求及该工作实际情况，</w:t>
      </w:r>
      <w:r>
        <w:rPr>
          <w:rFonts w:hint="eastAsia" w:ascii="仿宋_GB2312" w:hAnsi="仿宋_GB2312" w:eastAsia="仿宋_GB2312" w:cs="仿宋_GB2312"/>
          <w:sz w:val="32"/>
          <w:szCs w:val="32"/>
          <w:lang w:eastAsia="zh-CN"/>
        </w:rPr>
        <w:t>进一步树立良好形象，体现</w:t>
      </w:r>
      <w:r>
        <w:rPr>
          <w:rFonts w:hint="eastAsia" w:ascii="仿宋_GB2312" w:hAnsi="仿宋_GB2312" w:eastAsia="仿宋_GB2312" w:cs="仿宋_GB2312"/>
          <w:sz w:val="32"/>
          <w:szCs w:val="32"/>
          <w:lang w:val="en-US" w:eastAsia="zh-CN"/>
        </w:rPr>
        <w:t>劳动保障监察工作的公正性和严肃性，为劳动保障监察大队4名办案人员定制监察工作服和仲裁院4名办案人员定制仲裁服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autoSpaceDE w:val="0"/>
        <w:autoSpaceDN w:val="0"/>
        <w:adjustRightInd w:val="0"/>
        <w:spacing w:line="560" w:lineRule="exact"/>
        <w:ind w:firstLine="640" w:firstLineChars="200"/>
        <w:jc w:val="left"/>
        <w:rPr>
          <w:rFonts w:ascii="Times New Roman" w:hAnsi="Times New Roman" w:eastAsia="仿宋_GB2312"/>
          <w:color w:val="FF0000"/>
          <w:kern w:val="0"/>
          <w:sz w:val="32"/>
          <w:szCs w:val="32"/>
        </w:rPr>
      </w:pPr>
      <w:r>
        <w:rPr>
          <w:rFonts w:hint="eastAsia" w:ascii="仿宋_GB2312" w:hAnsi="仿宋" w:eastAsia="仿宋_GB2312"/>
          <w:color w:val="auto"/>
          <w:sz w:val="32"/>
          <w:szCs w:val="32"/>
          <w:lang w:eastAsia="zh-CN"/>
        </w:rPr>
        <w:t>项目主要内容为：</w:t>
      </w:r>
      <w:r>
        <w:rPr>
          <w:rFonts w:hint="eastAsia" w:ascii="仿宋_GB2312" w:hAnsi="仿宋_GB2312" w:eastAsia="仿宋_GB2312" w:cs="仿宋_GB2312"/>
          <w:sz w:val="32"/>
          <w:szCs w:val="32"/>
          <w:lang w:eastAsia="zh-CN"/>
        </w:rPr>
        <w:t>为贯彻省人力资源和社会保障厅《关于进一步加强劳动人事争议调解仲裁完善多元化处理机制的实施意见》（川人社发﹝</w:t>
      </w:r>
      <w:r>
        <w:rPr>
          <w:rFonts w:hint="eastAsia" w:ascii="仿宋_GB2312" w:hAnsi="仿宋_GB2312" w:eastAsia="仿宋_GB2312" w:cs="仿宋_GB2312"/>
          <w:sz w:val="32"/>
          <w:szCs w:val="32"/>
          <w:lang w:val="en-US" w:eastAsia="zh-CN"/>
        </w:rPr>
        <w:t>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52号</w:t>
      </w:r>
      <w:r>
        <w:rPr>
          <w:rFonts w:hint="eastAsia" w:ascii="仿宋_GB2312" w:hAnsi="仿宋_GB2312" w:eastAsia="仿宋_GB2312" w:cs="仿宋_GB2312"/>
          <w:sz w:val="32"/>
          <w:szCs w:val="32"/>
          <w:lang w:eastAsia="zh-CN"/>
        </w:rPr>
        <w:t>）、《四川省人力资源和社会保障厅关于全省劳动人事争议仲裁工作人员统一着装有关事项的通知》（川人社办发﹝</w:t>
      </w:r>
      <w:r>
        <w:rPr>
          <w:rFonts w:hint="eastAsia"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142号</w:t>
      </w:r>
      <w:r>
        <w:rPr>
          <w:rFonts w:hint="eastAsia" w:ascii="仿宋_GB2312" w:hAnsi="仿宋_GB2312" w:eastAsia="仿宋_GB2312" w:cs="仿宋_GB2312"/>
          <w:sz w:val="32"/>
          <w:szCs w:val="32"/>
          <w:lang w:eastAsia="zh-CN"/>
        </w:rPr>
        <w:t>）和《四川省人力资源和社会保障厅关于制作</w:t>
      </w:r>
      <w:r>
        <w:rPr>
          <w:rFonts w:hint="eastAsia" w:ascii="仿宋_GB2312" w:hAnsi="仿宋_GB2312" w:eastAsia="仿宋_GB2312" w:cs="仿宋_GB2312"/>
          <w:sz w:val="32"/>
          <w:szCs w:val="32"/>
          <w:lang w:val="en-US" w:eastAsia="zh-CN"/>
        </w:rPr>
        <w:t>2018年-2019年度劳动保障监察员工作服的通知</w:t>
      </w:r>
      <w:r>
        <w:rPr>
          <w:rFonts w:hint="eastAsia" w:ascii="仿宋_GB2312" w:hAnsi="仿宋_GB2312" w:eastAsia="仿宋_GB2312" w:cs="仿宋_GB2312"/>
          <w:sz w:val="32"/>
          <w:szCs w:val="32"/>
          <w:lang w:eastAsia="zh-CN"/>
        </w:rPr>
        <w:t>》（川人社函﹝</w:t>
      </w:r>
      <w:r>
        <w:rPr>
          <w:rFonts w:hint="eastAsia" w:ascii="仿宋_GB2312" w:hAnsi="仿宋_GB2312" w:eastAsia="仿宋_GB2312" w:cs="仿宋_GB2312"/>
          <w:sz w:val="32"/>
          <w:szCs w:val="32"/>
          <w:lang w:val="en-US" w:eastAsia="zh-CN"/>
        </w:rPr>
        <w:t>2018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632号</w:t>
      </w:r>
      <w:r>
        <w:rPr>
          <w:rFonts w:hint="eastAsia" w:ascii="仿宋_GB2312" w:hAnsi="仿宋_GB2312" w:eastAsia="仿宋_GB2312" w:cs="仿宋_GB2312"/>
          <w:sz w:val="32"/>
          <w:szCs w:val="32"/>
          <w:lang w:eastAsia="zh-CN"/>
        </w:rPr>
        <w:t>）的文件要求，进一步树立良好形象，体现</w:t>
      </w:r>
      <w:r>
        <w:rPr>
          <w:rFonts w:hint="eastAsia" w:ascii="仿宋_GB2312" w:hAnsi="仿宋_GB2312" w:eastAsia="仿宋_GB2312" w:cs="仿宋_GB2312"/>
          <w:sz w:val="32"/>
          <w:szCs w:val="32"/>
          <w:lang w:val="en-US" w:eastAsia="zh-CN"/>
        </w:rPr>
        <w:t>劳动保障监察工作的公正性和严肃性，为劳动保障监察大队4名办案人员定制监察工作服和仲裁院4名办案人员定制仲裁服</w:t>
      </w:r>
      <w:r>
        <w:rPr>
          <w:rFonts w:hint="eastAsia" w:ascii="仿宋_GB2312" w:hAnsi="仿宋" w:eastAsia="仿宋_GB2312"/>
          <w:color w:val="auto"/>
          <w:sz w:val="32"/>
          <w:szCs w:val="32"/>
          <w:highlight w:val="none"/>
          <w:lang w:val="en-US"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项目应实现的具体绩效目标</w:t>
      </w:r>
      <w:r>
        <w:rPr>
          <w:rFonts w:hint="eastAsia" w:ascii="Times New Roman" w:hAnsi="Times New Roman" w:eastAsia="仿宋_GB2312"/>
          <w:color w:val="auto"/>
          <w:kern w:val="0"/>
          <w:sz w:val="32"/>
          <w:szCs w:val="32"/>
          <w:lang w:eastAsia="zh-CN"/>
        </w:rPr>
        <w:t>：</w:t>
      </w:r>
      <w:r>
        <w:rPr>
          <w:rFonts w:hint="eastAsia" w:ascii="仿宋_GB2312" w:hAnsi="仿宋_GB2312" w:eastAsia="仿宋_GB2312" w:cs="仿宋_GB2312"/>
          <w:sz w:val="32"/>
          <w:szCs w:val="32"/>
          <w:lang w:eastAsia="zh-CN"/>
        </w:rPr>
        <w:t>进一步树立良好形象，体现</w:t>
      </w:r>
      <w:r>
        <w:rPr>
          <w:rFonts w:hint="eastAsia" w:ascii="仿宋_GB2312" w:hAnsi="仿宋_GB2312" w:eastAsia="仿宋_GB2312" w:cs="仿宋_GB2312"/>
          <w:sz w:val="32"/>
          <w:szCs w:val="32"/>
          <w:lang w:val="en-US" w:eastAsia="zh-CN"/>
        </w:rPr>
        <w:t>劳动保障监察工作的公正性和严肃性，为劳动保障监察大队4名办案人员定制监察工作服和仲裁院4名办案人员定制仲裁服</w:t>
      </w:r>
      <w:r>
        <w:rPr>
          <w:rFonts w:hint="eastAsia" w:ascii="Times New Roman" w:hAnsi="Times New Roman" w:eastAsia="仿宋_GB2312"/>
          <w:color w:val="auto"/>
          <w:kern w:val="0"/>
          <w:sz w:val="32"/>
          <w:szCs w:val="32"/>
          <w:lang w:val="en-US" w:eastAsia="zh-CN"/>
        </w:rPr>
        <w:t>。年终决算时，纳入项目支出的资金共计</w:t>
      </w:r>
      <w:r>
        <w:rPr>
          <w:rFonts w:hint="eastAsia" w:eastAsia="仿宋_GB2312"/>
          <w:color w:val="auto"/>
          <w:kern w:val="0"/>
          <w:sz w:val="32"/>
          <w:szCs w:val="32"/>
          <w:lang w:val="en-US" w:eastAsia="zh-CN"/>
        </w:rPr>
        <w:t>47044</w:t>
      </w:r>
      <w:r>
        <w:rPr>
          <w:rFonts w:hint="eastAsia" w:ascii="Times New Roman" w:hAnsi="Times New Roman" w:eastAsia="仿宋_GB2312"/>
          <w:color w:val="auto"/>
          <w:kern w:val="0"/>
          <w:sz w:val="32"/>
          <w:szCs w:val="32"/>
          <w:lang w:val="en-US" w:eastAsia="zh-CN"/>
        </w:rPr>
        <w:t>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分析评价申报内容与实际相符，申报目标合理可行。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1.</w:t>
      </w:r>
      <w:r>
        <w:rPr>
          <w:rFonts w:eastAsia="仿宋_GB2312"/>
          <w:color w:val="auto"/>
          <w:sz w:val="32"/>
          <w:szCs w:val="32"/>
        </w:rPr>
        <w:t>前期准备</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eastAsia="仿宋_GB2312"/>
          <w:color w:val="auto"/>
          <w:sz w:val="32"/>
          <w:szCs w:val="32"/>
          <w:lang w:val="en-US" w:eastAsia="zh-CN"/>
        </w:rPr>
        <w:t>应盐边财政</w:t>
      </w:r>
      <w:r>
        <w:rPr>
          <w:rFonts w:hint="eastAsia" w:ascii="仿宋_GB2312" w:hAnsi="仿宋_GB2312" w:eastAsia="仿宋_GB2312" w:cs="仿宋_GB2312"/>
          <w:color w:val="auto"/>
          <w:sz w:val="32"/>
          <w:szCs w:val="32"/>
          <w:lang w:val="en-US" w:eastAsia="zh-CN"/>
        </w:rPr>
        <w:t>关于开展2020年项目资金支出绩效评价的工作要求，经局主要领导安排，由财务室编制本项支出绩效评价报告，及时报送县级财政业务股室。</w:t>
      </w:r>
    </w:p>
    <w:p>
      <w:pPr>
        <w:numPr>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其中，财务室负责落实的材料：</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（1）上述资金下达文件，相关支出凭证及附件明细，复印待查。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（2）明确资金入账及出账时间，复印凭证待查。</w:t>
      </w:r>
    </w:p>
    <w:p>
      <w:pPr>
        <w:numPr>
          <w:numId w:val="0"/>
        </w:numPr>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（3）财务室负责起草本评价报告。</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2.</w:t>
      </w:r>
      <w:r>
        <w:rPr>
          <w:rFonts w:eastAsia="仿宋_GB2312"/>
          <w:color w:val="auto"/>
          <w:sz w:val="32"/>
          <w:szCs w:val="32"/>
        </w:rPr>
        <w:t>组织实施</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财务室安排股室业务骨干准备相关资料，通过核实明细项等措施，做好扎实的数据清理工作，以此，逐项开展自评工作，确保评价结果客观。</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3.</w:t>
      </w:r>
      <w:r>
        <w:rPr>
          <w:rFonts w:eastAsia="仿宋_GB2312"/>
          <w:color w:val="auto"/>
          <w:sz w:val="32"/>
          <w:szCs w:val="32"/>
        </w:rPr>
        <w:t>评价开展</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在完成上述前期工作准备后，财务室于2021年9月3日，试开展第一次评价分析工作，对政策决策、过程管理、资金绩效等内容，做出初步分析及评价，对报告重点内容，如：资金收支凭证、最终决算数、目标完成情况等逐项进行了自评，通过拟稿、修正、会审，形成第一次绩效分析报告，呈局领导审阅。</w:t>
      </w:r>
    </w:p>
    <w:p>
      <w:pPr>
        <w:numPr>
          <w:numId w:val="0"/>
        </w:numPr>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lang w:val="en-US" w:eastAsia="zh-CN"/>
        </w:rPr>
        <w:t>2021</w:t>
      </w:r>
      <w:bookmarkStart w:id="0" w:name="_GoBack"/>
      <w:bookmarkEnd w:id="0"/>
      <w:r>
        <w:rPr>
          <w:rFonts w:hint="eastAsia" w:eastAsia="仿宋_GB2312"/>
          <w:color w:val="auto"/>
          <w:sz w:val="32"/>
          <w:szCs w:val="32"/>
          <w:lang w:val="en-US" w:eastAsia="zh-CN"/>
        </w:rPr>
        <w:t>年9月7日，初稿经主要领导阅示，由财务室将绩效评价报告再次进行修改，完善资金绩效指标中资金效益情况—社会效益等细化项修正。</w:t>
      </w:r>
    </w:p>
    <w:p>
      <w:pPr>
        <w:numPr>
          <w:numId w:val="0"/>
        </w:numPr>
        <w:spacing w:line="560" w:lineRule="exact"/>
        <w:rPr>
          <w:rFonts w:eastAsia="仿宋_GB2312"/>
          <w:color w:val="auto"/>
          <w:sz w:val="32"/>
          <w:szCs w:val="32"/>
        </w:rPr>
      </w:pPr>
      <w:r>
        <w:rPr>
          <w:rFonts w:hint="eastAsia" w:eastAsia="仿宋_GB2312"/>
          <w:color w:val="auto"/>
          <w:sz w:val="32"/>
          <w:szCs w:val="32"/>
          <w:lang w:val="en-US" w:eastAsia="zh-CN"/>
        </w:rPr>
        <w:t xml:space="preserve">    4.</w:t>
      </w:r>
      <w:r>
        <w:rPr>
          <w:rFonts w:eastAsia="仿宋_GB2312"/>
          <w:color w:val="auto"/>
          <w:sz w:val="32"/>
          <w:szCs w:val="32"/>
        </w:rPr>
        <w:t>工作成效</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本次绩效评价报告的编制，内容真实、数据准确、评价客观，据实反映了我局2020年</w:t>
      </w:r>
      <w:r>
        <w:rPr>
          <w:rFonts w:hint="eastAsia" w:ascii="仿宋_GB2312" w:hAnsi="仿宋" w:eastAsia="仿宋_GB2312"/>
          <w:color w:val="auto"/>
          <w:sz w:val="32"/>
          <w:szCs w:val="32"/>
          <w:lang w:eastAsia="zh-CN"/>
        </w:rPr>
        <w:t>仲裁办案人员和劳动保障监察大队办案人员服装费支出的基本情况。</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numPr>
          <w:numId w:val="0"/>
        </w:numPr>
        <w:spacing w:line="560" w:lineRule="exact"/>
        <w:rPr>
          <w:rFonts w:hint="eastAsia" w:eastAsia="仿宋_GB2312"/>
          <w:color w:val="auto"/>
          <w:sz w:val="32"/>
          <w:szCs w:val="32"/>
          <w:lang w:val="en-US" w:eastAsia="zh-CN"/>
        </w:rPr>
      </w:pPr>
      <w:r>
        <w:rPr>
          <w:rFonts w:hint="eastAsia" w:eastAsia="仿宋_GB2312"/>
          <w:color w:val="auto"/>
          <w:sz w:val="32"/>
          <w:szCs w:val="32"/>
          <w:lang w:val="en-US" w:eastAsia="zh-CN"/>
        </w:rPr>
        <w:t xml:space="preserve">    根据定制服装费用核算明细数据，于2019年9月，我局拟稿后经局领导阅示，向县政府申请，最终以县人社局正式文件提请县财政局拨付资金。</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color w:val="auto"/>
          <w:sz w:val="32"/>
          <w:szCs w:val="32"/>
          <w:lang w:val="en-US" w:eastAsia="zh-CN"/>
        </w:rPr>
        <w:t>根据县人社局拨付资金的请求，县级财政拟同意拨付该笔专项资金。</w:t>
      </w:r>
    </w:p>
    <w:p>
      <w:pPr>
        <w:spacing w:line="560" w:lineRule="exact"/>
        <w:ind w:firstLine="643" w:firstLineChars="200"/>
        <w:rPr>
          <w:rFonts w:hint="eastAsia" w:eastAsia="仿宋_GB2312"/>
          <w:color w:val="auto"/>
          <w:sz w:val="32"/>
          <w:szCs w:val="32"/>
          <w:lang w:val="en-US" w:eastAsia="zh-CN"/>
        </w:rPr>
      </w:pPr>
      <w:r>
        <w:rPr>
          <w:rFonts w:eastAsia="仿宋_GB2312"/>
          <w:b/>
          <w:sz w:val="32"/>
          <w:szCs w:val="32"/>
        </w:rPr>
        <w:t>2.资金到位。</w:t>
      </w:r>
      <w:r>
        <w:rPr>
          <w:rFonts w:hint="eastAsia" w:eastAsia="仿宋_GB2312"/>
          <w:color w:val="auto"/>
          <w:sz w:val="32"/>
          <w:szCs w:val="32"/>
          <w:lang w:val="en-US" w:eastAsia="zh-CN"/>
        </w:rPr>
        <w:t>2020年9月，该笔项目资金获县财政局批复，并于当月拨付至大平台。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color w:val="auto"/>
          <w:sz w:val="32"/>
          <w:szCs w:val="32"/>
          <w:lang w:val="en-US" w:eastAsia="zh-CN"/>
        </w:rPr>
        <w:t>我局于2020年9月</w:t>
      </w:r>
      <w:r>
        <w:rPr>
          <w:rFonts w:hint="eastAsia" w:eastAsia="仿宋_GB2312"/>
          <w:color w:val="auto"/>
          <w:sz w:val="32"/>
          <w:szCs w:val="32"/>
          <w:lang w:val="en-US" w:eastAsia="zh-CN"/>
        </w:rPr>
        <w:t>，通过财政大平台一次性拨付</w:t>
      </w:r>
      <w:r>
        <w:rPr>
          <w:rFonts w:hint="eastAsia" w:eastAsia="仿宋_GB2312"/>
          <w:color w:val="auto"/>
          <w:sz w:val="32"/>
          <w:szCs w:val="32"/>
          <w:lang w:val="en-US" w:eastAsia="zh-CN"/>
        </w:rPr>
        <w:t>，依据资金使用申报流程，申报该项目支出的用款计划，并将该笔资金以授权支付方式全额划转至成都罗蒙思维服饰有限公司账户，资金划转安全、及时、规范，资金支付合规合法、与预算相符。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ascii="Times New Roman" w:hAnsi="Times New Roman" w:eastAsia="仿宋_GB2312"/>
          <w:color w:val="auto"/>
          <w:kern w:val="0"/>
          <w:sz w:val="32"/>
          <w:szCs w:val="32"/>
          <w:lang w:eastAsia="zh-CN"/>
        </w:rPr>
        <w:t>我</w:t>
      </w:r>
      <w:r>
        <w:rPr>
          <w:rFonts w:hint="eastAsia" w:eastAsia="仿宋_GB2312"/>
          <w:color w:val="auto"/>
          <w:kern w:val="0"/>
          <w:sz w:val="32"/>
          <w:szCs w:val="32"/>
          <w:lang w:eastAsia="zh-CN"/>
        </w:rPr>
        <w:t>局</w:t>
      </w: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1" o:spid="_x0000_s1026" style="position:absolute;left:0;margin-left:192.5pt;margin-top:18.65pt;height:0.05pt;width:84.75pt;rotation:0f;z-index:251658240;"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eastAsia="zh-CN"/>
        </w:rPr>
        <w:t>财务室：资金使用申报</w:t>
      </w:r>
      <w:r>
        <w:rPr>
          <w:rFonts w:hint="eastAsia" w:eastAsia="楷体_GB2312"/>
          <w:sz w:val="32"/>
          <w:szCs w:val="32"/>
          <w:lang w:val="en-US" w:eastAsia="zh-CN"/>
        </w:rPr>
        <w:t xml:space="preserve">           财政局：资金审批</w:t>
      </w: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w:t>
      </w:r>
    </w:p>
    <w:p>
      <w:pPr>
        <w:spacing w:line="560" w:lineRule="exact"/>
        <w:ind w:firstLine="640" w:firstLineChars="200"/>
        <w:rPr>
          <w:rFonts w:hint="eastAsia" w:eastAsia="楷体_GB2312"/>
          <w:sz w:val="32"/>
          <w:szCs w:val="32"/>
          <w:lang w:val="en-US" w:eastAsia="zh-CN"/>
        </w:rPr>
      </w:pPr>
    </w:p>
    <w:p>
      <w:pPr>
        <w:spacing w:line="560" w:lineRule="exact"/>
        <w:ind w:firstLine="640" w:firstLineChars="200"/>
        <w:rPr>
          <w:rFonts w:hint="eastAsia" w:eastAsia="楷体_GB2312"/>
          <w:sz w:val="32"/>
          <w:szCs w:val="32"/>
          <w:lang w:val="en-US" w:eastAsia="zh-CN"/>
        </w:rPr>
      </w:pPr>
      <w:r>
        <w:rPr>
          <w:rFonts w:ascii="Times New Roman" w:hAnsi="Times New Roman" w:eastAsia="宋体" w:cs="Times New Roman"/>
          <w:kern w:val="2"/>
          <w:sz w:val="32"/>
          <w:szCs w:val="24"/>
          <w:lang w:val="en-US" w:eastAsia="zh-CN" w:bidi="ar-SA"/>
        </w:rPr>
        <w:pict>
          <v:line id="箭头 6" o:spid="_x0000_s1028" style="position:absolute;left:0;flip:x;margin-left:202.55pt;margin-top:18.2pt;height:0.05pt;width:66.75pt;rotation:0f;z-index:251660288;" o:ole="f" fillcolor="#FFFFFF" filled="f" o:preferrelative="t" stroked="t" coordsize="21600,21600">
            <v:fill on="f" color2="#FFFFFF" focus="0%"/>
            <v:stroke weight="1.25pt" color="#739CC3" color2="#FFFFFF" miterlimit="2" endarrow="block"/>
            <v:imagedata gain="65536f" blacklevel="0f" gamma="0"/>
            <o:lock v:ext="edit" position="f" selection="f" grouping="f" rotation="f" cropping="f" text="f" aspectratio="f"/>
          </v:line>
        </w:pict>
      </w:r>
      <w:r>
        <w:rPr>
          <w:rFonts w:hint="eastAsia" w:eastAsia="楷体_GB2312"/>
          <w:sz w:val="32"/>
          <w:szCs w:val="32"/>
          <w:lang w:val="en-US" w:eastAsia="zh-CN"/>
        </w:rPr>
        <w:t xml:space="preserve">          银行：支付          财务室：打印支票</w:t>
      </w:r>
    </w:p>
    <w:p>
      <w:pPr>
        <w:spacing w:line="560" w:lineRule="exact"/>
        <w:ind w:firstLine="640" w:firstLineChars="200"/>
        <w:rPr>
          <w:rFonts w:eastAsia="楷体_GB2312"/>
          <w:sz w:val="32"/>
          <w:szCs w:val="32"/>
        </w:rPr>
      </w:pP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eastAsia="仿宋_GB2312"/>
          <w:sz w:val="32"/>
          <w:szCs w:val="32"/>
        </w:rPr>
      </w:pPr>
      <w:r>
        <w:rPr>
          <w:rFonts w:hint="eastAsia" w:ascii="仿宋_GB2312" w:hAnsi="仿宋" w:eastAsia="仿宋_GB2312"/>
          <w:color w:val="auto"/>
          <w:sz w:val="32"/>
          <w:szCs w:val="32"/>
          <w:lang w:val="en-US" w:eastAsia="zh-CN"/>
        </w:rPr>
        <w:t>根据</w:t>
      </w:r>
      <w:r>
        <w:rPr>
          <w:rFonts w:hint="eastAsia" w:ascii="仿宋_GB2312" w:hAnsi="仿宋" w:eastAsia="仿宋_GB2312"/>
          <w:color w:val="auto"/>
          <w:sz w:val="32"/>
          <w:szCs w:val="32"/>
          <w:lang w:eastAsia="zh-CN"/>
        </w:rPr>
        <w:t>盐财资社【2020】45号文件要求</w:t>
      </w:r>
      <w:r>
        <w:rPr>
          <w:rFonts w:hint="eastAsia" w:ascii="仿宋_GB2312" w:hAnsi="仿宋" w:eastAsia="仿宋_GB2312"/>
          <w:color w:val="auto"/>
          <w:sz w:val="32"/>
          <w:szCs w:val="32"/>
          <w:lang w:val="en-US" w:eastAsia="zh-CN"/>
        </w:rPr>
        <w:t>，2020年9月</w:t>
      </w:r>
      <w:r>
        <w:rPr>
          <w:rFonts w:hint="eastAsia" w:eastAsia="仿宋_GB2312"/>
          <w:color w:val="auto"/>
          <w:sz w:val="32"/>
          <w:szCs w:val="32"/>
          <w:lang w:val="en-US" w:eastAsia="zh-CN"/>
        </w:rPr>
        <w:t>该笔项目资金由县财政局拨付至大平台，</w:t>
      </w:r>
      <w:r>
        <w:rPr>
          <w:rFonts w:hint="eastAsia" w:ascii="仿宋_GB2312" w:hAnsi="仿宋_GB2312" w:eastAsia="仿宋_GB2312" w:cs="仿宋_GB2312"/>
          <w:sz w:val="32"/>
          <w:szCs w:val="32"/>
          <w:lang w:val="en-US" w:eastAsia="zh-CN"/>
        </w:rPr>
        <w:t>为劳动保障监察大队4名办案人员定制监察工作服和仲裁院4名办案人员定制仲裁服</w:t>
      </w:r>
      <w:r>
        <w:rPr>
          <w:rFonts w:hint="eastAsia" w:eastAsia="仿宋_GB2312"/>
          <w:color w:val="auto"/>
          <w:sz w:val="32"/>
          <w:szCs w:val="32"/>
          <w:lang w:val="en-US" w:eastAsia="zh-CN"/>
        </w:rPr>
        <w:t>，依据资金使用申报流程，申报该项目支出的用款计划，并将该笔资金以授权支付方式全额划转至成都罗蒙思维服饰有限公司，资金划转安全、及时、规范，资金支付合规合法、与预算相符。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仿宋_GB2312"/>
          <w:sz w:val="32"/>
          <w:szCs w:val="32"/>
        </w:rPr>
      </w:pPr>
      <w:r>
        <w:rPr>
          <w:rFonts w:ascii="Times New Roman" w:hAnsi="Times New Roman" w:eastAsia="仿宋_GB2312"/>
          <w:color w:val="auto"/>
          <w:kern w:val="0"/>
          <w:sz w:val="32"/>
          <w:szCs w:val="32"/>
        </w:rPr>
        <w:t>严格执行</w:t>
      </w:r>
      <w:r>
        <w:rPr>
          <w:rFonts w:hint="eastAsia" w:ascii="Times New Roman" w:hAnsi="Times New Roman" w:eastAsia="仿宋_GB2312"/>
          <w:color w:val="auto"/>
          <w:kern w:val="0"/>
          <w:sz w:val="32"/>
          <w:szCs w:val="32"/>
          <w:lang w:eastAsia="zh-CN"/>
        </w:rPr>
        <w:t>《行政事业单位财务管理制度》等财务管理制度</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lang w:eastAsia="zh-CN"/>
        </w:rPr>
        <w:t>权限管理规范，内控较为严谨，</w:t>
      </w:r>
      <w:r>
        <w:rPr>
          <w:rFonts w:ascii="Times New Roman" w:hAnsi="Times New Roman" w:eastAsia="仿宋_GB2312"/>
          <w:color w:val="auto"/>
          <w:kern w:val="0"/>
          <w:sz w:val="32"/>
          <w:szCs w:val="32"/>
        </w:rPr>
        <w:t>账务处理及时，会计核算规范</w:t>
      </w:r>
      <w:r>
        <w:rPr>
          <w:rFonts w:hint="eastAsia" w:ascii="Times New Roman" w:hAnsi="Times New Roman" w:eastAsia="仿宋_GB2312"/>
          <w:color w:val="auto"/>
          <w:kern w:val="0"/>
          <w:sz w:val="32"/>
          <w:szCs w:val="32"/>
          <w:lang w:eastAsia="zh-CN"/>
        </w:rPr>
        <w:t>，该笔项目资金从申报到支付，均严格遵守资金使用流程，专款专用，依法依规进行全流程、精细化管理，确保资金安全</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ascii="Times New Roman" w:hAnsi="Times New Roman" w:eastAsia="仿宋_GB2312"/>
          <w:color w:val="auto"/>
          <w:kern w:val="0"/>
          <w:sz w:val="32"/>
          <w:szCs w:val="32"/>
          <w:lang w:val="en-US" w:eastAsia="zh-CN"/>
        </w:rPr>
      </w:pPr>
      <w:r>
        <w:rPr>
          <w:rFonts w:hint="eastAsia" w:ascii="仿宋_GB2312" w:hAnsi="仿宋_GB2312" w:eastAsia="仿宋_GB2312" w:cs="仿宋_GB2312"/>
          <w:sz w:val="32"/>
          <w:szCs w:val="32"/>
          <w:lang w:val="en-US" w:eastAsia="zh-CN"/>
        </w:rPr>
        <w:t>为劳动保障监察大队4名办案人员定制监察工作服和仲裁院4名办案人员定制仲裁服，</w:t>
      </w:r>
      <w:r>
        <w:rPr>
          <w:rFonts w:hint="eastAsia" w:ascii="Times New Roman" w:hAnsi="Times New Roman" w:eastAsia="仿宋_GB2312"/>
          <w:color w:val="auto"/>
          <w:kern w:val="0"/>
          <w:sz w:val="32"/>
          <w:szCs w:val="32"/>
          <w:lang w:val="en-US" w:eastAsia="zh-CN"/>
        </w:rPr>
        <w:t>20</w:t>
      </w:r>
      <w:r>
        <w:rPr>
          <w:rFonts w:hint="eastAsia" w:eastAsia="仿宋_GB2312"/>
          <w:color w:val="auto"/>
          <w:kern w:val="0"/>
          <w:sz w:val="32"/>
          <w:szCs w:val="32"/>
          <w:lang w:val="en-US" w:eastAsia="zh-CN"/>
        </w:rPr>
        <w:t>20</w:t>
      </w:r>
      <w:r>
        <w:rPr>
          <w:rFonts w:hint="eastAsia" w:ascii="Times New Roman" w:hAnsi="Times New Roman" w:eastAsia="仿宋_GB2312"/>
          <w:color w:val="auto"/>
          <w:kern w:val="0"/>
          <w:sz w:val="32"/>
          <w:szCs w:val="32"/>
          <w:lang w:val="en-US" w:eastAsia="zh-CN"/>
        </w:rPr>
        <w:t>年</w:t>
      </w:r>
      <w:r>
        <w:rPr>
          <w:rFonts w:hint="eastAsia" w:ascii="仿宋_GB2312" w:hAnsi="仿宋" w:eastAsia="仿宋_GB2312"/>
          <w:color w:val="auto"/>
          <w:sz w:val="32"/>
          <w:szCs w:val="32"/>
          <w:lang w:eastAsia="zh-CN"/>
        </w:rPr>
        <w:t>仲裁办案人员和劳动保障监察大队办案人员服装费</w:t>
      </w:r>
      <w:r>
        <w:rPr>
          <w:rFonts w:hint="eastAsia" w:ascii="Times New Roman" w:hAnsi="Times New Roman" w:eastAsia="仿宋_GB2312"/>
          <w:color w:val="auto"/>
          <w:kern w:val="0"/>
          <w:sz w:val="32"/>
          <w:szCs w:val="32"/>
          <w:lang w:val="en-US" w:eastAsia="zh-CN"/>
        </w:rPr>
        <w:t>共计</w:t>
      </w:r>
      <w:r>
        <w:rPr>
          <w:rFonts w:hint="eastAsia" w:eastAsia="仿宋_GB2312"/>
          <w:color w:val="auto"/>
          <w:kern w:val="0"/>
          <w:sz w:val="32"/>
          <w:szCs w:val="32"/>
          <w:lang w:val="en-US" w:eastAsia="zh-CN"/>
        </w:rPr>
        <w:t>支出47044</w:t>
      </w:r>
      <w:r>
        <w:rPr>
          <w:rFonts w:hint="eastAsia" w:ascii="Times New Roman" w:hAnsi="Times New Roman" w:eastAsia="仿宋_GB2312"/>
          <w:color w:val="auto"/>
          <w:kern w:val="0"/>
          <w:sz w:val="32"/>
          <w:szCs w:val="32"/>
          <w:lang w:val="en-US" w:eastAsia="zh-CN"/>
        </w:rPr>
        <w:t>元。</w:t>
      </w:r>
      <w:r>
        <w:rPr>
          <w:rFonts w:hint="eastAsia" w:ascii="仿宋_GB2312" w:hAnsi="仿宋_GB2312" w:eastAsia="仿宋_GB2312" w:cs="仿宋_GB2312"/>
          <w:sz w:val="32"/>
          <w:szCs w:val="32"/>
          <w:lang w:eastAsia="zh-CN"/>
        </w:rPr>
        <w:t>进一步树立良好形象，体现</w:t>
      </w:r>
      <w:r>
        <w:rPr>
          <w:rFonts w:hint="eastAsia" w:ascii="仿宋_GB2312" w:hAnsi="仿宋_GB2312" w:eastAsia="仿宋_GB2312" w:cs="仿宋_GB2312"/>
          <w:sz w:val="32"/>
          <w:szCs w:val="32"/>
          <w:lang w:val="en-US" w:eastAsia="zh-CN"/>
        </w:rPr>
        <w:t>劳动保障监察工作的公正性和严肃性</w:t>
      </w:r>
      <w:r>
        <w:rPr>
          <w:rFonts w:hint="eastAsia" w:ascii="Times New Roman" w:hAnsi="Times New Roman" w:eastAsia="仿宋_GB2312"/>
          <w:color w:val="auto"/>
          <w:kern w:val="0"/>
          <w:sz w:val="32"/>
          <w:szCs w:val="32"/>
          <w:lang w:val="en-US" w:eastAsia="zh-CN"/>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仿宋_GB2312" w:hAnsi="仿宋_GB2312" w:eastAsia="仿宋_GB2312" w:cs="仿宋_GB2312"/>
          <w:sz w:val="32"/>
          <w:szCs w:val="32"/>
          <w:lang w:val="en-US" w:eastAsia="zh-CN"/>
        </w:rPr>
        <w:t>为劳动保障监察大队4名办案人员定制监察工作服和仲裁院4名办案人员定制仲裁服，</w:t>
      </w:r>
      <w:r>
        <w:rPr>
          <w:rFonts w:hint="eastAsia" w:ascii="仿宋_GB2312" w:hAnsi="仿宋_GB2312" w:eastAsia="仿宋_GB2312" w:cs="仿宋_GB2312"/>
          <w:sz w:val="32"/>
          <w:szCs w:val="32"/>
          <w:lang w:eastAsia="zh-CN"/>
        </w:rPr>
        <w:t>进一步树立良好形象，体现</w:t>
      </w:r>
      <w:r>
        <w:rPr>
          <w:rFonts w:hint="eastAsia" w:ascii="仿宋_GB2312" w:hAnsi="仿宋_GB2312" w:eastAsia="仿宋_GB2312" w:cs="仿宋_GB2312"/>
          <w:sz w:val="32"/>
          <w:szCs w:val="32"/>
          <w:lang w:val="en-US" w:eastAsia="zh-CN"/>
        </w:rPr>
        <w:t>劳动保障监察工作的公正性和严肃性</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color w:val="auto"/>
          <w:sz w:val="32"/>
          <w:szCs w:val="32"/>
          <w:lang w:eastAsia="zh-CN"/>
        </w:rPr>
        <w:t>经初步评价，我局重点</w:t>
      </w:r>
      <w:r>
        <w:rPr>
          <w:rFonts w:eastAsia="仿宋_GB2312"/>
          <w:color w:val="auto"/>
          <w:sz w:val="32"/>
          <w:szCs w:val="32"/>
        </w:rPr>
        <w:t>项目</w:t>
      </w:r>
      <w:r>
        <w:rPr>
          <w:rFonts w:hint="eastAsia" w:eastAsia="仿宋_GB2312"/>
          <w:color w:val="auto"/>
          <w:sz w:val="32"/>
          <w:szCs w:val="32"/>
          <w:lang w:eastAsia="zh-CN"/>
        </w:rPr>
        <w:t>专项</w:t>
      </w:r>
      <w:r>
        <w:rPr>
          <w:rFonts w:eastAsia="仿宋_GB2312"/>
          <w:color w:val="auto"/>
          <w:sz w:val="32"/>
          <w:szCs w:val="32"/>
        </w:rPr>
        <w:t>资金</w:t>
      </w:r>
      <w:r>
        <w:rPr>
          <w:rFonts w:hint="eastAsia" w:eastAsia="仿宋_GB2312"/>
          <w:color w:val="auto"/>
          <w:sz w:val="32"/>
          <w:szCs w:val="32"/>
          <w:lang w:eastAsia="zh-CN"/>
        </w:rPr>
        <w:t>—</w:t>
      </w:r>
      <w:r>
        <w:rPr>
          <w:rFonts w:hint="eastAsia" w:ascii="仿宋_GB2312" w:hAnsi="仿宋" w:eastAsia="仿宋_GB2312"/>
          <w:color w:val="auto"/>
          <w:sz w:val="32"/>
          <w:szCs w:val="32"/>
          <w:lang w:eastAsia="zh-CN"/>
        </w:rPr>
        <w:t>仲裁办案人员和劳动保障监察大队办案人员服装费，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ascii="仿宋_GB2312" w:hAnsi="仿宋" w:eastAsia="仿宋_GB2312"/>
          <w:color w:val="auto"/>
          <w:sz w:val="32"/>
          <w:szCs w:val="32"/>
          <w:lang w:eastAsia="zh-CN"/>
        </w:rPr>
      </w:pPr>
      <w:r>
        <w:rPr>
          <w:rFonts w:hint="eastAsia" w:ascii="仿宋_GB2312" w:hAnsi="仿宋" w:eastAsia="仿宋_GB2312"/>
          <w:color w:val="auto"/>
          <w:sz w:val="32"/>
          <w:szCs w:val="32"/>
          <w:lang w:val="en-US" w:eastAsia="zh-CN"/>
        </w:rPr>
        <w:t>人员调动频繁，新进入人员着装未能统一</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eastAsia="zh-CN"/>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_GB2312" w:hAnsi="仿宋" w:eastAsia="仿宋_GB2312"/>
          <w:color w:val="auto"/>
          <w:sz w:val="32"/>
          <w:szCs w:val="32"/>
          <w:lang w:val="en-US" w:eastAsia="zh-CN"/>
        </w:rPr>
      </w:pPr>
      <w:r>
        <w:rPr>
          <w:rFonts w:hint="eastAsia" w:ascii="仿宋_GB2312" w:hAnsi="仿宋" w:eastAsia="仿宋_GB2312"/>
          <w:color w:val="auto"/>
          <w:sz w:val="32"/>
          <w:szCs w:val="32"/>
          <w:lang w:val="en-US" w:eastAsia="zh-CN"/>
        </w:rPr>
        <w:t>增加编制，固定人员，并及时为新进入人员购买服装，统一着装。</w:t>
      </w:r>
    </w:p>
    <w:p>
      <w:pPr>
        <w:spacing w:line="560" w:lineRule="exact"/>
        <w:rPr>
          <w:rFonts w:hint="eastAsia"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1" w:usb1="080E0000" w:usb2="00000000" w:usb3="00000000" w:csb0="00040000" w:csb1="00000000"/>
  </w:font>
  <w:font w:name="方正楷体_GBK">
    <w:altName w:val="宋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auto"/>
    <w:pitch w:val="default"/>
    <w:sig w:usb0="00000001" w:usb1="080E0000" w:usb2="00000010" w:usb3="00000000" w:csb0="00040000" w:csb1="00000000"/>
  </w:font>
  <w:font w:name="Cambria Math">
    <w:panose1 w:val="02040503050406030204"/>
    <w:charset w:val="00"/>
    <w:family w:val="auto"/>
    <w:pitch w:val="default"/>
    <w:sig w:usb0="E00002FF" w:usb1="420024FF" w:usb2="00000000" w:usb3="00000000" w:csb0="2000019F" w:csb1="00000000"/>
  </w:font>
  <w:font w:name="华文仿宋">
    <w:altName w:val="微软雅黑"/>
    <w:panose1 w:val="02010600040101010101"/>
    <w:charset w:val="86"/>
    <w:family w:val="auto"/>
    <w:pitch w:val="default"/>
    <w:sig w:usb0="00000287" w:usb1="080F0000" w:usb2="00000010" w:usb3="00000000" w:csb0="0004009F" w:csb1="00000000"/>
  </w:font>
  <w:font w:name="Cambria">
    <w:panose1 w:val="02040503050406030204"/>
    <w:charset w:val="00"/>
    <w:family w:val="auto"/>
    <w:pitch w:val="default"/>
    <w:sig w:usb0="E00002FF" w:usb1="400004FF" w:usb2="00000000" w:usb3="00000000" w:csb0="2000019F" w:csb1="00000000"/>
  </w:font>
  <w:font w:name="华文中宋">
    <w:altName w:val="微软雅黑"/>
    <w:panose1 w:val="00000000000000000000"/>
    <w:charset w:val="86"/>
    <w:family w:val="auto"/>
    <w:pitch w:val="default"/>
    <w:sig w:usb0="00000287" w:usb1="080E0000" w:usb2="00000010" w:usb3="00000000" w:csb0="0004009F" w:csb1="00000000"/>
  </w:font>
  <w:font w:name="Traditional Arabic">
    <w:panose1 w:val="02020603050405020304"/>
    <w:charset w:val="00"/>
    <w:family w:val="auto"/>
    <w:pitch w:val="default"/>
    <w:sig w:usb0="00006003" w:usb1="80000000" w:usb2="00000008" w:usb3="00000000" w:csb0="00000041" w:csb1="20080000"/>
  </w:font>
  <w:font w:name="宋体-方正超大字符集">
    <w:altName w:val="宋体"/>
    <w:panose1 w:val="03000509000000000000"/>
    <w:charset w:val="86"/>
    <w:family w:val="auto"/>
    <w:pitch w:val="default"/>
    <w:sig w:usb0="00000001" w:usb1="080E0000" w:usb2="00000010" w:usb3="00000000" w:csb0="00040000" w:csb1="00000000"/>
  </w:font>
  <w:font w:name="TimesNewRoman">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5"/>
    <w:qFormat/>
    <w:uiPriority w:val="0"/>
    <w:pPr>
      <w:pBdr>
        <w:bottom w:val="single" w:color="auto" w:sz="6" w:space="1"/>
      </w:pBdr>
      <w:tabs>
        <w:tab w:val="center" w:pos="4153"/>
        <w:tab w:val="right" w:pos="8306"/>
      </w:tabs>
      <w:snapToGrid w:val="0"/>
      <w:jc w:val="center"/>
    </w:pPr>
    <w:rPr>
      <w:sz w:val="18"/>
      <w:szCs w:val="18"/>
    </w:rPr>
  </w:style>
  <w:style w:type="character" w:customStyle="1" w:styleId="5">
    <w:name w:val="页眉 Char"/>
    <w:basedOn w:val="4"/>
    <w:link w:val="3"/>
    <w:qFormat/>
    <w:uiPriority w:val="0"/>
    <w:rPr>
      <w:rFonts w:ascii="Times New Roman" w:hAnsi="Times New Roman" w:eastAsia="宋体" w:cs="Times New Roman"/>
      <w:kern w:val="2"/>
      <w:sz w:val="18"/>
      <w:szCs w:val="18"/>
    </w:rPr>
  </w:style>
  <w:style w:type="character" w:customStyle="1" w:styleId="6">
    <w:name w:val="页脚 Char"/>
    <w:basedOn w:val="4"/>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dcterms:modified xsi:type="dcterms:W3CDTF">2021-09-09T02:24:19Z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