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color w:val="FF0000"/>
          <w:sz w:val="144"/>
          <w:szCs w:val="144"/>
        </w:rPr>
      </w:pPr>
      <w:r>
        <w:rPr>
          <w:rFonts w:ascii="华文中宋" w:hAnsi="华文中宋" w:eastAsia="华文中宋"/>
          <w:color w:val="FF0000"/>
          <w:sz w:val="144"/>
          <w:szCs w:val="144"/>
        </w:rPr>
        <w:pict>
          <v:shape id="_x0000_i1025" o:spt="136" type="#_x0000_t136" style="height:59.35pt;width:415.3pt;" fillcolor="#FF0000" filled="t" stroked="t" coordsize="21600,21600">
            <v:path/>
            <v:fill on="t" focussize="0,0"/>
            <v:stroke color="#FF0000"/>
            <v:imagedata o:title=""/>
            <o:lock v:ext="edit"/>
            <v:textpath on="t" fitshape="t" fitpath="t" trim="t" xscale="f" string="盐边县永兴中学校文件" style="font-family:华文中宋;font-size:60pt;v-text-align:center;"/>
            <w10:wrap type="none"/>
            <w10:anchorlock/>
          </v:shape>
        </w:pict>
      </w:r>
    </w:p>
    <w:p>
      <w:pPr>
        <w:rPr>
          <w:rFonts w:ascii="仿宋_GB2312" w:eastAsia="仿宋_GB2312"/>
          <w:sz w:val="32"/>
          <w:szCs w:val="32"/>
        </w:rPr>
      </w:pPr>
    </w:p>
    <w:p>
      <w:pPr>
        <w:spacing w:line="360" w:lineRule="auto"/>
        <w:jc w:val="center"/>
        <w:rPr>
          <w:rFonts w:ascii="仿宋_GB2312" w:hAnsi="仿宋_GB2312" w:eastAsia="仿宋_GB2312"/>
          <w:sz w:val="32"/>
          <w:szCs w:val="32"/>
        </w:rPr>
      </w:pPr>
      <w:r>
        <w:rPr>
          <w:rFonts w:hint="eastAsia" w:ascii="仿宋_GB2312" w:hAnsi="仿宋_GB2312" w:eastAsia="仿宋_GB2312"/>
          <w:sz w:val="32"/>
          <w:szCs w:val="32"/>
        </w:rPr>
        <w:t>盐永中〔</w:t>
      </w:r>
      <w:r>
        <w:rPr>
          <w:rFonts w:hint="eastAsia" w:ascii="仿宋_GB2312" w:hAnsi="宋体" w:eastAsia="仿宋_GB2312"/>
          <w:sz w:val="32"/>
          <w:szCs w:val="32"/>
        </w:rPr>
        <w:t>2</w:t>
      </w:r>
      <w:r>
        <w:rPr>
          <w:rFonts w:hint="eastAsia" w:ascii="仿宋_GB2312" w:hAnsi="仿宋_GB2312" w:eastAsia="仿宋_GB2312"/>
          <w:sz w:val="32"/>
          <w:szCs w:val="32"/>
        </w:rPr>
        <w:t>021〕08号</w:t>
      </w:r>
    </w:p>
    <w:p>
      <w:pPr>
        <w:jc w:val="center"/>
        <w:rPr>
          <w:rFonts w:ascii="方正小标宋简体" w:eastAsia="方正小标宋简体"/>
          <w:b/>
          <w:sz w:val="44"/>
          <w:szCs w:val="44"/>
        </w:rPr>
      </w:pPr>
      <w:r>
        <w:rPr>
          <w:rFonts w:ascii="黑体" w:hAnsi="黑体" w:eastAsia="黑体"/>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374650</wp:posOffset>
                </wp:positionV>
                <wp:extent cx="5257800" cy="0"/>
                <wp:effectExtent l="0" t="9525" r="0" b="9525"/>
                <wp:wrapNone/>
                <wp:docPr id="1" name="直接连接符 1"/>
                <wp:cNvGraphicFramePr/>
                <a:graphic xmlns:a="http://schemas.openxmlformats.org/drawingml/2006/main">
                  <a:graphicData uri="http://schemas.microsoft.com/office/word/2010/wordprocessingShape">
                    <wps:wsp>
                      <wps:cNvCnPr/>
                      <wps:spPr>
                        <a:xfrm>
                          <a:off x="0" y="0"/>
                          <a:ext cx="5257800" cy="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pt;margin-top:29.5pt;height:0pt;width:414pt;z-index:251659264;mso-width-relative:page;mso-height-relative:page;" filled="f" stroked="t" coordsize="21600,21600" o:gfxdata="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HfgHivVAAAACAEAAA8AAAAAAAAA&#10;AQAgAAAAIgAAAGRycy9kb3ducmV2LnhtbFBLAQIUABQAAAAIAIdO4kClnFTk2wEAAJcDAAAOAAAA&#10;AAAAAAEAIAAAACQBAABkcnMvZTJvRG9jLnhtbFBLBQYAAAAABgAGAFkBAABxBQAAAAA=&#10;">
                <v:fill on="f" focussize="0,0"/>
                <v:stroke weight="1.5pt" color="#FF0000" joinstyle="round"/>
                <v:imagedata o:title=""/>
                <o:lock v:ext="edit" aspectratio="f"/>
              </v:line>
            </w:pict>
          </mc:Fallback>
        </mc:AlternateContent>
      </w:r>
    </w:p>
    <w:p/>
    <w:p>
      <w:pPr>
        <w:spacing w:line="640" w:lineRule="exact"/>
        <w:jc w:val="center"/>
        <w:outlineLvl w:val="0"/>
        <w:rPr>
          <w:rFonts w:hint="eastAsia" w:eastAsia="方正小标宋_GBK"/>
          <w:b w:val="0"/>
          <w:bCs w:val="0"/>
          <w:sz w:val="44"/>
          <w:szCs w:val="44"/>
        </w:rPr>
      </w:pPr>
      <w:bookmarkStart w:id="0" w:name="_Toc15037"/>
      <w:r>
        <w:rPr>
          <w:rFonts w:hint="eastAsia" w:eastAsia="方正小标宋_GBK"/>
          <w:b w:val="0"/>
          <w:bCs w:val="0"/>
          <w:sz w:val="44"/>
          <w:szCs w:val="44"/>
        </w:rPr>
        <w:t>盐边县永兴中学校</w:t>
      </w:r>
      <w:bookmarkEnd w:id="0"/>
    </w:p>
    <w:p>
      <w:pPr>
        <w:spacing w:line="640" w:lineRule="exact"/>
        <w:jc w:val="center"/>
        <w:outlineLvl w:val="0"/>
        <w:rPr>
          <w:rFonts w:eastAsia="方正小标宋_GBK"/>
          <w:b w:val="0"/>
          <w:bCs w:val="0"/>
          <w:sz w:val="44"/>
          <w:szCs w:val="44"/>
        </w:rPr>
      </w:pPr>
      <w:bookmarkStart w:id="1" w:name="_Toc2502"/>
      <w:r>
        <w:rPr>
          <w:rFonts w:eastAsia="方正小标宋_GBK"/>
          <w:b w:val="0"/>
          <w:bCs w:val="0"/>
          <w:sz w:val="44"/>
          <w:szCs w:val="44"/>
        </w:rPr>
        <w:t>2020年部门整体支出绩效</w:t>
      </w:r>
    </w:p>
    <w:p>
      <w:pPr>
        <w:spacing w:line="640" w:lineRule="exact"/>
        <w:jc w:val="center"/>
        <w:outlineLvl w:val="0"/>
        <w:rPr>
          <w:rFonts w:eastAsia="方正小标宋_GBK"/>
          <w:b w:val="0"/>
          <w:bCs w:val="0"/>
          <w:sz w:val="44"/>
          <w:szCs w:val="44"/>
        </w:rPr>
      </w:pPr>
      <w:r>
        <w:rPr>
          <w:rFonts w:eastAsia="方正小标宋_GBK"/>
          <w:b w:val="0"/>
          <w:bCs w:val="0"/>
          <w:sz w:val="44"/>
          <w:szCs w:val="44"/>
        </w:rPr>
        <w:t>评价报告</w:t>
      </w:r>
      <w:bookmarkEnd w:id="1"/>
    </w:p>
    <w:p/>
    <w:p/>
    <w:p>
      <w:pPr>
        <w:spacing w:line="560" w:lineRule="exact"/>
        <w:ind w:firstLine="640" w:firstLineChars="200"/>
        <w:outlineLvl w:val="0"/>
        <w:rPr>
          <w:rFonts w:eastAsia="仿宋_GB2312"/>
          <w:sz w:val="32"/>
          <w:szCs w:val="32"/>
        </w:rPr>
      </w:pPr>
      <w:bookmarkStart w:id="2" w:name="_Toc15236"/>
      <w:r>
        <w:rPr>
          <w:rFonts w:eastAsia="黑体"/>
          <w:sz w:val="32"/>
          <w:szCs w:val="32"/>
        </w:rPr>
        <w:t>一、部门概况。</w:t>
      </w:r>
      <w:bookmarkEnd w:id="2"/>
    </w:p>
    <w:p>
      <w:pPr>
        <w:pStyle w:val="2"/>
        <w:adjustRightInd w:val="0"/>
        <w:snapToGrid w:val="0"/>
        <w:spacing w:line="600" w:lineRule="exact"/>
        <w:ind w:firstLine="672" w:firstLineChars="210"/>
        <w:outlineLvl w:val="2"/>
        <w:rPr>
          <w:rFonts w:hint="eastAsia" w:hAnsi="仿宋_GB2312" w:cs="仿宋_GB2312"/>
          <w:color w:val="000000"/>
          <w:sz w:val="32"/>
          <w:szCs w:val="32"/>
          <w:lang w:val="zh-CN"/>
        </w:rPr>
      </w:pPr>
      <w:r>
        <w:rPr>
          <w:rFonts w:hint="eastAsia" w:hAnsi="仿宋_GB2312" w:cs="仿宋_GB2312"/>
          <w:color w:val="000000"/>
          <w:sz w:val="32"/>
          <w:szCs w:val="32"/>
        </w:rPr>
        <w:t>机构组成：</w:t>
      </w:r>
      <w:r>
        <w:rPr>
          <w:rFonts w:hint="eastAsia" w:hAnsi="仿宋_GB2312" w:cs="仿宋_GB2312"/>
          <w:color w:val="000000"/>
          <w:sz w:val="32"/>
          <w:szCs w:val="32"/>
          <w:lang w:val="zh-CN"/>
        </w:rPr>
        <w:t>盐边县永兴中学校是经盐边县机构编制委员会批准成立的独立法人机构，是经费独立核算单位。在盐边县教育和体育局领导下的一所乡镇中学校。</w:t>
      </w:r>
    </w:p>
    <w:p>
      <w:pPr>
        <w:pStyle w:val="2"/>
        <w:adjustRightInd w:val="0"/>
        <w:snapToGrid w:val="0"/>
        <w:spacing w:line="600" w:lineRule="exact"/>
        <w:ind w:firstLine="672" w:firstLineChars="210"/>
        <w:outlineLvl w:val="2"/>
        <w:rPr>
          <w:rFonts w:hint="eastAsia" w:ascii="仿宋" w:hAnsi="仿宋" w:eastAsia="仿宋"/>
          <w:bCs/>
          <w:color w:val="000000"/>
          <w:sz w:val="32"/>
          <w:szCs w:val="32"/>
        </w:rPr>
      </w:pPr>
      <w:r>
        <w:rPr>
          <w:rFonts w:hint="eastAsia" w:hAnsi="宋体" w:cs="仿宋_GB2312"/>
          <w:color w:val="000000"/>
          <w:sz w:val="32"/>
          <w:szCs w:val="32"/>
          <w:shd w:val="clear" w:color="auto" w:fill="FFFFFF"/>
          <w:lang w:val="zh-CN"/>
        </w:rPr>
        <w:t>（二）单位基本职能。</w:t>
      </w:r>
    </w:p>
    <w:p>
      <w:pPr>
        <w:pStyle w:val="3"/>
        <w:spacing w:before="0" w:beforeAutospacing="0" w:after="0" w:afterAutospacing="0" w:line="560" w:lineRule="exact"/>
        <w:ind w:firstLine="561"/>
        <w:jc w:val="both"/>
        <w:rPr>
          <w:rFonts w:hint="eastAsia"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zh-CN"/>
        </w:rPr>
        <w:t>盐边县永兴中学校的主要职责是：贯彻落实党的教育方针及有关教育工作的政策、法律、法规、规章，实施初中义务教育，促进农村学校基础教育发展，初中学历教育。</w:t>
      </w:r>
    </w:p>
    <w:p>
      <w:pPr>
        <w:pStyle w:val="3"/>
        <w:spacing w:before="0" w:beforeAutospacing="0" w:after="0" w:afterAutospacing="0" w:line="560" w:lineRule="exact"/>
        <w:ind w:firstLine="561"/>
        <w:jc w:val="both"/>
        <w:rPr>
          <w:rFonts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zh-CN"/>
        </w:rPr>
        <w:t>学校整体支出包括教育基本经费、教育发展信息技术经费、教育发展校方责任经费和教学仪器设备经费。</w:t>
      </w:r>
    </w:p>
    <w:p>
      <w:pPr>
        <w:pStyle w:val="3"/>
        <w:spacing w:before="0" w:beforeAutospacing="0" w:after="0" w:afterAutospacing="0" w:line="560" w:lineRule="exact"/>
        <w:ind w:firstLine="561"/>
        <w:jc w:val="both"/>
        <w:rPr>
          <w:rFonts w:hint="eastAsia"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zh-CN"/>
        </w:rPr>
        <w:t>教育基本经费：保障基础教育教学工作的有效开展以及学校工作的正常运行。</w:t>
      </w:r>
    </w:p>
    <w:p>
      <w:pPr>
        <w:snapToGrid w:val="0"/>
        <w:spacing w:line="360" w:lineRule="auto"/>
        <w:ind w:firstLine="640" w:firstLineChars="200"/>
        <w:rPr>
          <w:rFonts w:hint="eastAsia" w:ascii="仿宋_GB2312" w:hAnsi="仿宋_GB2312" w:eastAsia="仿宋_GB2312" w:cs="仿宋_GB2312"/>
          <w:color w:val="0000FF"/>
          <w:sz w:val="32"/>
          <w:szCs w:val="32"/>
        </w:rPr>
      </w:pPr>
      <w:r>
        <w:rPr>
          <w:rFonts w:hint="eastAsia" w:ascii="仿宋_GB2312" w:hAnsi="仿宋_GB2312" w:eastAsia="仿宋_GB2312" w:cs="仿宋_GB2312"/>
          <w:sz w:val="32"/>
          <w:szCs w:val="32"/>
        </w:rPr>
        <w:t>（三）人员概况：学校编制数117人，在职126人，调出 2人，退休12人，遗嘱6人，其中高级教师21人，一级教师38人，</w:t>
      </w:r>
      <w:r>
        <w:rPr>
          <w:rFonts w:hint="eastAsia" w:ascii="仿宋" w:hAnsi="仿宋" w:eastAsia="仿宋" w:cs="仿宋_GB2312"/>
          <w:sz w:val="32"/>
          <w:szCs w:val="32"/>
        </w:rPr>
        <w:t>二级教师67 人，</w:t>
      </w:r>
      <w:r>
        <w:rPr>
          <w:rFonts w:hint="eastAsia" w:ascii="仿宋" w:hAnsi="仿宋" w:eastAsia="仿宋"/>
          <w:bCs/>
          <w:sz w:val="32"/>
          <w:szCs w:val="32"/>
        </w:rPr>
        <w:t>本科学历 124人，大专学历 2人  。市级学科带头人1人、骨干教师 4 人，县级学科带头人7人、骨干教师 14  人。本年度教学班 27 个，</w:t>
      </w:r>
      <w:r>
        <w:rPr>
          <w:rFonts w:hint="eastAsia" w:ascii="仿宋" w:hAnsi="仿宋" w:eastAsia="仿宋" w:cs="仿宋_GB2312"/>
          <w:sz w:val="32"/>
          <w:szCs w:val="32"/>
        </w:rPr>
        <w:t>在校学生1364人，寄宿生1023 人，随班就读8人，车辆编制1辆。</w:t>
      </w:r>
    </w:p>
    <w:p>
      <w:pPr>
        <w:spacing w:line="560" w:lineRule="exact"/>
        <w:ind w:firstLine="640" w:firstLineChars="200"/>
        <w:outlineLvl w:val="0"/>
        <w:rPr>
          <w:rFonts w:eastAsia="黑体"/>
          <w:sz w:val="32"/>
          <w:szCs w:val="32"/>
        </w:rPr>
      </w:pPr>
      <w:bookmarkStart w:id="3" w:name="_Toc5358"/>
      <w:r>
        <w:rPr>
          <w:rFonts w:eastAsia="黑体"/>
          <w:sz w:val="32"/>
          <w:szCs w:val="32"/>
        </w:rPr>
        <w:t>二、评价工作开展情况</w:t>
      </w:r>
      <w:bookmarkEnd w:id="3"/>
    </w:p>
    <w:p>
      <w:pPr>
        <w:widowControl/>
        <w:adjustRightInd w:val="0"/>
        <w:snapToGrid w:val="0"/>
        <w:spacing w:line="560" w:lineRule="exact"/>
        <w:ind w:firstLine="720"/>
        <w:jc w:val="left"/>
        <w:rPr>
          <w:rFonts w:hint="eastAsia" w:ascii="仿宋_GB2312" w:hAnsi="仿宋_GB2312" w:eastAsia="仿宋_GB2312" w:cs="仿宋_GB2312"/>
          <w:color w:val="000000"/>
          <w:kern w:val="0"/>
          <w:sz w:val="32"/>
          <w:szCs w:val="32"/>
          <w:lang w:val="zh-CN"/>
        </w:rPr>
      </w:pPr>
      <w:r>
        <w:rPr>
          <w:rFonts w:hint="eastAsia" w:ascii="仿宋_GB2312" w:hAnsi="仿宋_GB2312" w:eastAsia="仿宋_GB2312" w:cs="仿宋_GB2312"/>
          <w:color w:val="000000"/>
          <w:kern w:val="0"/>
          <w:sz w:val="32"/>
          <w:szCs w:val="32"/>
          <w:lang w:val="zh-CN"/>
        </w:rPr>
        <w:t>根据《教育部关于当前加强中小学管理规范办学行为的指导意见》等文件精神，结合我校工作实际，我们制定了《学校关于规范办学行为的管理办法》，以此规范我校的办学行为，落实班子成员廉洁行政，教师廉洁从教。</w:t>
      </w:r>
    </w:p>
    <w:p>
      <w:pPr>
        <w:widowControl/>
        <w:adjustRightInd w:val="0"/>
        <w:snapToGrid w:val="0"/>
        <w:spacing w:line="560" w:lineRule="exact"/>
        <w:ind w:firstLine="720"/>
        <w:jc w:val="left"/>
        <w:rPr>
          <w:rFonts w:hint="eastAsia" w:ascii="仿宋_GB2312" w:hAnsi="仿宋_GB2312" w:eastAsia="仿宋_GB2312" w:cs="仿宋_GB2312"/>
          <w:color w:val="000000"/>
          <w:kern w:val="0"/>
          <w:sz w:val="32"/>
          <w:szCs w:val="32"/>
          <w:lang w:val="zh-CN"/>
        </w:rPr>
      </w:pPr>
      <w:r>
        <w:rPr>
          <w:rFonts w:hint="eastAsia" w:ascii="仿宋_GB2312" w:hAnsi="仿宋_GB2312" w:eastAsia="仿宋_GB2312" w:cs="仿宋_GB2312"/>
          <w:color w:val="000000"/>
          <w:kern w:val="0"/>
          <w:sz w:val="32"/>
          <w:szCs w:val="32"/>
        </w:rPr>
        <w:t>校长任组长，副校长任副组长，各部门为成员，对学校全年工作进行考核评分，细化量分准则，评定目标责任制，提高学校整体工作效能，</w:t>
      </w:r>
      <w:r>
        <w:rPr>
          <w:rFonts w:hint="eastAsia" w:ascii="仿宋_GB2312" w:hAnsi="仿宋_GB2312" w:eastAsia="仿宋_GB2312" w:cs="仿宋_GB2312"/>
          <w:color w:val="000000"/>
          <w:kern w:val="0"/>
          <w:sz w:val="32"/>
          <w:szCs w:val="32"/>
          <w:lang w:eastAsia="zh-CN"/>
        </w:rPr>
        <w:t>较好地推动</w:t>
      </w:r>
      <w:r>
        <w:rPr>
          <w:rFonts w:hint="eastAsia" w:ascii="仿宋_GB2312" w:hAnsi="仿宋_GB2312" w:eastAsia="仿宋_GB2312" w:cs="仿宋_GB2312"/>
          <w:color w:val="000000"/>
          <w:kern w:val="0"/>
          <w:sz w:val="32"/>
          <w:szCs w:val="32"/>
        </w:rPr>
        <w:t>全校的教育教学工作平稳健康发展。</w:t>
      </w:r>
    </w:p>
    <w:p>
      <w:pPr>
        <w:spacing w:line="560" w:lineRule="exact"/>
        <w:ind w:firstLine="640" w:firstLineChars="200"/>
        <w:outlineLvl w:val="0"/>
        <w:rPr>
          <w:rFonts w:eastAsia="黑体"/>
          <w:sz w:val="32"/>
          <w:szCs w:val="32"/>
        </w:rPr>
      </w:pPr>
      <w:bookmarkStart w:id="4" w:name="_Toc6961"/>
      <w:r>
        <w:rPr>
          <w:rFonts w:eastAsia="黑体"/>
          <w:sz w:val="32"/>
          <w:szCs w:val="32"/>
        </w:rPr>
        <w:t>三、部门资金基本情况</w:t>
      </w:r>
      <w:bookmarkEnd w:id="4"/>
    </w:p>
    <w:p>
      <w:pPr>
        <w:spacing w:line="560" w:lineRule="exact"/>
        <w:ind w:firstLine="640" w:firstLineChars="200"/>
        <w:rPr>
          <w:rFonts w:eastAsia="楷体_GB2312"/>
          <w:sz w:val="32"/>
          <w:szCs w:val="32"/>
        </w:rPr>
      </w:pPr>
      <w:r>
        <w:rPr>
          <w:rFonts w:eastAsia="楷体_GB2312"/>
          <w:sz w:val="32"/>
          <w:szCs w:val="32"/>
        </w:rPr>
        <w:t>（一）部门财政资金收入情况。</w:t>
      </w:r>
    </w:p>
    <w:p>
      <w:pPr>
        <w:spacing w:line="560" w:lineRule="exact"/>
        <w:ind w:firstLine="640" w:firstLineChars="200"/>
        <w:rPr>
          <w:rFonts w:eastAsia="楷体_GB2312"/>
          <w:sz w:val="32"/>
          <w:szCs w:val="32"/>
        </w:rPr>
      </w:pPr>
      <w:r>
        <w:rPr>
          <w:rFonts w:hint="eastAsia" w:eastAsia="楷体_GB2312"/>
          <w:sz w:val="32"/>
          <w:szCs w:val="32"/>
        </w:rPr>
        <w:t>2020年我校县财政拨款总收入1976.68万元，上年结余36.35万元，当年财政拨款2013.04万元。</w:t>
      </w:r>
    </w:p>
    <w:p>
      <w:pPr>
        <w:spacing w:line="560" w:lineRule="exact"/>
        <w:ind w:firstLine="640" w:firstLineChars="200"/>
        <w:rPr>
          <w:rFonts w:eastAsia="楷体_GB2312"/>
          <w:sz w:val="32"/>
          <w:szCs w:val="32"/>
        </w:rPr>
      </w:pPr>
      <w:r>
        <w:rPr>
          <w:rFonts w:eastAsia="楷体_GB2312"/>
          <w:sz w:val="32"/>
          <w:szCs w:val="32"/>
        </w:rPr>
        <w:t>（二）部门财政资金支出情况。</w:t>
      </w:r>
    </w:p>
    <w:p>
      <w:pPr>
        <w:widowControl/>
        <w:adjustRightInd w:val="0"/>
        <w:snapToGrid w:val="0"/>
        <w:spacing w:line="560" w:lineRule="exact"/>
        <w:ind w:firstLine="720" w:firstLineChars="225"/>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1、2020年县财政划拨我校基本支出1760.73万元，其中：</w:t>
      </w:r>
    </w:p>
    <w:p>
      <w:pPr>
        <w:numPr>
          <w:ilvl w:val="0"/>
          <w:numId w:val="1"/>
        </w:numPr>
        <w:spacing w:line="560" w:lineRule="exact"/>
        <w:ind w:firstLine="480" w:firstLineChars="15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工资福利支出1708.32万元，分别为：基本工资      526.12万元、津贴补贴127.55万元、绩效工资587.86万元社会保障缴费39.76万元，机关事业单位基本养老保险缴费167.9万元；职业年金缴费5.59万元，职工基本医疗保险缴费76.18万元，公务员医疗补助缴费11.13万元，其他社会保障缴费19.35元。住房公积金158.18万元。其他工资福利支出28.43万元。</w:t>
      </w:r>
    </w:p>
    <w:p>
      <w:pPr>
        <w:numPr>
          <w:ilvl w:val="0"/>
          <w:numId w:val="1"/>
        </w:numPr>
        <w:spacing w:line="560" w:lineRule="exact"/>
        <w:ind w:firstLine="480" w:firstLineChars="15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商品和服务支出37.76万元，分别为：劳务费0.12万元，工会费21.47万元，福利费16.16万元</w:t>
      </w:r>
    </w:p>
    <w:p>
      <w:pPr>
        <w:spacing w:line="560" w:lineRule="exact"/>
        <w:ind w:left="315" w:leftChars="15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（3）对个人和家庭的补助支出14.64元，分别为：生活补助14.07元、医疗费补助0.46万元，奖励金0.1元。</w:t>
      </w:r>
    </w:p>
    <w:p>
      <w:pPr>
        <w:spacing w:line="560" w:lineRule="exact"/>
        <w:ind w:firstLine="803" w:firstLineChars="250"/>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2.项目支出收支情况</w:t>
      </w:r>
    </w:p>
    <w:p>
      <w:pPr>
        <w:spacing w:line="560" w:lineRule="exact"/>
        <w:ind w:left="319" w:leftChars="152"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（1）2020年全年我校项目收入总额为252.30万元（其中：2019年结转指标36.36万元，2020年县</w:t>
      </w:r>
      <w:r>
        <w:rPr>
          <w:rFonts w:hint="eastAsia" w:ascii="仿宋_GB2312" w:hAnsi="仿宋_GB2312" w:eastAsia="仿宋_GB2312" w:cs="仿宋_GB2312"/>
          <w:kern w:val="0"/>
          <w:sz w:val="32"/>
          <w:szCs w:val="32"/>
          <w:lang w:eastAsia="zh-CN"/>
        </w:rPr>
        <w:t>财政</w:t>
      </w:r>
      <w:r>
        <w:rPr>
          <w:rFonts w:hint="eastAsia" w:ascii="仿宋_GB2312" w:hAnsi="仿宋_GB2312" w:eastAsia="仿宋_GB2312" w:cs="仿宋_GB2312"/>
          <w:kern w:val="0"/>
          <w:sz w:val="32"/>
          <w:szCs w:val="32"/>
        </w:rPr>
        <w:t>补助拨款111.64万元）分别为：</w:t>
      </w:r>
    </w:p>
    <w:p>
      <w:pPr>
        <w:spacing w:line="560" w:lineRule="exact"/>
        <w:ind w:firstLine="800" w:firstLineChars="25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支出111.64万元，其中其他商品和服务支出111.64万元：分别为：办公费28.35万元，印刷费7.84万元，咨询费1.8万元，水费7.6万元，电费8.4万元，差旅费8.62万元，维修（护）费16.57万元，会议费4.53万元，培训费6.1万元，专用材料费1.7万元，劳务费19.26万元，公务用车运行维护费0.7万元。</w:t>
      </w:r>
    </w:p>
    <w:p>
      <w:pPr>
        <w:spacing w:line="560" w:lineRule="exact"/>
        <w:ind w:firstLine="640" w:firstLineChars="200"/>
        <w:rPr>
          <w:rFonts w:eastAsia="楷体_GB2312"/>
          <w:sz w:val="32"/>
          <w:szCs w:val="32"/>
        </w:rPr>
      </w:pPr>
      <w:r>
        <w:rPr>
          <w:rFonts w:eastAsia="楷体_GB2312"/>
          <w:sz w:val="32"/>
          <w:szCs w:val="32"/>
        </w:rPr>
        <w:t>（三）结转和结余情况。</w:t>
      </w:r>
    </w:p>
    <w:p>
      <w:pPr>
        <w:spacing w:line="560" w:lineRule="exact"/>
        <w:ind w:left="319" w:leftChars="152"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2020年实现项目支出111.64万元，</w:t>
      </w:r>
      <w:r>
        <w:rPr>
          <w:rFonts w:hint="eastAsia" w:ascii="仿宋_GB2312" w:hAnsi="仿宋_GB2312" w:eastAsia="仿宋_GB2312" w:cs="仿宋_GB2312"/>
          <w:kern w:val="0"/>
          <w:sz w:val="32"/>
          <w:szCs w:val="32"/>
          <w:lang w:eastAsia="zh-CN"/>
        </w:rPr>
        <w:t>年末</w:t>
      </w:r>
      <w:r>
        <w:rPr>
          <w:rFonts w:hint="eastAsia" w:ascii="仿宋_GB2312" w:hAnsi="仿宋_GB2312" w:eastAsia="仿宋_GB2312" w:cs="仿宋_GB2312"/>
          <w:kern w:val="0"/>
          <w:sz w:val="32"/>
          <w:szCs w:val="32"/>
        </w:rPr>
        <w:t>结转结余140.66万元；分别为：</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2019年生均公用经费16.94万元，支出16.94万元</w:t>
      </w:r>
    </w:p>
    <w:p>
      <w:pPr>
        <w:spacing w:line="560" w:lineRule="exact"/>
        <w:ind w:firstLine="640" w:firstLineChars="200"/>
        <w:rPr>
          <w:rFonts w:ascii="仿宋_GB2312" w:hAnsi="仿宋_GB2312" w:eastAsia="仿宋_GB2312" w:cs="仿宋_GB2312"/>
          <w:kern w:val="0"/>
          <w:sz w:val="32"/>
          <w:szCs w:val="32"/>
        </w:rPr>
      </w:pPr>
      <w:r>
        <w:rPr>
          <w:rFonts w:ascii="仿宋_GB2312" w:hAnsi="仿宋_GB2312" w:eastAsia="仿宋_GB2312" w:cs="仿宋_GB2312"/>
          <w:kern w:val="0"/>
          <w:sz w:val="32"/>
          <w:szCs w:val="32"/>
        </w:rPr>
        <w:t>2019年中央校舍维修资金，校园排水改造工程</w:t>
      </w:r>
      <w:r>
        <w:rPr>
          <w:rFonts w:hint="eastAsia" w:ascii="仿宋_GB2312" w:hAnsi="仿宋_GB2312" w:eastAsia="仿宋_GB2312" w:cs="仿宋_GB2312"/>
          <w:kern w:val="0"/>
          <w:sz w:val="32"/>
          <w:szCs w:val="32"/>
          <w:lang w:eastAsia="zh-CN"/>
        </w:rPr>
        <w:t>尾款</w:t>
      </w:r>
      <w:r>
        <w:rPr>
          <w:rFonts w:hint="eastAsia" w:ascii="仿宋_GB2312" w:hAnsi="仿宋_GB2312" w:eastAsia="仿宋_GB2312" w:cs="仿宋_GB2312"/>
          <w:kern w:val="0"/>
          <w:sz w:val="32"/>
          <w:szCs w:val="32"/>
        </w:rPr>
        <w:t>3.9万元，支出3.79万元，结余0.1万元</w:t>
      </w:r>
    </w:p>
    <w:p>
      <w:pPr>
        <w:spacing w:line="560" w:lineRule="exact"/>
        <w:ind w:firstLine="640" w:firstLineChars="200"/>
        <w:rPr>
          <w:rFonts w:hint="eastAsia" w:ascii="仿宋_GB2312" w:hAnsi="仿宋_GB2312" w:eastAsia="仿宋_GB2312" w:cs="仿宋_GB2312"/>
          <w:kern w:val="0"/>
          <w:sz w:val="32"/>
          <w:szCs w:val="32"/>
        </w:rPr>
      </w:pPr>
      <w:r>
        <w:rPr>
          <w:rFonts w:ascii="仿宋_GB2312" w:hAnsi="仿宋_GB2312" w:eastAsia="仿宋_GB2312" w:cs="仿宋_GB2312"/>
          <w:kern w:val="0"/>
          <w:sz w:val="32"/>
          <w:szCs w:val="32"/>
        </w:rPr>
        <w:t>2019年</w:t>
      </w:r>
      <w:r>
        <w:rPr>
          <w:rFonts w:hint="eastAsia" w:ascii="仿宋_GB2312" w:hAnsi="仿宋_GB2312" w:eastAsia="仿宋_GB2312" w:cs="仿宋_GB2312"/>
          <w:kern w:val="0"/>
          <w:sz w:val="32"/>
          <w:szCs w:val="32"/>
          <w:lang w:eastAsia="zh-CN"/>
        </w:rPr>
        <w:t>特殊</w:t>
      </w:r>
      <w:r>
        <w:rPr>
          <w:rFonts w:ascii="仿宋_GB2312" w:hAnsi="仿宋_GB2312" w:eastAsia="仿宋_GB2312" w:cs="仿宋_GB2312"/>
          <w:kern w:val="0"/>
          <w:sz w:val="32"/>
          <w:szCs w:val="32"/>
        </w:rPr>
        <w:t>教育学生公用经费</w:t>
      </w:r>
      <w:r>
        <w:rPr>
          <w:rFonts w:hint="eastAsia" w:ascii="仿宋_GB2312" w:hAnsi="仿宋_GB2312" w:eastAsia="仿宋_GB2312" w:cs="仿宋_GB2312"/>
          <w:kern w:val="0"/>
          <w:sz w:val="32"/>
          <w:szCs w:val="32"/>
        </w:rPr>
        <w:t>5.9万元，结余5.9万元。</w:t>
      </w:r>
    </w:p>
    <w:p>
      <w:pPr>
        <w:spacing w:line="560" w:lineRule="exact"/>
        <w:ind w:firstLine="640" w:firstLineChars="200"/>
        <w:rPr>
          <w:rFonts w:hint="eastAsia" w:ascii="仿宋_GB2312" w:hAnsi="仿宋_GB2312" w:eastAsia="仿宋_GB2312" w:cs="仿宋_GB2312"/>
          <w:kern w:val="0"/>
          <w:sz w:val="32"/>
          <w:szCs w:val="32"/>
        </w:rPr>
      </w:pPr>
      <w:r>
        <w:rPr>
          <w:rFonts w:ascii="仿宋_GB2312" w:hAnsi="仿宋_GB2312" w:eastAsia="仿宋_GB2312" w:cs="仿宋_GB2312"/>
          <w:kern w:val="0"/>
          <w:sz w:val="32"/>
          <w:szCs w:val="32"/>
        </w:rPr>
        <w:t>2020农村中小学公用经费补助资金</w:t>
      </w:r>
      <w:r>
        <w:rPr>
          <w:rFonts w:hint="eastAsia" w:ascii="仿宋_GB2312" w:hAnsi="仿宋_GB2312" w:eastAsia="仿宋_GB2312" w:cs="仿宋_GB2312"/>
          <w:kern w:val="0"/>
          <w:sz w:val="32"/>
          <w:szCs w:val="32"/>
        </w:rPr>
        <w:t>29万元，支出14.9万元，结余14.08万元。</w:t>
      </w:r>
    </w:p>
    <w:p>
      <w:pPr>
        <w:spacing w:line="560" w:lineRule="exact"/>
        <w:ind w:firstLine="640" w:firstLineChars="200"/>
        <w:rPr>
          <w:rFonts w:ascii="仿宋_GB2312" w:hAnsi="仿宋_GB2312" w:eastAsia="仿宋_GB2312" w:cs="仿宋_GB2312"/>
          <w:kern w:val="0"/>
          <w:sz w:val="32"/>
          <w:szCs w:val="32"/>
        </w:rPr>
      </w:pPr>
      <w:r>
        <w:rPr>
          <w:rFonts w:ascii="仿宋_GB2312" w:hAnsi="仿宋_GB2312" w:eastAsia="仿宋_GB2312" w:cs="仿宋_GB2312"/>
          <w:kern w:val="0"/>
          <w:sz w:val="32"/>
          <w:szCs w:val="32"/>
        </w:rPr>
        <w:t>2020年生均公用经费结算数</w:t>
      </w:r>
      <w:r>
        <w:rPr>
          <w:rFonts w:hint="eastAsia" w:ascii="仿宋_GB2312" w:hAnsi="仿宋_GB2312" w:eastAsia="仿宋_GB2312" w:cs="仿宋_GB2312"/>
          <w:kern w:val="0"/>
          <w:sz w:val="32"/>
          <w:szCs w:val="32"/>
        </w:rPr>
        <w:t>56.4万元，支出12.9万元，结余43.5万元。</w:t>
      </w:r>
    </w:p>
    <w:p>
      <w:pPr>
        <w:spacing w:line="560" w:lineRule="exact"/>
        <w:ind w:firstLine="640" w:firstLineChars="200"/>
        <w:outlineLvl w:val="0"/>
        <w:rPr>
          <w:rFonts w:eastAsia="黑体"/>
          <w:sz w:val="32"/>
          <w:szCs w:val="32"/>
        </w:rPr>
      </w:pPr>
      <w:bookmarkStart w:id="5" w:name="_Toc30099"/>
      <w:r>
        <w:rPr>
          <w:rFonts w:eastAsia="黑体"/>
          <w:sz w:val="32"/>
          <w:szCs w:val="32"/>
        </w:rPr>
        <w:t>四、部门财政支出管理情况</w:t>
      </w:r>
      <w:bookmarkEnd w:id="5"/>
    </w:p>
    <w:p>
      <w:pPr>
        <w:spacing w:line="560" w:lineRule="exact"/>
        <w:ind w:firstLine="640" w:firstLineChars="200"/>
        <w:rPr>
          <w:rFonts w:eastAsia="楷体_GB2312"/>
          <w:sz w:val="32"/>
          <w:szCs w:val="32"/>
        </w:rPr>
      </w:pPr>
      <w:r>
        <w:rPr>
          <w:rFonts w:eastAsia="楷体_GB2312"/>
          <w:sz w:val="32"/>
          <w:szCs w:val="32"/>
        </w:rPr>
        <w:t>（一）专项资金分配情况。</w:t>
      </w:r>
    </w:p>
    <w:p>
      <w:pPr>
        <w:pStyle w:val="3"/>
        <w:spacing w:before="0" w:beforeAutospacing="0" w:after="0" w:afterAutospacing="0"/>
        <w:ind w:firstLine="56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我校建立健全了资金分配规程和各项财务管理制度，成立了教育财务审核中心，制定了财务报账审批制度，修订完善了会议费、公务接待费、差旅报销管理办法。由核算中心进行会计核算和财务管理，严格执行政府采购制度，做到先申报后采购，按流程办理。严格执行因公出国（境）、公务接待和公务用车购置及运行维护政策规定，学校“三公经费”得到有效控制，2020年没有因公出国（境）费支出；公务接待费0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控制在预算的1万元范围内；无公务用车购置及运行维护费。</w:t>
      </w:r>
    </w:p>
    <w:p>
      <w:pPr>
        <w:spacing w:line="560" w:lineRule="exact"/>
        <w:ind w:firstLine="640" w:firstLineChars="200"/>
        <w:rPr>
          <w:rFonts w:eastAsia="楷体_GB2312"/>
          <w:sz w:val="32"/>
          <w:szCs w:val="32"/>
        </w:rPr>
      </w:pPr>
      <w:r>
        <w:rPr>
          <w:rFonts w:hint="eastAsia" w:ascii="仿宋_GB2312" w:hAnsi="仿宋_GB2312" w:eastAsia="仿宋_GB2312" w:cs="仿宋_GB2312"/>
          <w:kern w:val="0"/>
          <w:sz w:val="32"/>
          <w:szCs w:val="32"/>
        </w:rPr>
        <w:t>2、专项支出：教育发展信息技术经费、教育发展校方责任经费、教学仪器设备经费，在教育局装备站的指导下，为加大学校建设力度，提高师生信息水平，抓好教研教改工作，促进学校教育协调发展。根据学校预算金额，专款专用，无违规超范围使用情况。</w:t>
      </w:r>
    </w:p>
    <w:p>
      <w:pPr>
        <w:spacing w:line="560" w:lineRule="exact"/>
        <w:ind w:firstLine="640" w:firstLineChars="200"/>
        <w:rPr>
          <w:rFonts w:eastAsia="楷体_GB2312"/>
          <w:sz w:val="32"/>
          <w:szCs w:val="32"/>
        </w:rPr>
      </w:pPr>
      <w:r>
        <w:rPr>
          <w:rFonts w:eastAsia="楷体_GB2312"/>
          <w:sz w:val="32"/>
          <w:szCs w:val="32"/>
        </w:rPr>
        <w:t>（二）资产管理。</w:t>
      </w:r>
    </w:p>
    <w:p>
      <w:pPr>
        <w:spacing w:line="560" w:lineRule="exact"/>
        <w:ind w:firstLine="640" w:firstLineChars="200"/>
        <w:rPr>
          <w:rFonts w:eastAsia="楷体_GB2312"/>
          <w:sz w:val="32"/>
          <w:szCs w:val="32"/>
        </w:rPr>
      </w:pPr>
      <w:r>
        <w:rPr>
          <w:rFonts w:hint="eastAsia" w:ascii="仿宋_GB2312" w:hAnsi="仿宋_GB2312" w:eastAsia="仿宋_GB2312" w:cs="仿宋_GB2312"/>
          <w:sz w:val="32"/>
          <w:szCs w:val="32"/>
        </w:rPr>
        <w:t>2020年末我校资产总额为2391.84万元（其中：固定资产3020.2万元），较2019年2448.86万元；减少27.8万元，主要是固定资产盘亏2020年末我校负债总额为51.25万元，与上年51.34万元，减少0.09万元</w:t>
      </w:r>
    </w:p>
    <w:p>
      <w:pPr>
        <w:spacing w:line="560" w:lineRule="exact"/>
        <w:ind w:firstLine="640" w:firstLineChars="200"/>
        <w:rPr>
          <w:rFonts w:eastAsia="楷体_GB2312"/>
          <w:sz w:val="32"/>
          <w:szCs w:val="32"/>
        </w:rPr>
      </w:pPr>
      <w:r>
        <w:rPr>
          <w:rFonts w:eastAsia="楷体_GB2312"/>
          <w:sz w:val="32"/>
          <w:szCs w:val="32"/>
        </w:rPr>
        <w:t>（三）内控制度管理。</w:t>
      </w:r>
    </w:p>
    <w:p>
      <w:pPr>
        <w:spacing w:line="560" w:lineRule="exact"/>
        <w:ind w:firstLine="640" w:firstLineChars="200"/>
        <w:rPr>
          <w:rFonts w:eastAsia="仿宋_GB2312"/>
          <w:sz w:val="32"/>
          <w:szCs w:val="32"/>
        </w:rPr>
      </w:pPr>
      <w:r>
        <w:rPr>
          <w:rFonts w:eastAsia="仿宋_GB2312"/>
          <w:sz w:val="32"/>
          <w:szCs w:val="32"/>
        </w:rPr>
        <w:t>1.内部控制制度的设置及执行情况。</w:t>
      </w:r>
    </w:p>
    <w:p>
      <w:pPr>
        <w:spacing w:line="560" w:lineRule="exact"/>
        <w:ind w:firstLine="560" w:firstLineChars="200"/>
        <w:rPr>
          <w:rFonts w:hint="eastAsia" w:ascii="仿宋_GB2312" w:hAnsi="仿宋_GB2312" w:eastAsia="仿宋_GB2312" w:cs="仿宋_GB2312"/>
          <w:color w:val="000000"/>
          <w:kern w:val="0"/>
          <w:sz w:val="32"/>
          <w:szCs w:val="32"/>
          <w:lang w:val="zh-CN"/>
        </w:rPr>
      </w:pPr>
      <w:r>
        <w:rPr>
          <w:rFonts w:hint="eastAsia" w:ascii="仿宋_GB2312" w:hAnsi="仿宋_GB2312" w:eastAsia="仿宋_GB2312" w:cs="仿宋_GB2312"/>
          <w:sz w:val="28"/>
          <w:szCs w:val="28"/>
        </w:rPr>
        <w:t>（</w:t>
      </w:r>
      <w:r>
        <w:rPr>
          <w:rFonts w:hint="eastAsia" w:ascii="仿宋_GB2312" w:hAnsi="仿宋_GB2312" w:eastAsia="仿宋_GB2312" w:cs="仿宋_GB2312"/>
          <w:color w:val="000000"/>
          <w:kern w:val="0"/>
          <w:sz w:val="32"/>
          <w:szCs w:val="32"/>
          <w:lang w:val="zh-CN"/>
        </w:rPr>
        <w:t>1）加强班子队伍建设</w:t>
      </w:r>
    </w:p>
    <w:p>
      <w:pPr>
        <w:spacing w:line="560" w:lineRule="exact"/>
        <w:ind w:left="319" w:leftChars="152" w:firstLine="320" w:firstLineChars="100"/>
        <w:rPr>
          <w:rFonts w:hint="eastAsia" w:ascii="仿宋_GB2312" w:hAnsi="仿宋_GB2312" w:eastAsia="仿宋_GB2312" w:cs="仿宋_GB2312"/>
          <w:color w:val="000000"/>
          <w:kern w:val="0"/>
          <w:sz w:val="32"/>
          <w:szCs w:val="32"/>
          <w:lang w:val="zh-CN"/>
        </w:rPr>
      </w:pPr>
      <w:r>
        <w:rPr>
          <w:rFonts w:hint="eastAsia" w:ascii="仿宋_GB2312" w:hAnsi="仿宋_GB2312" w:eastAsia="仿宋_GB2312" w:cs="仿宋_GB2312"/>
          <w:kern w:val="0"/>
          <w:sz w:val="32"/>
          <w:szCs w:val="32"/>
          <w:lang w:val="zh-CN"/>
        </w:rPr>
        <w:t>永兴中学内部领导小组组长</w:t>
      </w:r>
      <w:r>
        <w:rPr>
          <w:rFonts w:hint="eastAsia" w:ascii="宋体" w:hAnsi="宋体" w:cs="宋体"/>
          <w:kern w:val="0"/>
          <w:sz w:val="32"/>
          <w:szCs w:val="32"/>
        </w:rPr>
        <w:t>朱</w:t>
      </w:r>
      <w:r>
        <w:rPr>
          <w:rFonts w:hint="eastAsia" w:ascii="仿宋_GB2312" w:hAnsi="仿宋_GB2312" w:eastAsia="仿宋_GB2312" w:cs="仿宋_GB2312"/>
          <w:kern w:val="0"/>
          <w:sz w:val="32"/>
          <w:szCs w:val="32"/>
        </w:rPr>
        <w:t>德超</w:t>
      </w:r>
      <w:r>
        <w:rPr>
          <w:rFonts w:hint="eastAsia" w:ascii="仿宋_GB2312" w:hAnsi="仿宋_GB2312" w:eastAsia="仿宋_GB2312" w:cs="仿宋_GB2312"/>
          <w:kern w:val="0"/>
          <w:sz w:val="32"/>
          <w:szCs w:val="32"/>
          <w:lang w:val="zh-CN"/>
        </w:rPr>
        <w:t>，副组长</w:t>
      </w:r>
      <w:r>
        <w:rPr>
          <w:rFonts w:hint="eastAsia" w:ascii="宋体" w:hAnsi="宋体" w:cs="宋体"/>
          <w:kern w:val="0"/>
          <w:sz w:val="32"/>
          <w:szCs w:val="32"/>
        </w:rPr>
        <w:t>肖林</w:t>
      </w:r>
      <w:r>
        <w:rPr>
          <w:rFonts w:hint="eastAsia" w:ascii="仿宋_GB2312" w:hAnsi="仿宋_GB2312" w:eastAsia="仿宋_GB2312" w:cs="仿宋_GB2312"/>
          <w:kern w:val="0"/>
          <w:sz w:val="32"/>
          <w:szCs w:val="32"/>
          <w:lang w:val="zh-CN"/>
        </w:rPr>
        <w:t>在内部管理中注重引领学校发展的能力提升，通过“岗位练兵、岗位成才”，打造一支“</w:t>
      </w:r>
      <w:r>
        <w:rPr>
          <w:rFonts w:hint="eastAsia" w:ascii="仿宋_GB2312" w:hAnsi="仿宋_GB2312" w:eastAsia="仿宋_GB2312" w:cs="仿宋_GB2312"/>
          <w:color w:val="000000"/>
          <w:kern w:val="0"/>
          <w:sz w:val="32"/>
          <w:szCs w:val="32"/>
          <w:lang w:val="zh-CN"/>
        </w:rPr>
        <w:t>想干事、能干事、会干事、干成事”的班子队伍。</w:t>
      </w:r>
    </w:p>
    <w:p>
      <w:pPr>
        <w:spacing w:line="560" w:lineRule="exact"/>
        <w:ind w:firstLine="640" w:firstLineChars="200"/>
        <w:rPr>
          <w:rFonts w:hint="eastAsia" w:ascii="仿宋_GB2312" w:hAnsi="仿宋_GB2312" w:eastAsia="仿宋_GB2312" w:cs="仿宋_GB2312"/>
          <w:color w:val="000000"/>
          <w:kern w:val="0"/>
          <w:sz w:val="32"/>
          <w:szCs w:val="32"/>
          <w:lang w:val="zh-CN"/>
        </w:rPr>
      </w:pPr>
      <w:r>
        <w:rPr>
          <w:rFonts w:hint="eastAsia" w:ascii="仿宋_GB2312" w:hAnsi="仿宋_GB2312" w:eastAsia="仿宋_GB2312" w:cs="仿宋_GB2312"/>
          <w:color w:val="000000"/>
          <w:kern w:val="0"/>
          <w:sz w:val="32"/>
          <w:szCs w:val="32"/>
          <w:lang w:val="zh-CN"/>
        </w:rPr>
        <w:t>（2）加强教师队伍建设</w:t>
      </w:r>
    </w:p>
    <w:p>
      <w:pPr>
        <w:spacing w:line="560" w:lineRule="exact"/>
        <w:ind w:firstLine="640" w:firstLineChars="200"/>
        <w:rPr>
          <w:rFonts w:hint="eastAsia" w:ascii="仿宋_GB2312" w:hAnsi="仿宋_GB2312" w:eastAsia="仿宋_GB2312" w:cs="仿宋_GB2312"/>
          <w:color w:val="000000"/>
          <w:kern w:val="0"/>
          <w:sz w:val="32"/>
          <w:szCs w:val="32"/>
          <w:lang w:val="zh-CN"/>
        </w:rPr>
      </w:pPr>
      <w:r>
        <w:rPr>
          <w:rFonts w:hint="eastAsia" w:ascii="仿宋_GB2312" w:hAnsi="仿宋_GB2312" w:eastAsia="仿宋_GB2312" w:cs="仿宋_GB2312"/>
          <w:color w:val="000000"/>
          <w:kern w:val="0"/>
          <w:sz w:val="32"/>
          <w:szCs w:val="32"/>
          <w:lang w:val="zh-CN"/>
        </w:rPr>
        <w:t xml:space="preserve">注重师德修炼，构建“育人课堂”，全面提高教师教育教学能力和水平 ，打造“朴实、真实、扎实”、“正气、大气、灵气”、“爱岗敬业奉献”的智慧型教师队伍，实现自身价值最大化。 </w:t>
      </w:r>
    </w:p>
    <w:p>
      <w:pPr>
        <w:spacing w:line="560" w:lineRule="exact"/>
        <w:ind w:firstLine="640" w:firstLineChars="200"/>
        <w:rPr>
          <w:rFonts w:hint="eastAsia" w:ascii="仿宋_GB2312" w:hAnsi="仿宋_GB2312" w:eastAsia="仿宋_GB2312" w:cs="仿宋_GB2312"/>
          <w:color w:val="000000"/>
          <w:kern w:val="0"/>
          <w:sz w:val="32"/>
          <w:szCs w:val="32"/>
          <w:lang w:val="zh-CN"/>
        </w:rPr>
      </w:pPr>
      <w:r>
        <w:rPr>
          <w:rFonts w:hint="eastAsia" w:ascii="仿宋_GB2312" w:hAnsi="仿宋_GB2312" w:eastAsia="仿宋_GB2312" w:cs="仿宋_GB2312"/>
          <w:color w:val="000000"/>
          <w:kern w:val="0"/>
          <w:sz w:val="32"/>
          <w:szCs w:val="32"/>
          <w:lang w:val="zh-CN"/>
        </w:rPr>
        <w:t>（3）</w:t>
      </w:r>
      <w:bookmarkStart w:id="7" w:name="_GoBack"/>
      <w:bookmarkEnd w:id="7"/>
      <w:r>
        <w:rPr>
          <w:rFonts w:hint="eastAsia" w:ascii="仿宋_GB2312" w:hAnsi="仿宋_GB2312" w:eastAsia="仿宋_GB2312" w:cs="仿宋_GB2312"/>
          <w:color w:val="000000"/>
          <w:kern w:val="0"/>
          <w:sz w:val="32"/>
          <w:szCs w:val="32"/>
          <w:lang w:val="zh-CN"/>
        </w:rPr>
        <w:t>坚持依法治校</w:t>
      </w:r>
    </w:p>
    <w:p>
      <w:pPr>
        <w:spacing w:line="560" w:lineRule="exact"/>
        <w:ind w:firstLine="640" w:firstLineChars="200"/>
        <w:rPr>
          <w:rFonts w:hint="eastAsia" w:ascii="仿宋_GB2312" w:hAnsi="仿宋_GB2312" w:eastAsia="仿宋_GB2312" w:cs="仿宋_GB2312"/>
          <w:color w:val="000000"/>
          <w:kern w:val="0"/>
          <w:sz w:val="32"/>
          <w:szCs w:val="32"/>
          <w:lang w:val="zh-CN"/>
        </w:rPr>
      </w:pPr>
      <w:r>
        <w:rPr>
          <w:rFonts w:hint="eastAsia" w:ascii="仿宋_GB2312" w:hAnsi="仿宋_GB2312" w:eastAsia="仿宋_GB2312" w:cs="仿宋_GB2312"/>
          <w:color w:val="000000"/>
          <w:kern w:val="0"/>
          <w:sz w:val="32"/>
          <w:szCs w:val="32"/>
          <w:lang w:val="zh-CN"/>
        </w:rPr>
        <w:t>修订完善学校的各项规章制度和各种考核方案，使学校的各项工作有章可循，确保学校各项工作有秩序地进行，做到依法治校。</w:t>
      </w:r>
    </w:p>
    <w:p>
      <w:pPr>
        <w:spacing w:line="560" w:lineRule="exact"/>
        <w:ind w:firstLine="640" w:firstLineChars="200"/>
        <w:rPr>
          <w:rFonts w:eastAsia="仿宋_GB2312"/>
          <w:sz w:val="32"/>
          <w:szCs w:val="32"/>
        </w:rPr>
      </w:pPr>
      <w:r>
        <w:rPr>
          <w:rFonts w:eastAsia="仿宋_GB2312"/>
          <w:sz w:val="32"/>
          <w:szCs w:val="32"/>
        </w:rPr>
        <w:t>2.部门内部控制制度的执行。</w:t>
      </w:r>
    </w:p>
    <w:p>
      <w:pPr>
        <w:spacing w:line="560" w:lineRule="exact"/>
        <w:ind w:firstLine="640" w:firstLineChars="200"/>
        <w:rPr>
          <w:rFonts w:hint="eastAsia" w:eastAsia="仿宋_GB2312"/>
          <w:sz w:val="32"/>
          <w:szCs w:val="32"/>
        </w:rPr>
      </w:pPr>
      <w:r>
        <w:rPr>
          <w:rFonts w:eastAsia="仿宋_GB2312"/>
          <w:sz w:val="32"/>
          <w:szCs w:val="32"/>
        </w:rPr>
        <w:t>制定内部控制建设工作方案、成立内部控制领导小组、设立内部控制工作小组办公室；修订原有的内部控制制度、补充新的内部控制制度、重点落实内部控制制度的执行与督查；建立权力运行制衡机制，完善分事行权、分级授权、分岗设权、定期轮岗、明晰职责、集体决策等制度；对预算、收支、采购、资产、建设项目、合同管理等制度的严格执行；清理领导权力清单、部门责任清单、岗位职责清单等，内部控制工作取得了一定的成</w:t>
      </w:r>
      <w:r>
        <w:rPr>
          <w:rFonts w:hint="eastAsia" w:eastAsia="仿宋_GB2312"/>
          <w:sz w:val="32"/>
          <w:szCs w:val="32"/>
        </w:rPr>
        <w:t>效。</w:t>
      </w:r>
    </w:p>
    <w:p>
      <w:pPr>
        <w:spacing w:line="560" w:lineRule="exact"/>
        <w:ind w:firstLine="640" w:firstLineChars="200"/>
        <w:rPr>
          <w:rFonts w:eastAsia="楷体_GB2312"/>
          <w:sz w:val="32"/>
          <w:szCs w:val="32"/>
        </w:rPr>
      </w:pPr>
      <w:r>
        <w:rPr>
          <w:rFonts w:eastAsia="楷体_GB2312"/>
          <w:sz w:val="32"/>
          <w:szCs w:val="32"/>
        </w:rPr>
        <w:t>（四）信息公开。</w:t>
      </w:r>
    </w:p>
    <w:p>
      <w:pPr>
        <w:spacing w:line="560" w:lineRule="exact"/>
        <w:ind w:firstLine="640" w:firstLineChars="200"/>
        <w:rPr>
          <w:rFonts w:eastAsia="楷体_GB2312"/>
          <w:sz w:val="32"/>
          <w:szCs w:val="32"/>
        </w:rPr>
      </w:pPr>
      <w:r>
        <w:rPr>
          <w:rFonts w:hint="eastAsia" w:ascii="仿宋" w:hAnsi="仿宋" w:eastAsia="仿宋"/>
          <w:sz w:val="32"/>
          <w:szCs w:val="32"/>
        </w:rPr>
        <w:t>结合本单位的实际，具有较强的目标性和可操作性，绩效自评结果也可以为下一年度的绩效管理提供参考和帮助。我校将进一步加强绩效管理，更好地履行本部门的职能职责，提高财政资金的使用效率，将有限的财政投入发挥最大的经济效益和社会效益，并及时完整按照上级要求在内网或外网向社会公开。</w:t>
      </w:r>
    </w:p>
    <w:p>
      <w:pPr>
        <w:spacing w:line="560" w:lineRule="exact"/>
        <w:ind w:firstLine="640" w:firstLineChars="200"/>
        <w:rPr>
          <w:rFonts w:eastAsia="楷体_GB2312"/>
          <w:sz w:val="32"/>
          <w:szCs w:val="32"/>
        </w:rPr>
      </w:pPr>
      <w:r>
        <w:rPr>
          <w:rFonts w:eastAsia="楷体_GB2312"/>
          <w:sz w:val="32"/>
          <w:szCs w:val="32"/>
        </w:rPr>
        <w:t>（五）绩效监控。2020年预算执行进度监控情况。</w:t>
      </w:r>
    </w:p>
    <w:p>
      <w:pPr>
        <w:pStyle w:val="3"/>
        <w:spacing w:before="0" w:beforeAutospacing="0" w:after="0" w:afterAutospacing="0" w:line="500" w:lineRule="exact"/>
        <w:ind w:firstLine="561"/>
        <w:jc w:val="both"/>
        <w:rPr>
          <w:rFonts w:ascii="仿宋" w:hAnsi="仿宋" w:eastAsia="仿宋" w:cs="Times New Roman"/>
          <w:kern w:val="2"/>
          <w:sz w:val="32"/>
          <w:szCs w:val="32"/>
        </w:rPr>
      </w:pPr>
      <w:r>
        <w:rPr>
          <w:rFonts w:hint="eastAsia" w:ascii="仿宋" w:hAnsi="仿宋" w:eastAsia="仿宋" w:cs="Times New Roman"/>
          <w:kern w:val="2"/>
          <w:sz w:val="32"/>
          <w:szCs w:val="32"/>
        </w:rPr>
        <w:t>保证学校教育教学基本经费的使用，促进教育教学工作的有效开展达到了学校工作的正常运行。</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为了改进教学环境，提高校园文化建设，</w:t>
      </w:r>
      <w:r>
        <w:rPr>
          <w:rFonts w:hint="eastAsia" w:ascii="仿宋" w:hAnsi="仿宋" w:eastAsia="仿宋"/>
          <w:sz w:val="32"/>
          <w:szCs w:val="32"/>
          <w:lang w:eastAsia="zh-CN"/>
        </w:rPr>
        <w:t>完善</w:t>
      </w:r>
      <w:r>
        <w:rPr>
          <w:rFonts w:hint="eastAsia" w:ascii="仿宋" w:hAnsi="仿宋" w:eastAsia="仿宋"/>
          <w:sz w:val="32"/>
          <w:szCs w:val="32"/>
        </w:rPr>
        <w:t>中心校及教学点的基础建设，增添教学设施设备得到充实，办学条件得到很大改善，大力推动了学校办学条件达标建设，奠定了坚实基础。</w:t>
      </w:r>
    </w:p>
    <w:p>
      <w:pPr>
        <w:spacing w:line="560" w:lineRule="exact"/>
        <w:ind w:firstLine="640" w:firstLineChars="200"/>
        <w:rPr>
          <w:rFonts w:eastAsia="楷体_GB2312"/>
          <w:sz w:val="32"/>
          <w:szCs w:val="32"/>
        </w:rPr>
      </w:pPr>
      <w:r>
        <w:rPr>
          <w:rFonts w:eastAsia="楷体_GB2312"/>
          <w:sz w:val="32"/>
          <w:szCs w:val="32"/>
        </w:rPr>
        <w:t>（六）部门绩效情况。</w:t>
      </w:r>
    </w:p>
    <w:p>
      <w:pPr>
        <w:spacing w:line="560" w:lineRule="exact"/>
        <w:ind w:firstLine="640" w:firstLineChars="200"/>
        <w:rPr>
          <w:rFonts w:eastAsia="仿宋_GB2312"/>
          <w:sz w:val="32"/>
          <w:szCs w:val="32"/>
        </w:rPr>
      </w:pPr>
      <w:r>
        <w:rPr>
          <w:rFonts w:eastAsia="仿宋_GB2312"/>
          <w:sz w:val="32"/>
          <w:szCs w:val="32"/>
        </w:rPr>
        <w:t>1.总体绩效</w:t>
      </w:r>
    </w:p>
    <w:tbl>
      <w:tblPr>
        <w:tblStyle w:val="4"/>
        <w:tblW w:w="8762"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7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793" w:type="dxa"/>
            <w:noWrap/>
            <w:vAlign w:val="center"/>
          </w:tcPr>
          <w:p>
            <w:pPr>
              <w:widowControl/>
              <w:jc w:val="left"/>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1</w:t>
            </w:r>
          </w:p>
        </w:tc>
        <w:tc>
          <w:tcPr>
            <w:tcW w:w="7969" w:type="dxa"/>
            <w:noWrap/>
            <w:vAlign w:val="center"/>
          </w:tcPr>
          <w:p>
            <w:pPr>
              <w:widowControl/>
              <w:jc w:val="left"/>
              <w:textAlignment w:val="center"/>
              <w:rPr>
                <w:rFonts w:hint="eastAsia" w:ascii="宋体" w:hAnsi="宋体" w:cs="宋体"/>
                <w:color w:val="000000"/>
                <w:sz w:val="22"/>
              </w:rPr>
            </w:pPr>
            <w:r>
              <w:rPr>
                <w:rFonts w:hint="eastAsia" w:ascii="宋体" w:hAnsi="宋体" w:cs="宋体"/>
                <w:color w:val="000000"/>
                <w:kern w:val="0"/>
                <w:sz w:val="22"/>
                <w:lang w:bidi="ar"/>
              </w:rPr>
              <w:t>2019年生均公用经费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793" w:type="dxa"/>
            <w:noWrap/>
            <w:vAlign w:val="center"/>
          </w:tcPr>
          <w:p>
            <w:pPr>
              <w:widowControl/>
              <w:jc w:val="left"/>
              <w:textAlignment w:val="center"/>
              <w:rPr>
                <w:rFonts w:ascii="宋体" w:hAnsi="宋体" w:cs="宋体"/>
                <w:color w:val="000000"/>
                <w:kern w:val="0"/>
                <w:sz w:val="22"/>
                <w:lang w:bidi="ar"/>
              </w:rPr>
            </w:pPr>
            <w:r>
              <w:rPr>
                <w:rFonts w:hint="eastAsia" w:ascii="宋体" w:hAnsi="宋体" w:cs="宋体"/>
                <w:color w:val="000000"/>
                <w:kern w:val="0"/>
                <w:sz w:val="22"/>
                <w:lang w:bidi="ar"/>
              </w:rPr>
              <w:t>2</w:t>
            </w:r>
          </w:p>
        </w:tc>
        <w:tc>
          <w:tcPr>
            <w:tcW w:w="7969" w:type="dxa"/>
            <w:noWrap/>
            <w:vAlign w:val="center"/>
          </w:tcPr>
          <w:p>
            <w:pPr>
              <w:widowControl/>
              <w:jc w:val="left"/>
              <w:textAlignment w:val="center"/>
              <w:rPr>
                <w:rFonts w:hint="eastAsia" w:ascii="宋体" w:hAnsi="宋体" w:cs="宋体"/>
                <w:color w:val="000000"/>
                <w:sz w:val="22"/>
              </w:rPr>
            </w:pPr>
            <w:r>
              <w:rPr>
                <w:rFonts w:hint="eastAsia" w:ascii="宋体" w:hAnsi="宋体" w:cs="宋体"/>
                <w:color w:val="000000"/>
                <w:kern w:val="0"/>
                <w:sz w:val="22"/>
                <w:lang w:bidi="ar"/>
              </w:rPr>
              <w:t>2019年中央校舍维修资金，校园排水改造工程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793" w:type="dxa"/>
            <w:noWrap/>
            <w:vAlign w:val="center"/>
          </w:tcPr>
          <w:p>
            <w:pPr>
              <w:widowControl/>
              <w:jc w:val="left"/>
              <w:textAlignment w:val="center"/>
              <w:rPr>
                <w:rFonts w:ascii="宋体" w:hAnsi="宋体" w:cs="宋体"/>
                <w:color w:val="000000"/>
                <w:kern w:val="0"/>
                <w:sz w:val="22"/>
                <w:lang w:bidi="ar"/>
              </w:rPr>
            </w:pPr>
            <w:r>
              <w:rPr>
                <w:rFonts w:hint="eastAsia" w:ascii="宋体" w:hAnsi="宋体" w:cs="宋体"/>
                <w:color w:val="000000"/>
                <w:kern w:val="0"/>
                <w:sz w:val="22"/>
                <w:lang w:bidi="ar"/>
              </w:rPr>
              <w:t>3</w:t>
            </w:r>
          </w:p>
        </w:tc>
        <w:tc>
          <w:tcPr>
            <w:tcW w:w="7969" w:type="dxa"/>
            <w:noWrap/>
            <w:vAlign w:val="center"/>
          </w:tcPr>
          <w:p>
            <w:pPr>
              <w:widowControl/>
              <w:jc w:val="left"/>
              <w:textAlignment w:val="center"/>
              <w:rPr>
                <w:rFonts w:hint="eastAsia" w:ascii="宋体" w:hAnsi="宋体" w:cs="宋体"/>
                <w:color w:val="000000"/>
                <w:sz w:val="22"/>
              </w:rPr>
            </w:pPr>
            <w:r>
              <w:rPr>
                <w:rFonts w:hint="eastAsia" w:ascii="宋体" w:hAnsi="宋体" w:cs="宋体"/>
                <w:color w:val="000000"/>
                <w:kern w:val="0"/>
                <w:sz w:val="22"/>
                <w:lang w:bidi="ar"/>
              </w:rPr>
              <w:t>2019年中央校舍维修资金，上操场学生活场地硬化工程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793" w:type="dxa"/>
            <w:noWrap/>
            <w:vAlign w:val="center"/>
          </w:tcPr>
          <w:p>
            <w:pPr>
              <w:widowControl/>
              <w:jc w:val="left"/>
              <w:textAlignment w:val="center"/>
              <w:rPr>
                <w:rFonts w:ascii="宋体" w:hAnsi="宋体" w:cs="宋体"/>
                <w:color w:val="000000"/>
                <w:kern w:val="0"/>
                <w:sz w:val="22"/>
                <w:lang w:bidi="ar"/>
              </w:rPr>
            </w:pPr>
            <w:r>
              <w:rPr>
                <w:rFonts w:hint="eastAsia" w:ascii="宋体" w:hAnsi="宋体" w:cs="宋体"/>
                <w:color w:val="000000"/>
                <w:kern w:val="0"/>
                <w:sz w:val="22"/>
                <w:lang w:bidi="ar"/>
              </w:rPr>
              <w:t>4</w:t>
            </w:r>
          </w:p>
        </w:tc>
        <w:tc>
          <w:tcPr>
            <w:tcW w:w="7969" w:type="dxa"/>
            <w:noWrap/>
            <w:vAlign w:val="center"/>
          </w:tcPr>
          <w:p>
            <w:pPr>
              <w:widowControl/>
              <w:jc w:val="left"/>
              <w:textAlignment w:val="center"/>
              <w:rPr>
                <w:rFonts w:hint="eastAsia" w:ascii="宋体" w:hAnsi="宋体" w:cs="宋体"/>
                <w:color w:val="000000"/>
                <w:sz w:val="22"/>
              </w:rPr>
            </w:pPr>
            <w:r>
              <w:rPr>
                <w:rFonts w:hint="eastAsia" w:ascii="宋体" w:hAnsi="宋体" w:cs="宋体"/>
                <w:color w:val="000000"/>
                <w:kern w:val="0"/>
                <w:sz w:val="22"/>
                <w:lang w:bidi="ar"/>
              </w:rPr>
              <w:t>2019年</w:t>
            </w:r>
            <w:r>
              <w:rPr>
                <w:rFonts w:hint="eastAsia" w:ascii="宋体" w:hAnsi="宋体" w:cs="宋体"/>
                <w:color w:val="000000"/>
                <w:kern w:val="0"/>
                <w:sz w:val="22"/>
                <w:lang w:eastAsia="zh-CN" w:bidi="ar"/>
              </w:rPr>
              <w:t>特殊</w:t>
            </w:r>
            <w:r>
              <w:rPr>
                <w:rFonts w:hint="eastAsia" w:ascii="宋体" w:hAnsi="宋体" w:cs="宋体"/>
                <w:color w:val="000000"/>
                <w:kern w:val="0"/>
                <w:sz w:val="22"/>
                <w:lang w:bidi="ar"/>
              </w:rPr>
              <w:t>教育学生公用经费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793" w:type="dxa"/>
            <w:noWrap/>
            <w:vAlign w:val="center"/>
          </w:tcPr>
          <w:p>
            <w:pPr>
              <w:widowControl/>
              <w:jc w:val="left"/>
              <w:textAlignment w:val="center"/>
              <w:rPr>
                <w:rFonts w:ascii="宋体" w:hAnsi="宋体" w:cs="宋体"/>
                <w:color w:val="000000"/>
                <w:kern w:val="0"/>
                <w:sz w:val="22"/>
                <w:lang w:bidi="ar"/>
              </w:rPr>
            </w:pPr>
            <w:r>
              <w:rPr>
                <w:rFonts w:hint="eastAsia" w:ascii="宋体" w:hAnsi="宋体" w:cs="宋体"/>
                <w:color w:val="000000"/>
                <w:kern w:val="0"/>
                <w:sz w:val="22"/>
                <w:lang w:bidi="ar"/>
              </w:rPr>
              <w:t>5</w:t>
            </w:r>
          </w:p>
        </w:tc>
        <w:tc>
          <w:tcPr>
            <w:tcW w:w="7969" w:type="dxa"/>
            <w:noWrap/>
            <w:vAlign w:val="center"/>
          </w:tcPr>
          <w:p>
            <w:pPr>
              <w:widowControl/>
              <w:jc w:val="left"/>
              <w:textAlignment w:val="center"/>
              <w:rPr>
                <w:rFonts w:hint="eastAsia" w:ascii="宋体" w:hAnsi="宋体" w:cs="宋体"/>
                <w:color w:val="000000"/>
                <w:sz w:val="22"/>
              </w:rPr>
            </w:pPr>
            <w:r>
              <w:rPr>
                <w:rFonts w:hint="eastAsia" w:ascii="宋体" w:hAnsi="宋体" w:cs="宋体"/>
                <w:color w:val="000000"/>
                <w:kern w:val="0"/>
                <w:sz w:val="22"/>
                <w:lang w:bidi="ar"/>
              </w:rPr>
              <w:t>2020生均公用经费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793" w:type="dxa"/>
            <w:noWrap/>
            <w:vAlign w:val="center"/>
          </w:tcPr>
          <w:p>
            <w:pPr>
              <w:widowControl/>
              <w:jc w:val="left"/>
              <w:textAlignment w:val="center"/>
              <w:rPr>
                <w:rFonts w:ascii="宋体" w:hAnsi="宋体" w:cs="宋体"/>
                <w:color w:val="000000"/>
                <w:kern w:val="0"/>
                <w:sz w:val="22"/>
                <w:lang w:bidi="ar"/>
              </w:rPr>
            </w:pPr>
            <w:r>
              <w:rPr>
                <w:rFonts w:hint="eastAsia" w:ascii="宋体" w:hAnsi="宋体" w:cs="宋体"/>
                <w:color w:val="000000"/>
                <w:kern w:val="0"/>
                <w:sz w:val="22"/>
                <w:lang w:bidi="ar"/>
              </w:rPr>
              <w:t>6</w:t>
            </w:r>
          </w:p>
        </w:tc>
        <w:tc>
          <w:tcPr>
            <w:tcW w:w="7969" w:type="dxa"/>
            <w:noWrap/>
            <w:vAlign w:val="center"/>
          </w:tcPr>
          <w:p>
            <w:pPr>
              <w:widowControl/>
              <w:jc w:val="left"/>
              <w:textAlignment w:val="center"/>
              <w:rPr>
                <w:rFonts w:hint="eastAsia" w:ascii="宋体" w:hAnsi="宋体" w:cs="宋体"/>
                <w:color w:val="000000"/>
                <w:sz w:val="22"/>
              </w:rPr>
            </w:pPr>
            <w:r>
              <w:rPr>
                <w:rFonts w:hint="eastAsia" w:ascii="宋体" w:hAnsi="宋体" w:cs="宋体"/>
                <w:color w:val="000000"/>
                <w:kern w:val="0"/>
                <w:sz w:val="22"/>
                <w:lang w:bidi="ar"/>
              </w:rPr>
              <w:t>2020农村中小学公用经费补助资金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793" w:type="dxa"/>
            <w:noWrap/>
            <w:vAlign w:val="center"/>
          </w:tcPr>
          <w:p>
            <w:pPr>
              <w:widowControl/>
              <w:jc w:val="left"/>
              <w:textAlignment w:val="center"/>
              <w:rPr>
                <w:rFonts w:ascii="宋体" w:hAnsi="宋体" w:cs="宋体"/>
                <w:color w:val="000000"/>
                <w:kern w:val="0"/>
                <w:sz w:val="22"/>
                <w:lang w:bidi="ar"/>
              </w:rPr>
            </w:pPr>
            <w:r>
              <w:rPr>
                <w:rFonts w:hint="eastAsia" w:ascii="宋体" w:hAnsi="宋体" w:cs="宋体"/>
                <w:color w:val="000000"/>
                <w:kern w:val="0"/>
                <w:sz w:val="22"/>
                <w:lang w:bidi="ar"/>
              </w:rPr>
              <w:t>7</w:t>
            </w:r>
          </w:p>
        </w:tc>
        <w:tc>
          <w:tcPr>
            <w:tcW w:w="7969" w:type="dxa"/>
            <w:noWrap/>
            <w:vAlign w:val="center"/>
          </w:tcPr>
          <w:p>
            <w:pPr>
              <w:widowControl/>
              <w:jc w:val="left"/>
              <w:textAlignment w:val="center"/>
              <w:rPr>
                <w:rFonts w:hint="eastAsia" w:ascii="宋体" w:hAnsi="宋体" w:cs="宋体"/>
                <w:color w:val="000000"/>
                <w:sz w:val="22"/>
              </w:rPr>
            </w:pPr>
            <w:r>
              <w:rPr>
                <w:rFonts w:hint="eastAsia" w:ascii="宋体" w:hAnsi="宋体" w:cs="宋体"/>
                <w:color w:val="000000"/>
                <w:kern w:val="0"/>
                <w:sz w:val="22"/>
                <w:lang w:bidi="ar"/>
              </w:rPr>
              <w:t>2020年生均公用经费结算数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793" w:type="dxa"/>
            <w:noWrap/>
            <w:vAlign w:val="center"/>
          </w:tcPr>
          <w:p>
            <w:pPr>
              <w:widowControl/>
              <w:jc w:val="left"/>
              <w:textAlignment w:val="center"/>
              <w:rPr>
                <w:rFonts w:ascii="宋体" w:hAnsi="宋体" w:cs="宋体"/>
                <w:color w:val="000000"/>
                <w:kern w:val="0"/>
                <w:sz w:val="22"/>
                <w:lang w:bidi="ar"/>
              </w:rPr>
            </w:pPr>
            <w:r>
              <w:rPr>
                <w:rFonts w:hint="eastAsia" w:ascii="宋体" w:hAnsi="宋体" w:cs="宋体"/>
                <w:color w:val="000000"/>
                <w:kern w:val="0"/>
                <w:sz w:val="22"/>
                <w:lang w:bidi="ar"/>
              </w:rPr>
              <w:t>8</w:t>
            </w:r>
          </w:p>
        </w:tc>
        <w:tc>
          <w:tcPr>
            <w:tcW w:w="7969" w:type="dxa"/>
            <w:noWrap/>
            <w:vAlign w:val="center"/>
          </w:tcPr>
          <w:p>
            <w:pPr>
              <w:widowControl/>
              <w:jc w:val="left"/>
              <w:textAlignment w:val="center"/>
              <w:rPr>
                <w:rFonts w:hint="eastAsia" w:ascii="宋体" w:hAnsi="宋体" w:cs="宋体"/>
                <w:color w:val="000000"/>
                <w:sz w:val="22"/>
              </w:rPr>
            </w:pPr>
            <w:r>
              <w:rPr>
                <w:rFonts w:hint="eastAsia" w:ascii="宋体" w:hAnsi="宋体" w:cs="宋体"/>
                <w:color w:val="000000"/>
                <w:kern w:val="0"/>
                <w:sz w:val="22"/>
                <w:lang w:bidi="ar"/>
              </w:rPr>
              <w:t>2020年校舍维修改造校园电力安全隐患整治运动围墙宿舍厕所改造教师楼顶维修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793" w:type="dxa"/>
            <w:noWrap/>
            <w:vAlign w:val="center"/>
          </w:tcPr>
          <w:p>
            <w:pPr>
              <w:widowControl/>
              <w:jc w:val="left"/>
              <w:textAlignment w:val="center"/>
              <w:rPr>
                <w:rFonts w:ascii="宋体" w:hAnsi="宋体" w:cs="宋体"/>
                <w:color w:val="000000"/>
                <w:kern w:val="0"/>
                <w:sz w:val="22"/>
                <w:lang w:bidi="ar"/>
              </w:rPr>
            </w:pPr>
            <w:r>
              <w:rPr>
                <w:rFonts w:hint="eastAsia" w:ascii="宋体" w:hAnsi="宋体" w:cs="宋体"/>
                <w:color w:val="000000"/>
                <w:kern w:val="0"/>
                <w:sz w:val="22"/>
                <w:lang w:bidi="ar"/>
              </w:rPr>
              <w:t>9</w:t>
            </w:r>
          </w:p>
        </w:tc>
        <w:tc>
          <w:tcPr>
            <w:tcW w:w="7969" w:type="dxa"/>
            <w:noWrap/>
            <w:vAlign w:val="center"/>
          </w:tcPr>
          <w:p>
            <w:pPr>
              <w:widowControl/>
              <w:jc w:val="left"/>
              <w:textAlignment w:val="center"/>
              <w:rPr>
                <w:rFonts w:hint="eastAsia" w:ascii="宋体" w:hAnsi="宋体" w:cs="宋体"/>
                <w:color w:val="000000"/>
                <w:sz w:val="22"/>
              </w:rPr>
            </w:pPr>
            <w:r>
              <w:rPr>
                <w:rFonts w:hint="eastAsia" w:ascii="宋体" w:hAnsi="宋体" w:cs="宋体"/>
                <w:color w:val="000000"/>
                <w:kern w:val="0"/>
                <w:sz w:val="22"/>
                <w:lang w:bidi="ar"/>
              </w:rPr>
              <w:t>241号特殊教育公用经费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793" w:type="dxa"/>
            <w:noWrap/>
            <w:vAlign w:val="center"/>
          </w:tcPr>
          <w:p>
            <w:pPr>
              <w:widowControl/>
              <w:jc w:val="left"/>
              <w:textAlignment w:val="center"/>
              <w:rPr>
                <w:rFonts w:ascii="宋体" w:hAnsi="宋体" w:cs="宋体"/>
                <w:color w:val="000000"/>
                <w:kern w:val="0"/>
                <w:sz w:val="22"/>
                <w:lang w:bidi="ar"/>
              </w:rPr>
            </w:pPr>
            <w:r>
              <w:rPr>
                <w:rFonts w:hint="eastAsia" w:ascii="宋体" w:hAnsi="宋体" w:cs="宋体"/>
                <w:color w:val="000000"/>
                <w:kern w:val="0"/>
                <w:sz w:val="22"/>
                <w:lang w:bidi="ar"/>
              </w:rPr>
              <w:t>10</w:t>
            </w:r>
          </w:p>
        </w:tc>
        <w:tc>
          <w:tcPr>
            <w:tcW w:w="7969" w:type="dxa"/>
            <w:noWrap/>
            <w:vAlign w:val="center"/>
          </w:tcPr>
          <w:p>
            <w:pPr>
              <w:widowControl/>
              <w:jc w:val="left"/>
              <w:textAlignment w:val="center"/>
              <w:rPr>
                <w:rFonts w:hint="eastAsia" w:ascii="宋体" w:hAnsi="宋体" w:cs="宋体"/>
                <w:color w:val="000000"/>
                <w:sz w:val="22"/>
              </w:rPr>
            </w:pPr>
            <w:r>
              <w:rPr>
                <w:rFonts w:hint="eastAsia" w:ascii="宋体" w:hAnsi="宋体" w:cs="宋体"/>
                <w:color w:val="000000"/>
                <w:kern w:val="0"/>
                <w:sz w:val="22"/>
                <w:lang w:bidi="ar"/>
              </w:rPr>
              <w:t>2019年中央专项彩票公益金乡村学校少年宫运转资金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793" w:type="dxa"/>
            <w:noWrap/>
            <w:vAlign w:val="center"/>
          </w:tcPr>
          <w:p>
            <w:pPr>
              <w:widowControl/>
              <w:jc w:val="left"/>
              <w:textAlignment w:val="center"/>
              <w:rPr>
                <w:rFonts w:ascii="宋体" w:hAnsi="宋体" w:cs="宋体"/>
                <w:color w:val="000000"/>
                <w:kern w:val="0"/>
                <w:sz w:val="22"/>
                <w:lang w:bidi="ar"/>
              </w:rPr>
            </w:pPr>
            <w:r>
              <w:rPr>
                <w:rFonts w:hint="eastAsia" w:ascii="宋体" w:hAnsi="宋体" w:cs="宋体"/>
                <w:color w:val="000000"/>
                <w:kern w:val="0"/>
                <w:sz w:val="22"/>
                <w:lang w:bidi="ar"/>
              </w:rPr>
              <w:t>11</w:t>
            </w:r>
          </w:p>
        </w:tc>
        <w:tc>
          <w:tcPr>
            <w:tcW w:w="7969" w:type="dxa"/>
            <w:noWrap/>
            <w:vAlign w:val="center"/>
          </w:tcPr>
          <w:p>
            <w:pPr>
              <w:widowControl/>
              <w:jc w:val="left"/>
              <w:textAlignment w:val="center"/>
              <w:rPr>
                <w:rFonts w:hint="eastAsia" w:ascii="宋体" w:hAnsi="宋体" w:cs="宋体"/>
                <w:color w:val="000000"/>
                <w:sz w:val="22"/>
              </w:rPr>
            </w:pPr>
            <w:r>
              <w:rPr>
                <w:rFonts w:hint="eastAsia" w:ascii="宋体" w:hAnsi="宋体" w:cs="宋体"/>
                <w:color w:val="000000"/>
                <w:kern w:val="0"/>
                <w:sz w:val="22"/>
                <w:lang w:bidi="ar"/>
              </w:rPr>
              <w:t>2020年中央专项彩票公益金支持乡村学校少年宫项目资金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793" w:type="dxa"/>
            <w:noWrap/>
            <w:vAlign w:val="center"/>
          </w:tcPr>
          <w:p>
            <w:pPr>
              <w:widowControl/>
              <w:jc w:val="left"/>
              <w:textAlignment w:val="center"/>
              <w:rPr>
                <w:rFonts w:hint="eastAsia" w:ascii="宋体" w:hAnsi="宋体" w:cs="宋体"/>
                <w:color w:val="000000"/>
                <w:kern w:val="0"/>
                <w:sz w:val="22"/>
                <w:lang w:bidi="ar"/>
              </w:rPr>
            </w:pPr>
          </w:p>
        </w:tc>
        <w:tc>
          <w:tcPr>
            <w:tcW w:w="7969" w:type="dxa"/>
            <w:noWrap/>
            <w:vAlign w:val="center"/>
          </w:tcPr>
          <w:p>
            <w:pPr>
              <w:widowControl/>
              <w:jc w:val="left"/>
              <w:textAlignment w:val="center"/>
              <w:rPr>
                <w:rFonts w:hint="eastAsia" w:ascii="宋体" w:hAnsi="宋体" w:cs="宋体"/>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793" w:type="dxa"/>
            <w:noWrap/>
            <w:vAlign w:val="center"/>
          </w:tcPr>
          <w:p>
            <w:pPr>
              <w:widowControl/>
              <w:jc w:val="left"/>
              <w:textAlignment w:val="center"/>
              <w:rPr>
                <w:rFonts w:hint="eastAsia" w:ascii="宋体" w:hAnsi="宋体" w:cs="宋体"/>
                <w:color w:val="000000"/>
                <w:kern w:val="0"/>
                <w:sz w:val="22"/>
                <w:lang w:bidi="ar"/>
              </w:rPr>
            </w:pPr>
          </w:p>
        </w:tc>
        <w:tc>
          <w:tcPr>
            <w:tcW w:w="7969" w:type="dxa"/>
            <w:noWrap/>
            <w:vAlign w:val="center"/>
          </w:tcPr>
          <w:p>
            <w:pPr>
              <w:widowControl/>
              <w:jc w:val="left"/>
              <w:textAlignment w:val="center"/>
              <w:rPr>
                <w:rFonts w:hint="eastAsia" w:ascii="宋体" w:hAnsi="宋体" w:cs="宋体"/>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793" w:type="dxa"/>
            <w:noWrap/>
            <w:vAlign w:val="center"/>
          </w:tcPr>
          <w:p>
            <w:pPr>
              <w:widowControl/>
              <w:jc w:val="left"/>
              <w:textAlignment w:val="center"/>
              <w:rPr>
                <w:rFonts w:ascii="宋体" w:hAnsi="宋体" w:cs="宋体"/>
                <w:color w:val="000000"/>
                <w:kern w:val="0"/>
                <w:sz w:val="22"/>
                <w:lang w:bidi="ar"/>
              </w:rPr>
            </w:pPr>
          </w:p>
        </w:tc>
        <w:tc>
          <w:tcPr>
            <w:tcW w:w="7969" w:type="dxa"/>
            <w:noWrap/>
            <w:vAlign w:val="center"/>
          </w:tcPr>
          <w:p>
            <w:pPr>
              <w:widowControl/>
              <w:jc w:val="left"/>
              <w:textAlignment w:val="center"/>
              <w:rPr>
                <w:rFonts w:hint="eastAsia" w:ascii="宋体" w:hAnsi="宋体" w:cs="宋体"/>
                <w:color w:val="000000"/>
                <w:sz w:val="22"/>
              </w:rPr>
            </w:pPr>
          </w:p>
        </w:tc>
      </w:tr>
    </w:tbl>
    <w:p>
      <w:pPr>
        <w:spacing w:line="560" w:lineRule="exact"/>
        <w:ind w:firstLine="640" w:firstLineChars="200"/>
        <w:rPr>
          <w:rFonts w:eastAsia="仿宋_GB2312"/>
          <w:sz w:val="32"/>
          <w:szCs w:val="32"/>
        </w:rPr>
      </w:pPr>
      <w:r>
        <w:rPr>
          <w:rFonts w:eastAsia="仿宋_GB2312"/>
          <w:sz w:val="32"/>
          <w:szCs w:val="32"/>
        </w:rPr>
        <w:t>2.主要目标绩效完成情况</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2019年生均公用经费16.94万元，支出16.94万元</w:t>
      </w:r>
    </w:p>
    <w:p>
      <w:pPr>
        <w:spacing w:line="560" w:lineRule="exact"/>
        <w:ind w:firstLine="640" w:firstLineChars="200"/>
        <w:rPr>
          <w:rFonts w:hint="eastAsia" w:ascii="仿宋_GB2312" w:hAnsi="仿宋_GB2312" w:eastAsia="仿宋_GB2312" w:cs="仿宋_GB2312"/>
          <w:kern w:val="0"/>
          <w:sz w:val="32"/>
          <w:szCs w:val="32"/>
        </w:rPr>
      </w:pPr>
      <w:r>
        <w:rPr>
          <w:rFonts w:ascii="仿宋_GB2312" w:hAnsi="仿宋_GB2312" w:eastAsia="仿宋_GB2312" w:cs="仿宋_GB2312"/>
          <w:kern w:val="0"/>
          <w:sz w:val="32"/>
          <w:szCs w:val="32"/>
        </w:rPr>
        <w:t>2019年中央校舍维修资金，校园排水改造工程</w:t>
      </w:r>
      <w:r>
        <w:rPr>
          <w:rFonts w:hint="eastAsia" w:ascii="仿宋_GB2312" w:hAnsi="仿宋_GB2312" w:eastAsia="仿宋_GB2312" w:cs="仿宋_GB2312"/>
          <w:kern w:val="0"/>
          <w:sz w:val="32"/>
          <w:szCs w:val="32"/>
          <w:lang w:eastAsia="zh-CN"/>
        </w:rPr>
        <w:t>尾款</w:t>
      </w:r>
      <w:r>
        <w:rPr>
          <w:rFonts w:hint="eastAsia" w:ascii="仿宋_GB2312" w:hAnsi="仿宋_GB2312" w:eastAsia="仿宋_GB2312" w:cs="仿宋_GB2312"/>
          <w:kern w:val="0"/>
          <w:sz w:val="32"/>
          <w:szCs w:val="32"/>
        </w:rPr>
        <w:t>3.9万元，支出3.79万元，结余</w:t>
      </w:r>
      <w:r>
        <w:rPr>
          <w:rFonts w:hint="eastAsia" w:ascii="仿宋_GB2312" w:hAnsi="仿宋_GB2312" w:eastAsia="仿宋_GB2312" w:cs="仿宋_GB2312"/>
          <w:kern w:val="0"/>
          <w:sz w:val="32"/>
          <w:szCs w:val="32"/>
          <w:lang w:val="en-US" w:eastAsia="zh-CN"/>
        </w:rPr>
        <w:t>0.1</w:t>
      </w:r>
      <w:r>
        <w:rPr>
          <w:rFonts w:hint="eastAsia" w:ascii="仿宋_GB2312" w:hAnsi="仿宋_GB2312" w:eastAsia="仿宋_GB2312" w:cs="仿宋_GB2312"/>
          <w:kern w:val="0"/>
          <w:sz w:val="32"/>
          <w:szCs w:val="32"/>
        </w:rPr>
        <w:t>万元。</w:t>
      </w:r>
    </w:p>
    <w:p>
      <w:pPr>
        <w:spacing w:line="560" w:lineRule="exact"/>
        <w:ind w:firstLine="640" w:firstLineChars="200"/>
        <w:rPr>
          <w:rFonts w:hint="eastAsia" w:ascii="仿宋_GB2312" w:hAnsi="仿宋_GB2312" w:eastAsia="仿宋_GB2312" w:cs="仿宋_GB2312"/>
          <w:kern w:val="0"/>
          <w:sz w:val="32"/>
          <w:szCs w:val="32"/>
        </w:rPr>
      </w:pPr>
      <w:r>
        <w:rPr>
          <w:rFonts w:ascii="仿宋_GB2312" w:hAnsi="仿宋_GB2312" w:eastAsia="仿宋_GB2312" w:cs="仿宋_GB2312"/>
          <w:kern w:val="0"/>
          <w:sz w:val="32"/>
          <w:szCs w:val="32"/>
        </w:rPr>
        <w:t>2019年</w:t>
      </w:r>
      <w:r>
        <w:rPr>
          <w:rFonts w:hint="eastAsia" w:ascii="仿宋_GB2312" w:hAnsi="仿宋_GB2312" w:eastAsia="仿宋_GB2312" w:cs="仿宋_GB2312"/>
          <w:kern w:val="0"/>
          <w:sz w:val="32"/>
          <w:szCs w:val="32"/>
          <w:lang w:eastAsia="zh-CN"/>
        </w:rPr>
        <w:t>特殊</w:t>
      </w:r>
      <w:r>
        <w:rPr>
          <w:rFonts w:ascii="仿宋_GB2312" w:hAnsi="仿宋_GB2312" w:eastAsia="仿宋_GB2312" w:cs="仿宋_GB2312"/>
          <w:kern w:val="0"/>
          <w:sz w:val="32"/>
          <w:szCs w:val="32"/>
        </w:rPr>
        <w:t>教育学生公用经费</w:t>
      </w:r>
      <w:r>
        <w:rPr>
          <w:rFonts w:hint="eastAsia" w:ascii="仿宋_GB2312" w:hAnsi="仿宋_GB2312" w:eastAsia="仿宋_GB2312" w:cs="仿宋_GB2312"/>
          <w:kern w:val="0"/>
          <w:sz w:val="32"/>
          <w:szCs w:val="32"/>
        </w:rPr>
        <w:t>5.9万元，结余5.9万元。</w:t>
      </w:r>
    </w:p>
    <w:p>
      <w:pPr>
        <w:spacing w:line="560" w:lineRule="exact"/>
        <w:ind w:firstLine="640" w:firstLineChars="200"/>
        <w:rPr>
          <w:rFonts w:hint="eastAsia" w:ascii="仿宋_GB2312" w:hAnsi="仿宋_GB2312" w:eastAsia="仿宋_GB2312" w:cs="仿宋_GB2312"/>
          <w:kern w:val="0"/>
          <w:sz w:val="32"/>
          <w:szCs w:val="32"/>
        </w:rPr>
      </w:pPr>
      <w:r>
        <w:rPr>
          <w:rFonts w:ascii="仿宋_GB2312" w:hAnsi="仿宋_GB2312" w:eastAsia="仿宋_GB2312" w:cs="仿宋_GB2312"/>
          <w:kern w:val="0"/>
          <w:sz w:val="32"/>
          <w:szCs w:val="32"/>
        </w:rPr>
        <w:t>2020农村中小学公用经费补助资金</w:t>
      </w:r>
      <w:r>
        <w:rPr>
          <w:rFonts w:hint="eastAsia" w:ascii="仿宋_GB2312" w:hAnsi="仿宋_GB2312" w:eastAsia="仿宋_GB2312" w:cs="仿宋_GB2312"/>
          <w:kern w:val="0"/>
          <w:sz w:val="32"/>
          <w:szCs w:val="32"/>
        </w:rPr>
        <w:t>29万元，支出14.9万元，结余14.08万元。</w:t>
      </w:r>
    </w:p>
    <w:p>
      <w:pPr>
        <w:spacing w:line="560" w:lineRule="exact"/>
        <w:ind w:firstLine="640" w:firstLineChars="200"/>
        <w:rPr>
          <w:rFonts w:hint="eastAsia" w:ascii="仿宋_GB2312" w:hAnsi="仿宋_GB2312" w:eastAsia="仿宋_GB2312" w:cs="仿宋_GB2312"/>
          <w:kern w:val="0"/>
          <w:sz w:val="32"/>
          <w:szCs w:val="32"/>
        </w:rPr>
      </w:pPr>
      <w:r>
        <w:rPr>
          <w:rFonts w:ascii="仿宋_GB2312" w:hAnsi="仿宋_GB2312" w:eastAsia="仿宋_GB2312" w:cs="仿宋_GB2312"/>
          <w:kern w:val="0"/>
          <w:sz w:val="32"/>
          <w:szCs w:val="32"/>
        </w:rPr>
        <w:t>2020年生均公用经费结算数</w:t>
      </w:r>
      <w:r>
        <w:rPr>
          <w:rFonts w:hint="eastAsia" w:ascii="仿宋_GB2312" w:hAnsi="仿宋_GB2312" w:eastAsia="仿宋_GB2312" w:cs="仿宋_GB2312"/>
          <w:kern w:val="0"/>
          <w:sz w:val="32"/>
          <w:szCs w:val="32"/>
        </w:rPr>
        <w:t>56.4万元，支出12.9万元，结余43.5万元。</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241号特殊教育公用经费4.8万元，支出4.8万元。</w:t>
      </w:r>
    </w:p>
    <w:p>
      <w:pPr>
        <w:spacing w:line="560" w:lineRule="exact"/>
        <w:ind w:firstLine="640" w:firstLineChars="200"/>
        <w:rPr>
          <w:rFonts w:ascii="仿宋_GB2312" w:hAnsi="仿宋_GB2312" w:eastAsia="仿宋_GB2312" w:cs="仿宋_GB2312"/>
          <w:kern w:val="0"/>
          <w:sz w:val="32"/>
          <w:szCs w:val="32"/>
        </w:rPr>
      </w:pPr>
      <w:r>
        <w:rPr>
          <w:rFonts w:ascii="仿宋_GB2312" w:hAnsi="仿宋_GB2312" w:eastAsia="仿宋_GB2312" w:cs="仿宋_GB2312"/>
          <w:kern w:val="0"/>
          <w:sz w:val="32"/>
          <w:szCs w:val="32"/>
        </w:rPr>
        <w:t>2019年中央专项彩票公益金乡村学校少年宫运转资金</w:t>
      </w:r>
      <w:r>
        <w:rPr>
          <w:rFonts w:hint="eastAsia" w:ascii="仿宋_GB2312" w:hAnsi="仿宋_GB2312" w:eastAsia="仿宋_GB2312" w:cs="仿宋_GB2312"/>
          <w:kern w:val="0"/>
          <w:sz w:val="32"/>
          <w:szCs w:val="32"/>
        </w:rPr>
        <w:t>2.5万元，支出2.35万元</w:t>
      </w:r>
    </w:p>
    <w:p>
      <w:pPr>
        <w:spacing w:line="560" w:lineRule="exact"/>
        <w:ind w:firstLine="640" w:firstLineChars="200"/>
        <w:outlineLvl w:val="0"/>
        <w:rPr>
          <w:rFonts w:eastAsia="黑体"/>
          <w:sz w:val="32"/>
          <w:szCs w:val="32"/>
        </w:rPr>
      </w:pPr>
      <w:bookmarkStart w:id="6" w:name="_Toc28892"/>
      <w:r>
        <w:rPr>
          <w:rFonts w:eastAsia="黑体"/>
          <w:sz w:val="32"/>
          <w:szCs w:val="32"/>
        </w:rPr>
        <w:t>五、评价结论及建议</w:t>
      </w:r>
      <w:bookmarkEnd w:id="6"/>
    </w:p>
    <w:p>
      <w:pPr>
        <w:spacing w:line="560" w:lineRule="exact"/>
        <w:ind w:firstLine="640" w:firstLineChars="200"/>
        <w:rPr>
          <w:rFonts w:eastAsia="楷体_GB2312"/>
          <w:sz w:val="32"/>
          <w:szCs w:val="32"/>
        </w:rPr>
      </w:pPr>
      <w:r>
        <w:rPr>
          <w:rFonts w:eastAsia="楷体_GB2312"/>
          <w:sz w:val="32"/>
          <w:szCs w:val="32"/>
        </w:rPr>
        <w:t>（一）评价结论。</w:t>
      </w:r>
    </w:p>
    <w:p>
      <w:pPr>
        <w:pStyle w:val="3"/>
        <w:spacing w:before="0" w:beforeAutospacing="0" w:after="0" w:afterAutospacing="0"/>
        <w:ind w:firstLine="560"/>
        <w:jc w:val="both"/>
        <w:rPr>
          <w:rFonts w:hint="default" w:ascii="仿宋" w:hAnsi="仿宋" w:eastAsia="仿宋" w:cs="Times New Roman"/>
          <w:kern w:val="2"/>
          <w:sz w:val="32"/>
          <w:szCs w:val="32"/>
          <w:lang w:val="en-US" w:eastAsia="zh-CN"/>
        </w:rPr>
      </w:pPr>
      <w:r>
        <w:rPr>
          <w:rFonts w:hint="eastAsia" w:ascii="仿宋" w:hAnsi="仿宋" w:eastAsia="仿宋" w:cs="Times New Roman"/>
          <w:kern w:val="2"/>
          <w:sz w:val="32"/>
          <w:szCs w:val="32"/>
        </w:rPr>
        <w:t>学校整体支出绩效情况：自评</w:t>
      </w:r>
      <w:r>
        <w:rPr>
          <w:rFonts w:hint="eastAsia" w:ascii="仿宋" w:hAnsi="仿宋" w:eastAsia="仿宋" w:cs="Times New Roman"/>
          <w:kern w:val="2"/>
          <w:sz w:val="32"/>
          <w:szCs w:val="32"/>
          <w:lang w:val="en-US" w:eastAsia="zh-CN"/>
        </w:rPr>
        <w:t>88.4分</w:t>
      </w:r>
    </w:p>
    <w:p>
      <w:pPr>
        <w:spacing w:line="560" w:lineRule="exact"/>
        <w:ind w:firstLine="640" w:firstLineChars="200"/>
        <w:rPr>
          <w:rFonts w:eastAsia="楷体_GB2312"/>
          <w:sz w:val="32"/>
          <w:szCs w:val="32"/>
        </w:rPr>
      </w:pPr>
      <w:r>
        <w:rPr>
          <w:rFonts w:eastAsia="楷体_GB2312"/>
          <w:sz w:val="32"/>
          <w:szCs w:val="32"/>
        </w:rPr>
        <w:t>（二）存在问题。</w:t>
      </w:r>
    </w:p>
    <w:p>
      <w:pPr>
        <w:pStyle w:val="3"/>
        <w:spacing w:before="0" w:beforeAutospacing="0" w:after="0" w:afterAutospacing="0"/>
        <w:ind w:firstLine="560"/>
        <w:jc w:val="both"/>
        <w:rPr>
          <w:rFonts w:ascii="仿宋" w:hAnsi="仿宋" w:eastAsia="仿宋" w:cs="Times New Roman"/>
          <w:kern w:val="2"/>
          <w:sz w:val="32"/>
          <w:szCs w:val="32"/>
        </w:rPr>
      </w:pPr>
      <w:r>
        <w:rPr>
          <w:rFonts w:hint="eastAsia" w:ascii="仿宋" w:hAnsi="仿宋" w:eastAsia="仿宋" w:cs="Times New Roman"/>
          <w:kern w:val="2"/>
          <w:sz w:val="32"/>
          <w:szCs w:val="32"/>
        </w:rPr>
        <w:t>学校地处偏远差旅开支大，水电费开支大，学校公用经费紧张。</w:t>
      </w:r>
    </w:p>
    <w:p>
      <w:pPr>
        <w:numPr>
          <w:ilvl w:val="0"/>
          <w:numId w:val="2"/>
        </w:numPr>
        <w:spacing w:line="560" w:lineRule="exact"/>
        <w:ind w:firstLine="640" w:firstLineChars="200"/>
        <w:rPr>
          <w:rFonts w:eastAsia="楷体_GB2312"/>
          <w:sz w:val="32"/>
          <w:szCs w:val="32"/>
        </w:rPr>
      </w:pPr>
      <w:r>
        <w:rPr>
          <w:rFonts w:eastAsia="楷体_GB2312"/>
          <w:sz w:val="32"/>
          <w:szCs w:val="32"/>
        </w:rPr>
        <w:t>改进建议。</w:t>
      </w:r>
    </w:p>
    <w:p>
      <w:pPr>
        <w:pStyle w:val="3"/>
        <w:spacing w:before="0" w:beforeAutospacing="0" w:after="0" w:afterAutospacing="0"/>
        <w:ind w:firstLine="840"/>
        <w:jc w:val="both"/>
        <w:rPr>
          <w:rFonts w:ascii="仿宋" w:hAnsi="仿宋" w:eastAsia="仿宋" w:cs="Times New Roman"/>
          <w:kern w:val="2"/>
          <w:sz w:val="32"/>
          <w:szCs w:val="32"/>
        </w:rPr>
      </w:pPr>
      <w:r>
        <w:rPr>
          <w:rFonts w:hint="eastAsia" w:ascii="仿宋" w:hAnsi="仿宋" w:eastAsia="仿宋" w:cs="Times New Roman"/>
          <w:kern w:val="2"/>
          <w:sz w:val="32"/>
          <w:szCs w:val="32"/>
        </w:rPr>
        <w:t>切实做好预算编制工作，做好本单位情况调查，仔细测算部门资金需求，努力使预算资金合理。及时支出资金，减少部门资金结转。</w:t>
      </w:r>
    </w:p>
    <w:p>
      <w:pPr>
        <w:pStyle w:val="3"/>
        <w:spacing w:before="0" w:beforeAutospacing="0" w:after="0" w:afterAutospacing="0"/>
        <w:ind w:firstLine="560"/>
        <w:jc w:val="both"/>
        <w:rPr>
          <w:rFonts w:eastAsia="楷体_GB2312"/>
          <w:sz w:val="32"/>
          <w:szCs w:val="32"/>
        </w:rPr>
      </w:pPr>
      <w:r>
        <w:rPr>
          <w:rFonts w:hint="eastAsia" w:ascii="仿宋" w:hAnsi="仿宋" w:eastAsia="仿宋" w:cs="Times New Roman"/>
          <w:kern w:val="2"/>
          <w:sz w:val="32"/>
          <w:szCs w:val="32"/>
        </w:rPr>
        <w:t>进一步建立健全财务制度，规范财务管理，规范教育教学行为；提高教育教学质量，加强校园文化建设，加强学校廉政建设</w:t>
      </w:r>
      <w:r>
        <w:rPr>
          <w:rFonts w:hint="eastAsia" w:ascii="仿宋_GB2312" w:hAnsi="仿宋" w:eastAsia="仿宋_GB2312" w:cs="仿宋_GB2312"/>
          <w:color w:val="333333"/>
          <w:sz w:val="28"/>
          <w:szCs w:val="28"/>
        </w:rPr>
        <w:t>。</w:t>
      </w:r>
    </w:p>
    <w:p>
      <w:pPr>
        <w:spacing w:line="560" w:lineRule="exact"/>
        <w:rPr>
          <w:rFonts w:hint="eastAsia" w:eastAsia="楷体_GB2312"/>
          <w:sz w:val="32"/>
          <w:szCs w:val="32"/>
        </w:rPr>
      </w:pPr>
      <w:r>
        <w:rPr>
          <w:rFonts w:hint="eastAsia" w:eastAsia="楷体_GB2312"/>
          <w:sz w:val="32"/>
          <w:szCs w:val="32"/>
        </w:rPr>
        <w:t xml:space="preserve">                                </w:t>
      </w:r>
      <w:r>
        <w:rPr>
          <w:rFonts w:hint="eastAsia" w:eastAsia="楷体_GB2312"/>
          <w:sz w:val="32"/>
          <w:szCs w:val="32"/>
          <w:lang w:val="en-US" w:eastAsia="zh-CN"/>
        </w:rPr>
        <w:t xml:space="preserve">  </w:t>
      </w:r>
      <w:r>
        <w:rPr>
          <w:rFonts w:hint="eastAsia" w:eastAsia="楷体_GB2312"/>
          <w:sz w:val="32"/>
          <w:szCs w:val="32"/>
        </w:rPr>
        <w:t>盐边县永兴中学校</w:t>
      </w:r>
    </w:p>
    <w:p>
      <w:pPr>
        <w:spacing w:line="560" w:lineRule="exact"/>
        <w:rPr>
          <w:rFonts w:eastAsia="楷体_GB2312"/>
          <w:sz w:val="32"/>
          <w:szCs w:val="32"/>
        </w:rPr>
      </w:pPr>
      <w:r>
        <w:rPr>
          <w:rFonts w:hint="eastAsia" w:eastAsia="楷体_GB2312"/>
          <w:sz w:val="32"/>
          <w:szCs w:val="32"/>
        </w:rPr>
        <w:t xml:space="preserve">                                   2021年9月10日</w:t>
      </w:r>
    </w:p>
    <w:p/>
    <w:p>
      <w:pPr>
        <w:ind w:firstLine="320" w:firstLineChars="100"/>
        <w:rPr>
          <w:rFonts w:ascii="Times New Roman" w:hAnsi="Times New Roman" w:eastAsia="宋体" w:cs="Times New Roman"/>
          <w:kern w:val="2"/>
          <w:sz w:val="21"/>
          <w:szCs w:val="22"/>
          <w:lang w:val="en-US" w:eastAsia="zh-CN" w:bidi="ar-SA"/>
        </w:rPr>
      </w:pPr>
      <w:r>
        <w:rPr>
          <w:rFonts w:ascii="Times New Roman" w:hAnsi="Times New Roman" w:eastAsia="仿宋_GB2312" w:cs="Times New Roman"/>
          <w:kern w:val="2"/>
          <w:sz w:val="32"/>
          <w:szCs w:val="32"/>
          <w:lang w:val="en-US" w:eastAsia="zh-CN" w:bidi="ar-SA"/>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340360</wp:posOffset>
                </wp:positionV>
                <wp:extent cx="537210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26.8pt;height:0pt;width:423pt;z-index:251661312;mso-width-relative:page;mso-height-relative:page;" filled="f" stroked="t" coordsize="21600,21600" o:gfxdata="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BGXUi+1AAAAAYBAAAPAAAAAAAAAAEA&#10;IAAAACIAAABkcnMvZG93bnJldi54bWxQSwECFAAUAAAACACHTuJAv7SwgNoBAACWAwAADgAAAAAA&#10;AAABACAAAAAjAQAAZHJzL2Uyb0RvYy54bWxQSwUGAAAAAAYABgBZAQAAbwUAAAAA&#10;">
                <v:fill on="f" focussize="0,0"/>
                <v:stroke color="#000000" joinstyle="round"/>
                <v:imagedata o:title=""/>
                <o:lock v:ext="edit" aspectratio="f"/>
              </v:line>
            </w:pict>
          </mc:Fallback>
        </mc:AlternateContent>
      </w:r>
      <w:r>
        <w:rPr>
          <w:rFonts w:ascii="Times New Roman" w:hAnsi="Times New Roman" w:eastAsia="仿宋_GB2312" w:cs="Times New Roman"/>
          <w:kern w:val="2"/>
          <w:sz w:val="32"/>
          <w:szCs w:val="32"/>
          <w:lang w:val="en-US" w:eastAsia="zh-CN" w:bidi="ar-SA"/>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43180</wp:posOffset>
                </wp:positionV>
                <wp:extent cx="537210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3.4pt;height:0pt;width:423pt;z-index:251660288;mso-width-relative:page;mso-height-relative:page;" filled="f" stroked="t" coordsize="21600,21600" o:gfxdata="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EXoFUdEAAAAEAQAADwAAAAAAAAABACAA&#10;AAAiAAAAZHJzL2Rvd25yZXYueG1sUEsBAhQAFAAAAAgAh07iQK7f1O3bAQAAlgMAAA4AAAAAAAAA&#10;AQAgAAAAIAEAAGRycy9lMm9Eb2MueG1sUEsFBgAAAAAGAAYAWQEAAG0FAAAAAA==&#10;">
                <v:fill on="f" focussize="0,0"/>
                <v:stroke color="#000000" joinstyle="round"/>
                <v:imagedata o:title=""/>
                <o:lock v:ext="edit" aspectratio="f"/>
              </v:line>
            </w:pict>
          </mc:Fallback>
        </mc:AlternateContent>
      </w:r>
      <w:r>
        <w:rPr>
          <w:rFonts w:hint="eastAsia" w:ascii="Times New Roman" w:hAnsi="Times New Roman" w:eastAsia="仿宋_GB2312" w:cs="Times New Roman"/>
          <w:kern w:val="2"/>
          <w:sz w:val="32"/>
          <w:szCs w:val="32"/>
          <w:lang w:val="en-US" w:eastAsia="zh-CN" w:bidi="ar-SA"/>
        </w:rPr>
        <w:t>盐边县永兴中学校办公室       2021年9月10日印发</w:t>
      </w:r>
    </w:p>
    <w:sectPr>
      <w:pgSz w:w="11906" w:h="16838"/>
      <w:pgMar w:top="1157" w:right="1633" w:bottom="1157" w:left="163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embedRegular r:id="rId1" w:fontKey="{A76418FA-9B05-40A5-88B8-4BB8091636A7}"/>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embedRegular r:id="rId2" w:fontKey="{E16A765D-D91F-43A8-9FEB-778E2D4D4701}"/>
  </w:font>
  <w:font w:name="华文中宋">
    <w:panose1 w:val="02010600040101010101"/>
    <w:charset w:val="86"/>
    <w:family w:val="auto"/>
    <w:pitch w:val="default"/>
    <w:sig w:usb0="00000287" w:usb1="080F0000" w:usb2="00000000" w:usb3="00000000" w:csb0="0004009F" w:csb1="DFD70000"/>
    <w:embedRegular r:id="rId3" w:fontKey="{06A22B4E-4498-44BE-A323-636D5F382AF5}"/>
  </w:font>
  <w:font w:name="方正小标宋简体">
    <w:altName w:val="方正舒体"/>
    <w:panose1 w:val="03000509000000000000"/>
    <w:charset w:val="86"/>
    <w:family w:val="script"/>
    <w:pitch w:val="default"/>
    <w:sig w:usb0="00000000" w:usb1="00000000" w:usb2="00000000" w:usb3="00000000" w:csb0="00000000" w:csb1="00000000"/>
    <w:embedRegular r:id="rId4" w:fontKey="{B2BCDA3D-977C-4C0D-BBA1-BD18D6C6F167}"/>
  </w:font>
  <w:font w:name="方正小标宋_GBK">
    <w:panose1 w:val="02000000000000000000"/>
    <w:charset w:val="86"/>
    <w:family w:val="script"/>
    <w:pitch w:val="default"/>
    <w:sig w:usb0="00000000" w:usb1="00000000" w:usb2="00000000" w:usb3="00000000" w:csb0="00000000" w:csb1="00000000"/>
    <w:embedRegular r:id="rId5" w:fontKey="{912974B1-455F-4400-8CA7-B2869EC9E0BC}"/>
  </w:font>
  <w:font w:name="仿宋">
    <w:panose1 w:val="02010609060101010101"/>
    <w:charset w:val="86"/>
    <w:family w:val="auto"/>
    <w:pitch w:val="default"/>
    <w:sig w:usb0="00000000" w:usb1="00000000" w:usb2="00000000" w:usb3="00000000" w:csb0="00000000" w:csb1="00000000"/>
    <w:embedRegular r:id="rId6" w:fontKey="{A1E0A8A0-8414-4A2C-8869-E54DDFDED69E}"/>
  </w:font>
  <w:font w:name="楷体_GB2312">
    <w:panose1 w:val="02010609030101010101"/>
    <w:charset w:val="86"/>
    <w:family w:val="modern"/>
    <w:pitch w:val="default"/>
    <w:sig w:usb0="00000001" w:usb1="080E0000" w:usb2="00000000" w:usb3="00000000" w:csb0="00040000" w:csb1="00000000"/>
    <w:embedRegular r:id="rId7" w:fontKey="{2C761B56-23AA-4A64-BEBC-28C8F1DDD6D3}"/>
  </w:font>
  <w:font w:name="方正舒体">
    <w:panose1 w:val="02010601030101010101"/>
    <w:charset w:val="86"/>
    <w:family w:val="auto"/>
    <w:pitch w:val="default"/>
    <w:sig w:usb0="00000003" w:usb1="080E0000" w:usb2="00000000" w:usb3="00000000" w:csb0="00040000" w:csb1="00000000"/>
  </w:font>
  <w:font w:name="Tahoma">
    <w:panose1 w:val="020B0604030504040204"/>
    <w:charset w:val="00"/>
    <w:family w:val="auto"/>
    <w:pitch w:val="default"/>
    <w:sig w:usb0="61007A87" w:usb1="80000000" w:usb2="00000008"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D8DE81"/>
    <w:multiLevelType w:val="singleLevel"/>
    <w:tmpl w:val="58D8DE81"/>
    <w:lvl w:ilvl="0" w:tentative="0">
      <w:start w:val="3"/>
      <w:numFmt w:val="chineseCounting"/>
      <w:suff w:val="nothing"/>
      <w:lvlText w:val="（%1）"/>
      <w:lvlJc w:val="left"/>
      <w:rPr>
        <w:rFonts w:hint="eastAsia"/>
      </w:rPr>
    </w:lvl>
  </w:abstractNum>
  <w:abstractNum w:abstractNumId="1">
    <w:nsid w:val="6DD55FC1"/>
    <w:multiLevelType w:val="singleLevel"/>
    <w:tmpl w:val="6DD55FC1"/>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4C0023"/>
    <w:rsid w:val="16320D74"/>
    <w:rsid w:val="1AD50224"/>
    <w:rsid w:val="492B14DA"/>
    <w:rsid w:val="6B4C00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before="93" w:beforeLines="30"/>
    </w:pPr>
    <w:rPr>
      <w:rFonts w:ascii="仿宋_GB2312" w:eastAsia="仿宋_GB2312"/>
      <w:kern w:val="0"/>
      <w:sz w:val="30"/>
    </w:rPr>
  </w:style>
  <w:style w:type="paragraph" w:styleId="3">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2021-09-13T01:17:00Z</dcterms:created>
  <dc:creator>zhang</dc:creator>
  <cp:lastModifiedBy>zhang</cp:lastModifiedBy>
  <dcterms:modified xsi:type="dcterms:W3CDTF">2021-09-13T08:16:20Z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2052-11.1.0.9929</vt:lpwstr>
  </property>
  <property fmtid="{D5CDD505-2E9C-101B-9397-08002B2CF9AE}" pid="3" name="ICV">
    <vt:lpwstr>DCB6A5122E36492CAD205FEF7F989636</vt:lpwstr>
  </property>
</Properties>
</file>