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sz w:val="32"/>
          <w:szCs w:val="32"/>
          <w:lang w:val="zh-CN"/>
        </w:rPr>
      </w:pPr>
      <w:r>
        <w:rPr>
          <w:rFonts w:hint="eastAsia" w:eastAsia="方正楷体_GBK"/>
          <w:b/>
          <w:sz w:val="24"/>
          <w:szCs w:val="24"/>
          <w:lang w:eastAsia="zh-CN"/>
        </w:rPr>
        <w:t>盐边县民族中学校生均公用经费年初预算</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1、盐边县民族中学校生均公用经费的主管部门是盐边县教育和体育局，在该项目中的管理职能为监督管理，资金使用、原始票据审核。</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2、根据年初预算口径要求，按相关文件执行。</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3、资金各项费用报销，出示原始票据，经办人签字，分管领导确认、主要领导签字后交主管部门盐边县教育和体育局会计核算中心审核通过后在划拨支付资金。</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4、资金分配按照学校日常工作开展需求分配。</w:t>
      </w:r>
    </w:p>
    <w:p>
      <w:pPr>
        <w:numPr>
          <w:ilvl w:val="0"/>
          <w:numId w:val="1"/>
        </w:numPr>
        <w:spacing w:line="560" w:lineRule="exact"/>
        <w:ind w:firstLine="640" w:firstLineChars="200"/>
        <w:rPr>
          <w:rFonts w:eastAsia="楷体_GB2312"/>
          <w:sz w:val="32"/>
          <w:szCs w:val="32"/>
        </w:rPr>
      </w:pPr>
      <w:r>
        <w:rPr>
          <w:rFonts w:eastAsia="楷体_GB2312"/>
          <w:sz w:val="32"/>
          <w:szCs w:val="32"/>
        </w:rPr>
        <w:t>项目绩效目标。</w:t>
      </w:r>
    </w:p>
    <w:p>
      <w:pPr>
        <w:spacing w:line="560" w:lineRule="exact"/>
        <w:ind w:firstLine="640" w:firstLineChars="200"/>
        <w:rPr>
          <w:rFonts w:hint="eastAsia" w:ascii="仿宋" w:hAnsi="仿宋" w:eastAsia="仿宋" w:cs="仿宋"/>
          <w:sz w:val="32"/>
          <w:szCs w:val="32"/>
          <w:lang w:val="en-US" w:eastAsia="zh-CN"/>
        </w:rPr>
      </w:pPr>
      <w:r>
        <w:rPr>
          <w:rFonts w:hint="eastAsia" w:eastAsia="仿宋_GB2312"/>
          <w:sz w:val="32"/>
          <w:szCs w:val="32"/>
          <w:lang w:val="en-US" w:eastAsia="zh-CN"/>
        </w:rPr>
        <w:t>根据县财政有关政策文件，遵循客观、合法、公正、实事求是的原则，在保障师生安全及正常的教学外</w:t>
      </w:r>
      <w:r>
        <w:rPr>
          <w:rFonts w:hint="eastAsia" w:ascii="仿宋" w:hAnsi="仿宋" w:eastAsia="仿宋" w:cs="仿宋"/>
          <w:sz w:val="32"/>
          <w:szCs w:val="32"/>
          <w:lang w:val="en-US" w:eastAsia="zh-CN"/>
        </w:rPr>
        <w:t>2020年生均公用经费用于学校日常开支，保障学校机构正常运转（水费、电费、办公费、差旅费、培训费、邮电费等）。</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b w:val="0"/>
          <w:bCs w:val="0"/>
          <w:sz w:val="32"/>
          <w:szCs w:val="32"/>
          <w:lang w:eastAsia="zh-CN"/>
        </w:rPr>
        <w:t>前期准备</w:t>
      </w:r>
      <w:r>
        <w:rPr>
          <w:rFonts w:hint="eastAsia" w:ascii="仿宋" w:hAnsi="仿宋" w:eastAsia="仿宋" w:cs="仿宋"/>
          <w:sz w:val="32"/>
          <w:szCs w:val="32"/>
          <w:lang w:eastAsia="zh-CN"/>
        </w:rPr>
        <w:t>：认真制定绩效自评工作方案，由总务室牵头各部门相互配合协调，共同完成本次绩效自评工作；</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组织实施：收集相关资料，根据资料认真撰写《专项资金绩效评价报告》，确保自评工作真实客观；</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分析评价：我校严格按照有关规定使用专项经费，资金使用效益良好；</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改项目按年初预算口径编制。</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1.资金计划。</w:t>
      </w:r>
    </w:p>
    <w:p>
      <w:pPr>
        <w:spacing w:line="560" w:lineRule="exact"/>
        <w:ind w:firstLine="640" w:firstLineChars="200"/>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2020年中央资金50.56万元。</w:t>
      </w:r>
    </w:p>
    <w:p>
      <w:pPr>
        <w:numPr>
          <w:ilvl w:val="0"/>
          <w:numId w:val="2"/>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资金到位。</w:t>
      </w:r>
    </w:p>
    <w:p>
      <w:pPr>
        <w:numPr>
          <w:ilvl w:val="0"/>
          <w:numId w:val="0"/>
        </w:numPr>
        <w:spacing w:line="560" w:lineRule="exact"/>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2020年资金已足额全部到位。</w:t>
      </w:r>
    </w:p>
    <w:p>
      <w:pPr>
        <w:numPr>
          <w:ilvl w:val="0"/>
          <w:numId w:val="2"/>
        </w:numPr>
        <w:spacing w:line="560" w:lineRule="exact"/>
        <w:ind w:left="0"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资金使用。</w:t>
      </w:r>
    </w:p>
    <w:p>
      <w:pPr>
        <w:numPr>
          <w:ilvl w:val="0"/>
          <w:numId w:val="0"/>
        </w:numPr>
        <w:spacing w:line="560" w:lineRule="exact"/>
        <w:ind w:leftChars="20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财政部门按时足额下拨公用经费，学校公用经费主要用于学校正常的教育教学，包括办公费，水电费，培训费，差旅费，校舍维修费等，不存在用公用经费发放教师津贴补贴、教学奖励等人员经费的情况。在开支中，我校按照少花钱多办事的原则，节省开支，每月的开支严格按预算执行，做到不超支每月可用资金</w:t>
      </w:r>
      <w:r>
        <w:rPr>
          <w:rFonts w:hint="eastAsia" w:ascii="仿宋" w:hAnsi="仿宋" w:eastAsia="仿宋" w:cs="仿宋"/>
          <w:sz w:val="32"/>
          <w:szCs w:val="32"/>
          <w:lang w:eastAsia="zh-CN"/>
        </w:rPr>
        <w:t>，</w:t>
      </w:r>
      <w:r>
        <w:rPr>
          <w:rFonts w:hint="eastAsia" w:ascii="仿宋" w:hAnsi="仿宋" w:eastAsia="仿宋" w:cs="仿宋"/>
          <w:sz w:val="32"/>
          <w:szCs w:val="32"/>
        </w:rPr>
        <w:t>会计在办理账务时做到实事求是、细心审核、加强监督，严格执行财务纪律，按照财务制度和会计基础工作规范化的要求进行财务会计工作。  　</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我校</w:t>
      </w:r>
      <w:r>
        <w:rPr>
          <w:rFonts w:eastAsia="仿宋_GB2312"/>
          <w:sz w:val="32"/>
          <w:szCs w:val="32"/>
        </w:rPr>
        <w:t>财务管理制度健全，严格执行财务管理制度，账务处理及时，会计核算规范。</w:t>
      </w:r>
      <w:r>
        <w:rPr>
          <w:rFonts w:hint="eastAsia" w:ascii="仿宋" w:hAnsi="仿宋" w:eastAsia="仿宋" w:cs="仿宋"/>
          <w:sz w:val="32"/>
          <w:szCs w:val="32"/>
        </w:rPr>
        <w:t>财务在审核原始凭证时，对不真实、不合格、不合法的原始凭证敢于指出，坚决不予报销;对记载不准确、不完整的原始凭证，予以退回，要求经办人员更正、补充。各种票据手续齐备，规范合法，购买物品的发票必须有经手人、验收人，领导签名方可有效，确保了我校财务的真实、合法、准确、完整，增强了民主理财意识，提高财务管理的透明度，切实发挥了财务核算和监督的作用。</w:t>
      </w:r>
    </w:p>
    <w:p>
      <w:pPr>
        <w:spacing w:line="560" w:lineRule="exact"/>
        <w:ind w:firstLine="640" w:firstLineChars="200"/>
        <w:rPr>
          <w:rFonts w:eastAsia="黑体"/>
          <w:sz w:val="32"/>
          <w:szCs w:val="32"/>
        </w:rPr>
      </w:pPr>
      <w:r>
        <w:rPr>
          <w:rFonts w:eastAsia="黑体"/>
          <w:sz w:val="32"/>
          <w:szCs w:val="32"/>
        </w:rPr>
        <w:t>三、项目实施及管理情况</w:t>
      </w:r>
    </w:p>
    <w:p>
      <w:pPr>
        <w:numPr>
          <w:ilvl w:val="0"/>
          <w:numId w:val="3"/>
        </w:numPr>
        <w:spacing w:line="560" w:lineRule="exact"/>
        <w:ind w:firstLine="640" w:firstLineChars="200"/>
        <w:rPr>
          <w:rFonts w:eastAsia="楷体_GB2312"/>
          <w:sz w:val="32"/>
          <w:szCs w:val="32"/>
        </w:rPr>
      </w:pPr>
      <w:r>
        <w:rPr>
          <w:rFonts w:eastAsia="楷体_GB2312"/>
          <w:sz w:val="32"/>
          <w:szCs w:val="32"/>
        </w:rPr>
        <w:t>项目组织架构及实施流程。</w:t>
      </w:r>
    </w:p>
    <w:p>
      <w:pPr>
        <w:spacing w:line="560" w:lineRule="exact"/>
        <w:rPr>
          <w:rFonts w:hint="eastAsia" w:ascii="仿宋" w:hAnsi="仿宋" w:eastAsia="仿宋" w:cs="仿宋"/>
          <w:sz w:val="32"/>
          <w:szCs w:val="32"/>
        </w:rPr>
      </w:pPr>
      <w:r>
        <w:rPr>
          <w:rFonts w:hint="eastAsia" w:eastAsia="楷体_GB2312"/>
          <w:sz w:val="32"/>
          <w:szCs w:val="32"/>
          <w:lang w:val="en-US" w:eastAsia="zh-CN"/>
        </w:rPr>
        <w:t xml:space="preserve">   该项目属于经常性支出项目，用于学校</w:t>
      </w:r>
      <w:r>
        <w:rPr>
          <w:rFonts w:hint="eastAsia" w:ascii="仿宋" w:hAnsi="仿宋" w:eastAsia="仿宋" w:cs="仿宋"/>
          <w:sz w:val="32"/>
          <w:szCs w:val="32"/>
          <w:lang w:val="en-US" w:eastAsia="zh-CN"/>
        </w:rPr>
        <w:t>日常开支，保障学校机构正常运转（水费、电费、办公费、差旅费、培训费、邮电费等）。各项费用使用严格按照我校内部控制管理制度，</w:t>
      </w:r>
      <w:r>
        <w:rPr>
          <w:rFonts w:hint="eastAsia" w:ascii="仿宋" w:hAnsi="仿宋" w:eastAsia="仿宋" w:cs="仿宋"/>
          <w:sz w:val="32"/>
          <w:szCs w:val="32"/>
        </w:rPr>
        <w:t xml:space="preserve">认真履行报账制度，力求资金的规范使用，无挪用、挤占、截留等现象的发生。严格财经审批手续。所有报销发票，做到手续完备，每张发票有经手人签字、证明人签字、校长签字。坚决贯彻执行国家及上级主管部门的有关财务法规，没有发生在政策法规范围之外，自作主张处理财务的不良问题。 校长财务管理，学校任何财务活动必须经校长审批后，方可实施。重大开支项目，都经校务会议集体决定，向上级申请报告，方可实施。差旅费、培训费、会议费、招待费等费用报销，严格执行文件规定。需要购置各种设备、仪器、教具、办公用品及其它物品，都先通过学校班子决定后，才添置。账员严格执法，自觉执行财经纪律，做好财务审核。 </w:t>
      </w:r>
    </w:p>
    <w:p>
      <w:pPr>
        <w:numPr>
          <w:ilvl w:val="0"/>
          <w:numId w:val="3"/>
        </w:numPr>
        <w:spacing w:line="560" w:lineRule="exact"/>
        <w:ind w:left="0" w:leftChars="0" w:firstLine="640" w:firstLineChars="200"/>
        <w:rPr>
          <w:rFonts w:eastAsia="仿宋_GB2312"/>
          <w:sz w:val="32"/>
          <w:szCs w:val="32"/>
        </w:rPr>
      </w:pPr>
      <w:r>
        <w:rPr>
          <w:rFonts w:eastAsia="楷体_GB2312"/>
          <w:sz w:val="32"/>
          <w:szCs w:val="32"/>
        </w:rPr>
        <w:t>项目管理情况。</w:t>
      </w:r>
    </w:p>
    <w:p>
      <w:pPr>
        <w:numPr>
          <w:ilvl w:val="0"/>
          <w:numId w:val="0"/>
        </w:numPr>
        <w:spacing w:line="560" w:lineRule="exact"/>
        <w:ind w:firstLine="960" w:firstLineChars="300"/>
        <w:rPr>
          <w:rFonts w:hint="eastAsia" w:eastAsia="仿宋_GB2312"/>
          <w:sz w:val="32"/>
          <w:szCs w:val="32"/>
          <w:lang w:eastAsia="zh-CN"/>
        </w:rPr>
      </w:pPr>
      <w:r>
        <w:rPr>
          <w:rFonts w:hint="eastAsia" w:eastAsia="仿宋_GB2312"/>
          <w:sz w:val="32"/>
          <w:szCs w:val="32"/>
          <w:lang w:eastAsia="zh-CN"/>
        </w:rPr>
        <w:t>项目资金使用严格按照预算编制专款专用，</w:t>
      </w:r>
      <w:r>
        <w:rPr>
          <w:rFonts w:eastAsia="仿宋_GB2312"/>
          <w:sz w:val="32"/>
          <w:szCs w:val="32"/>
        </w:rPr>
        <w:t>严格执行财务管理制度，账务处理及时，会计核算规范。</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项目主管部门盐边县教育和体育局为经费使用实施监督管理，各项费用报销票据的审核，严格监控支付使用流程。</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项目支出中水电支出预计指标完成81.83%，原因为厉行节约，受疫情影响学生晚一个月入学，水电年末都有结余；校园维修（护）指标完成100%；教师培训、出差经费完成100%，办公经费、其他商品服务完成100%,</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val="en-US" w:eastAsia="zh-CN"/>
        </w:rPr>
        <w:t>保障学校机构日常开支，正常运转，截止年末执行率达85.2%，项目按照学校相关制度进行管理，经费支出严格按照程序规范管理，严格经过相应层级审核，确保资金支付安全、合规、合法，保证资金专款专用。</w:t>
      </w:r>
    </w:p>
    <w:p>
      <w:pPr>
        <w:numPr>
          <w:ilvl w:val="0"/>
          <w:numId w:val="3"/>
        </w:numPr>
        <w:spacing w:line="560" w:lineRule="exact"/>
        <w:ind w:left="0" w:leftChars="0" w:firstLine="640" w:firstLineChars="200"/>
        <w:rPr>
          <w:rFonts w:eastAsia="楷体_GB2312"/>
          <w:sz w:val="32"/>
          <w:szCs w:val="32"/>
        </w:rPr>
      </w:pPr>
      <w:r>
        <w:rPr>
          <w:rFonts w:eastAsia="楷体_GB2312"/>
          <w:sz w:val="32"/>
          <w:szCs w:val="32"/>
        </w:rPr>
        <w:t>项目效益情况。</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项目资金为提升学校教育教学质量提供保障性支出，办学条件得到改善，美化教育教学环境，财务管理规范有序，教师能力进一步提升，增强校园知名度，获得社会、家长及教师的一致好评。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严格按照文件规定，工作机制健全，政策落实到位，资金管理规范，使用效益显著。</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项目相关目标内容的量化指标不够准确，由于学校编制结构原因，财务人员由专职教师担任，财务专业知识缺乏。</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r>
        <w:rPr>
          <w:rFonts w:hint="eastAsia" w:ascii="仿宋" w:hAnsi="仿宋" w:eastAsia="仿宋" w:cs="仿宋"/>
          <w:i w:val="0"/>
          <w:iCs w:val="0"/>
          <w:caps w:val="0"/>
          <w:color w:val="000000"/>
          <w:spacing w:val="0"/>
          <w:sz w:val="32"/>
          <w:szCs w:val="32"/>
          <w:shd w:val="clear" w:color="auto" w:fill="FFFFFF"/>
          <w:lang w:eastAsia="zh-CN"/>
        </w:rPr>
        <w:t>加强</w:t>
      </w:r>
      <w:r>
        <w:rPr>
          <w:rFonts w:hint="eastAsia" w:ascii="仿宋" w:hAnsi="仿宋" w:eastAsia="仿宋" w:cs="仿宋"/>
          <w:i w:val="0"/>
          <w:iCs w:val="0"/>
          <w:caps w:val="0"/>
          <w:color w:val="000000"/>
          <w:spacing w:val="0"/>
          <w:sz w:val="32"/>
          <w:szCs w:val="32"/>
          <w:shd w:val="clear" w:color="auto" w:fill="FFFFFF"/>
        </w:rPr>
        <w:t>绩效评价相关文件和知识的学习，提升绩效自评能力，结合单位实际和项目资金实际科学合理设置绩效目标，尽可能细化、量化</w:t>
      </w:r>
      <w:r>
        <w:rPr>
          <w:rFonts w:hint="eastAsia" w:ascii="仿宋" w:hAnsi="仿宋" w:eastAsia="仿宋" w:cs="仿宋"/>
          <w:i w:val="0"/>
          <w:iCs w:val="0"/>
          <w:caps w:val="0"/>
          <w:color w:val="000000"/>
          <w:spacing w:val="0"/>
          <w:sz w:val="32"/>
          <w:szCs w:val="32"/>
          <w:shd w:val="clear" w:color="auto" w:fill="FFFFFF"/>
          <w:lang w:eastAsia="zh-CN"/>
        </w:rPr>
        <w:t>；组织参加财务人员的专业培训，增强财务人员的专业技能。</w:t>
      </w: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rPr>
          <w:rFonts w:hint="eastAsia" w:ascii="仿宋" w:hAnsi="仿宋" w:eastAsia="仿宋" w:cs="仿宋"/>
          <w:i w:val="0"/>
          <w:iCs w:val="0"/>
          <w:caps w:val="0"/>
          <w:color w:val="000000"/>
          <w:spacing w:val="0"/>
          <w:sz w:val="32"/>
          <w:szCs w:val="32"/>
          <w:shd w:val="clear" w:color="auto" w:fill="FFFFFF"/>
          <w:lang w:eastAsia="zh-CN"/>
        </w:rPr>
      </w:pPr>
    </w:p>
    <w:p>
      <w:pPr>
        <w:spacing w:line="560" w:lineRule="exact"/>
        <w:ind w:firstLine="640" w:firstLineChars="200"/>
        <w:jc w:val="right"/>
        <w:rPr>
          <w:rFonts w:hint="eastAsia" w:ascii="仿宋" w:hAnsi="仿宋" w:eastAsia="仿宋" w:cs="仿宋"/>
          <w:i w:val="0"/>
          <w:iCs w:val="0"/>
          <w:caps w:val="0"/>
          <w:color w:val="000000"/>
          <w:spacing w:val="0"/>
          <w:sz w:val="32"/>
          <w:szCs w:val="32"/>
          <w:shd w:val="clear" w:color="auto" w:fill="FFFFFF"/>
          <w:lang w:eastAsia="zh-CN"/>
        </w:rPr>
      </w:pPr>
      <w:r>
        <w:rPr>
          <w:rFonts w:hint="eastAsia" w:ascii="仿宋" w:hAnsi="仿宋" w:eastAsia="仿宋" w:cs="仿宋"/>
          <w:i w:val="0"/>
          <w:iCs w:val="0"/>
          <w:caps w:val="0"/>
          <w:color w:val="000000"/>
          <w:spacing w:val="0"/>
          <w:sz w:val="32"/>
          <w:szCs w:val="32"/>
          <w:shd w:val="clear" w:color="auto" w:fill="FFFFFF"/>
          <w:lang w:eastAsia="zh-CN"/>
        </w:rPr>
        <w:t>盐边县民族中学校</w:t>
      </w:r>
    </w:p>
    <w:p>
      <w:pPr>
        <w:spacing w:line="560" w:lineRule="exact"/>
        <w:ind w:firstLine="640" w:firstLineChars="200"/>
        <w:jc w:val="right"/>
        <w:rPr>
          <w:rFonts w:hint="default" w:ascii="仿宋" w:hAnsi="仿宋" w:eastAsia="仿宋" w:cs="仿宋"/>
          <w:i w:val="0"/>
          <w:iCs w:val="0"/>
          <w:caps w:val="0"/>
          <w:color w:val="000000"/>
          <w:spacing w:val="0"/>
          <w:sz w:val="32"/>
          <w:szCs w:val="32"/>
          <w:shd w:val="clear" w:color="auto" w:fill="FFFFFF"/>
          <w:lang w:val="en-US" w:eastAsia="zh-CN"/>
        </w:rPr>
      </w:pPr>
      <w:r>
        <w:rPr>
          <w:rFonts w:hint="eastAsia" w:ascii="仿宋" w:hAnsi="仿宋" w:eastAsia="仿宋" w:cs="仿宋"/>
          <w:i w:val="0"/>
          <w:iCs w:val="0"/>
          <w:caps w:val="0"/>
          <w:color w:val="000000"/>
          <w:spacing w:val="0"/>
          <w:sz w:val="32"/>
          <w:szCs w:val="32"/>
          <w:shd w:val="clear" w:color="auto" w:fill="FFFFFF"/>
          <w:lang w:val="en-US" w:eastAsia="zh-CN"/>
        </w:rPr>
        <w:t>2021年9月9日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9E8D8A"/>
    <w:multiLevelType w:val="singleLevel"/>
    <w:tmpl w:val="BB9E8D8A"/>
    <w:lvl w:ilvl="0" w:tentative="0">
      <w:start w:val="2"/>
      <w:numFmt w:val="decimal"/>
      <w:lvlText w:val="%1."/>
      <w:lvlJc w:val="left"/>
      <w:pPr>
        <w:tabs>
          <w:tab w:val="left" w:pos="312"/>
        </w:tabs>
      </w:pPr>
    </w:lvl>
  </w:abstractNum>
  <w:abstractNum w:abstractNumId="1">
    <w:nsid w:val="0B5497ED"/>
    <w:multiLevelType w:val="singleLevel"/>
    <w:tmpl w:val="0B5497ED"/>
    <w:lvl w:ilvl="0" w:tentative="0">
      <w:start w:val="1"/>
      <w:numFmt w:val="chineseCounting"/>
      <w:suff w:val="nothing"/>
      <w:lvlText w:val="（%1）"/>
      <w:lvlJc w:val="left"/>
      <w:rPr>
        <w:rFonts w:hint="eastAsia"/>
      </w:rPr>
    </w:lvl>
  </w:abstractNum>
  <w:abstractNum w:abstractNumId="2">
    <w:nsid w:val="7F01127E"/>
    <w:multiLevelType w:val="singleLevel"/>
    <w:tmpl w:val="7F01127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C22052"/>
    <w:rsid w:val="00C366D5"/>
    <w:rsid w:val="00E96F9E"/>
    <w:rsid w:val="11815060"/>
    <w:rsid w:val="2B882C46"/>
    <w:rsid w:val="33B22CE5"/>
    <w:rsid w:val="345B782A"/>
    <w:rsid w:val="521E4EB2"/>
    <w:rsid w:val="53B66931"/>
    <w:rsid w:val="5B1F5718"/>
    <w:rsid w:val="5C2B4090"/>
    <w:rsid w:val="61E42F7D"/>
    <w:rsid w:val="63416BF1"/>
    <w:rsid w:val="6D502F55"/>
    <w:rsid w:val="755718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2</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2021-09-10T06:25:01Z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4B62E235DA7A4EED830F5137F86BD9D5</vt:lpwstr>
  </property>
</Properties>
</file>