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bCs/>
          <w:i w:val="0"/>
          <w:iCs w:val="0"/>
          <w:caps w:val="0"/>
          <w:color w:val="333333"/>
          <w:spacing w:val="0"/>
          <w:sz w:val="44"/>
          <w:szCs w:val="44"/>
          <w:shd w:val="clear" w:fill="FFFFFF"/>
        </w:rPr>
      </w:pPr>
      <w:r>
        <w:rPr>
          <w:rFonts w:hint="eastAsia" w:ascii="微软雅黑" w:hAnsi="微软雅黑" w:eastAsia="微软雅黑" w:cs="微软雅黑"/>
          <w:b/>
          <w:bCs/>
          <w:i w:val="0"/>
          <w:iCs w:val="0"/>
          <w:caps w:val="0"/>
          <w:color w:val="333333"/>
          <w:spacing w:val="0"/>
          <w:sz w:val="44"/>
          <w:szCs w:val="44"/>
          <w:shd w:val="clear" w:fill="FFFFFF"/>
          <w:lang w:val="en-US" w:eastAsia="zh-CN"/>
        </w:rPr>
        <w:t>盐边县</w:t>
      </w:r>
      <w:r>
        <w:rPr>
          <w:rFonts w:hint="eastAsia" w:ascii="微软雅黑" w:hAnsi="微软雅黑" w:eastAsia="微软雅黑" w:cs="微软雅黑"/>
          <w:b/>
          <w:bCs/>
          <w:i w:val="0"/>
          <w:iCs w:val="0"/>
          <w:caps w:val="0"/>
          <w:color w:val="333333"/>
          <w:spacing w:val="0"/>
          <w:sz w:val="44"/>
          <w:szCs w:val="44"/>
          <w:shd w:val="clear" w:fill="FFFFFF"/>
        </w:rPr>
        <w:t>人大办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bCs/>
          <w:i w:val="0"/>
          <w:iCs w:val="0"/>
          <w:caps w:val="0"/>
          <w:color w:val="333333"/>
          <w:spacing w:val="0"/>
          <w:sz w:val="44"/>
          <w:szCs w:val="44"/>
          <w:shd w:val="clear" w:fill="FFFFFF"/>
        </w:rPr>
      </w:pPr>
      <w:r>
        <w:rPr>
          <w:rFonts w:hint="eastAsia" w:ascii="微软雅黑" w:hAnsi="微软雅黑" w:eastAsia="微软雅黑" w:cs="微软雅黑"/>
          <w:b/>
          <w:bCs/>
          <w:i w:val="0"/>
          <w:iCs w:val="0"/>
          <w:caps w:val="0"/>
          <w:color w:val="333333"/>
          <w:spacing w:val="0"/>
          <w:sz w:val="44"/>
          <w:szCs w:val="44"/>
          <w:shd w:val="clear" w:fill="FFFFFF"/>
        </w:rPr>
        <w:t>20</w:t>
      </w:r>
      <w:r>
        <w:rPr>
          <w:rFonts w:hint="eastAsia" w:ascii="微软雅黑" w:hAnsi="微软雅黑" w:eastAsia="微软雅黑" w:cs="微软雅黑"/>
          <w:b/>
          <w:bCs/>
          <w:i w:val="0"/>
          <w:iCs w:val="0"/>
          <w:caps w:val="0"/>
          <w:color w:val="333333"/>
          <w:spacing w:val="0"/>
          <w:sz w:val="44"/>
          <w:szCs w:val="44"/>
          <w:shd w:val="clear" w:fill="FFFFFF"/>
          <w:lang w:val="en-US" w:eastAsia="zh-CN"/>
        </w:rPr>
        <w:t>20</w:t>
      </w:r>
      <w:r>
        <w:rPr>
          <w:rFonts w:hint="eastAsia" w:ascii="微软雅黑" w:hAnsi="微软雅黑" w:eastAsia="微软雅黑" w:cs="微软雅黑"/>
          <w:b/>
          <w:bCs/>
          <w:i w:val="0"/>
          <w:iCs w:val="0"/>
          <w:caps w:val="0"/>
          <w:color w:val="333333"/>
          <w:spacing w:val="0"/>
          <w:sz w:val="44"/>
          <w:szCs w:val="44"/>
          <w:shd w:val="clear" w:fill="FFFFFF"/>
        </w:rPr>
        <w:t>年度部门整体支出绩效评价报告</w:t>
      </w:r>
    </w:p>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根据《</w:t>
      </w:r>
      <w:r>
        <w:rPr>
          <w:rFonts w:hint="eastAsia" w:ascii="仿宋_GB2312" w:hAnsi="仿宋_GB2312" w:eastAsia="仿宋_GB2312" w:cs="仿宋_GB2312"/>
          <w:i w:val="0"/>
          <w:iCs w:val="0"/>
          <w:caps w:val="0"/>
          <w:color w:val="auto"/>
          <w:spacing w:val="0"/>
          <w:sz w:val="28"/>
          <w:szCs w:val="28"/>
          <w:shd w:val="clear" w:fill="FFFFFF"/>
          <w:lang w:val="en-US" w:eastAsia="zh-CN"/>
        </w:rPr>
        <w:t>盐边县财政局关于开展2020年度部门整体支出绩效评价工作的通知</w:t>
      </w:r>
      <w:r>
        <w:rPr>
          <w:rFonts w:hint="eastAsia" w:ascii="仿宋_GB2312" w:hAnsi="仿宋_GB2312" w:eastAsia="仿宋_GB2312" w:cs="仿宋_GB2312"/>
          <w:i w:val="0"/>
          <w:iCs w:val="0"/>
          <w:caps w:val="0"/>
          <w:color w:val="auto"/>
          <w:spacing w:val="0"/>
          <w:sz w:val="28"/>
          <w:szCs w:val="28"/>
          <w:shd w:val="clear" w:fill="FFFFFF"/>
        </w:rPr>
        <w:t>》等有关文件精神，我办对照《</w:t>
      </w:r>
      <w:r>
        <w:rPr>
          <w:rFonts w:hint="eastAsia" w:ascii="仿宋_GB2312" w:hAnsi="仿宋_GB2312" w:eastAsia="仿宋_GB2312" w:cs="仿宋_GB2312"/>
          <w:i w:val="0"/>
          <w:iCs w:val="0"/>
          <w:caps w:val="0"/>
          <w:color w:val="auto"/>
          <w:spacing w:val="0"/>
          <w:sz w:val="28"/>
          <w:szCs w:val="28"/>
          <w:shd w:val="clear" w:fill="FFFFFF"/>
          <w:lang w:val="en-US" w:eastAsia="zh-CN"/>
        </w:rPr>
        <w:t>2020年县级</w:t>
      </w:r>
      <w:r>
        <w:rPr>
          <w:rFonts w:hint="eastAsia" w:ascii="仿宋_GB2312" w:hAnsi="仿宋_GB2312" w:eastAsia="仿宋_GB2312" w:cs="仿宋_GB2312"/>
          <w:i w:val="0"/>
          <w:iCs w:val="0"/>
          <w:caps w:val="0"/>
          <w:color w:val="auto"/>
          <w:spacing w:val="0"/>
          <w:sz w:val="28"/>
          <w:szCs w:val="28"/>
          <w:shd w:val="clear" w:fill="FFFFFF"/>
        </w:rPr>
        <w:t>部门整体支出绩效评价指标</w:t>
      </w:r>
      <w:r>
        <w:rPr>
          <w:rFonts w:hint="eastAsia" w:ascii="仿宋_GB2312" w:hAnsi="仿宋_GB2312" w:eastAsia="仿宋_GB2312" w:cs="仿宋_GB2312"/>
          <w:i w:val="0"/>
          <w:iCs w:val="0"/>
          <w:caps w:val="0"/>
          <w:color w:val="auto"/>
          <w:spacing w:val="0"/>
          <w:sz w:val="28"/>
          <w:szCs w:val="28"/>
          <w:shd w:val="clear" w:fill="FFFFFF"/>
          <w:lang w:val="en-US" w:eastAsia="zh-CN"/>
        </w:rPr>
        <w:t>体系</w:t>
      </w:r>
      <w:r>
        <w:rPr>
          <w:rFonts w:hint="eastAsia" w:ascii="仿宋_GB2312" w:hAnsi="仿宋_GB2312" w:eastAsia="仿宋_GB2312" w:cs="仿宋_GB2312"/>
          <w:i w:val="0"/>
          <w:iCs w:val="0"/>
          <w:caps w:val="0"/>
          <w:color w:val="auto"/>
          <w:spacing w:val="0"/>
          <w:sz w:val="28"/>
          <w:szCs w:val="28"/>
          <w:shd w:val="clear" w:fill="FFFFFF"/>
        </w:rPr>
        <w:t>》，认真负责、客观公正地开展</w:t>
      </w:r>
      <w:r>
        <w:rPr>
          <w:rFonts w:hint="eastAsia" w:ascii="仿宋_GB2312" w:hAnsi="仿宋_GB2312" w:eastAsia="仿宋_GB2312" w:cs="仿宋_GB2312"/>
          <w:i w:val="0"/>
          <w:iCs w:val="0"/>
          <w:caps w:val="0"/>
          <w:color w:val="auto"/>
          <w:spacing w:val="0"/>
          <w:sz w:val="28"/>
          <w:szCs w:val="28"/>
          <w:shd w:val="clear" w:fill="FFFFFF"/>
          <w:lang w:val="en-US" w:eastAsia="zh-CN"/>
        </w:rPr>
        <w:t>了2020</w:t>
      </w:r>
      <w:r>
        <w:rPr>
          <w:rFonts w:hint="eastAsia" w:ascii="仿宋_GB2312" w:hAnsi="仿宋_GB2312" w:eastAsia="仿宋_GB2312" w:cs="仿宋_GB2312"/>
          <w:i w:val="0"/>
          <w:iCs w:val="0"/>
          <w:caps w:val="0"/>
          <w:color w:val="auto"/>
          <w:spacing w:val="0"/>
          <w:sz w:val="28"/>
          <w:szCs w:val="28"/>
          <w:shd w:val="clear" w:fill="FFFFFF"/>
        </w:rPr>
        <w:t>年度部门整体支出绩效自评工作</w:t>
      </w: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rPr>
        <w:t>现将</w:t>
      </w:r>
      <w:r>
        <w:rPr>
          <w:rFonts w:hint="eastAsia" w:ascii="仿宋_GB2312" w:hAnsi="仿宋_GB2312" w:eastAsia="仿宋_GB2312" w:cs="仿宋_GB2312"/>
          <w:i w:val="0"/>
          <w:iCs w:val="0"/>
          <w:caps w:val="0"/>
          <w:color w:val="auto"/>
          <w:spacing w:val="0"/>
          <w:sz w:val="28"/>
          <w:szCs w:val="28"/>
          <w:shd w:val="clear" w:fill="FFFFFF"/>
          <w:lang w:val="en-US" w:eastAsia="zh-CN"/>
        </w:rPr>
        <w:t>绩效评价</w:t>
      </w:r>
      <w:r>
        <w:rPr>
          <w:rFonts w:hint="eastAsia" w:ascii="仿宋_GB2312" w:hAnsi="仿宋_GB2312" w:eastAsia="仿宋_GB2312" w:cs="仿宋_GB2312"/>
          <w:i w:val="0"/>
          <w:iCs w:val="0"/>
          <w:caps w:val="0"/>
          <w:color w:val="auto"/>
          <w:spacing w:val="0"/>
          <w:sz w:val="28"/>
          <w:szCs w:val="28"/>
          <w:shd w:val="clear" w:fill="FFFFFF"/>
        </w:rPr>
        <w:t>相关情况报告如下：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280" w:firstLineChars="100"/>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　</w:t>
      </w:r>
      <w:r>
        <w:rPr>
          <w:rFonts w:hint="eastAsia" w:ascii="仿宋_GB2312" w:hAnsi="仿宋_GB2312" w:eastAsia="仿宋_GB2312" w:cs="仿宋_GB2312"/>
          <w:b w:val="0"/>
          <w:bCs w:val="0"/>
          <w:i w:val="0"/>
          <w:iCs w:val="0"/>
          <w:caps w:val="0"/>
          <w:color w:val="auto"/>
          <w:spacing w:val="0"/>
          <w:sz w:val="28"/>
          <w:szCs w:val="28"/>
          <w:shd w:val="clear" w:fill="FFFFFF"/>
        </w:rPr>
        <w:t>一、部门基本情况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0" w:right="0" w:firstLine="560" w:firstLineChars="20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（一）机构组成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0" w:right="0" w:firstLine="560" w:firstLineChars="20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盐边县人大常委会设有</w:t>
      </w:r>
      <w:r>
        <w:rPr>
          <w:rFonts w:hint="eastAsia" w:ascii="仿宋_GB2312" w:hAnsi="仿宋_GB2312" w:eastAsia="仿宋_GB2312" w:cs="仿宋_GB2312"/>
          <w:b w:val="0"/>
          <w:bCs w:val="0"/>
          <w:i w:val="0"/>
          <w:iCs w:val="0"/>
          <w:caps w:val="0"/>
          <w:color w:val="auto"/>
          <w:spacing w:val="0"/>
          <w:kern w:val="0"/>
          <w:sz w:val="28"/>
          <w:szCs w:val="28"/>
          <w:highlight w:val="none"/>
          <w:u w:val="none"/>
          <w:shd w:val="clear" w:color="auto" w:fill="auto"/>
          <w:lang w:val="en-US" w:eastAsia="zh-CN" w:bidi="ar"/>
        </w:rPr>
        <w:t>一室五委六</w:t>
      </w: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个正科级工作机构，分别为：人大常委会办公室、财政经济工作委员会、人事代表工作委员会、农业民族工作委员会、法制工作委员会、教科文卫工作委员会。</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0" w:right="0" w:firstLine="560" w:firstLineChars="20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机构职能</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640" w:leftChars="0" w:right="0" w:rightChars="0" w:firstLine="0" w:firstLineChars="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办文办会。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rightChars="0" w:firstLine="560" w:firstLineChars="20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2、承担县人大常委会执法检查、视察调研、工作评议、专题询问等重要活动的服务工作。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rightChars="0" w:firstLine="64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3、承担县人大常委会对外联络沟通的服务性工作。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rightChars="0" w:firstLine="64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4、承办县人大机关各项目标任务的迎检考核达标工作。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rightChars="0" w:firstLine="64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5、县人大机关内部管理。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rightChars="0" w:firstLine="64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6、县人大常委会其他日常工作。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0" w:right="0" w:firstLine="560" w:firstLineChars="200"/>
        <w:jc w:val="left"/>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（三）人员概况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pP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2020年县人大机关共有在职职工25名</w:t>
      </w:r>
      <w:bookmarkStart w:id="0" w:name="_GoBack"/>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（其中在编职工19人，在岗不在编职工6人）</w:t>
      </w:r>
      <w:r>
        <w:rPr>
          <w:rFonts w:hint="eastAsia" w:ascii="仿宋_GB2312" w:hAnsi="仿宋_GB2312" w:eastAsia="仿宋_GB2312" w:cs="仿宋_GB2312"/>
          <w:b w:val="0"/>
          <w:bCs w:val="0"/>
          <w:i w:val="0"/>
          <w:iCs w:val="0"/>
          <w:caps w:val="0"/>
          <w:color w:val="auto"/>
          <w:spacing w:val="0"/>
          <w:kern w:val="0"/>
          <w:sz w:val="28"/>
          <w:szCs w:val="28"/>
          <w:highlight w:val="none"/>
          <w:shd w:val="clear" w:color="auto" w:fill="auto"/>
          <w:lang w:val="en-US" w:eastAsia="zh-CN" w:bidi="ar"/>
        </w:rPr>
        <w:t>，退休人员24名。</w:t>
      </w:r>
    </w:p>
    <w:bookmarkEnd w:id="0"/>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b w:val="0"/>
          <w:bCs w:val="0"/>
          <w:i w:val="0"/>
          <w:iCs w:val="0"/>
          <w:caps w:val="0"/>
          <w:color w:val="auto"/>
          <w:spacing w:val="0"/>
          <w:sz w:val="28"/>
          <w:szCs w:val="28"/>
          <w:shd w:val="clear" w:fill="FFFFFF"/>
        </w:rPr>
        <w:t>二、评价工作</w:t>
      </w:r>
      <w:r>
        <w:rPr>
          <w:rFonts w:hint="eastAsia" w:ascii="仿宋_GB2312" w:hAnsi="仿宋_GB2312" w:eastAsia="仿宋_GB2312" w:cs="仿宋_GB2312"/>
          <w:b w:val="0"/>
          <w:bCs w:val="0"/>
          <w:i w:val="0"/>
          <w:iCs w:val="0"/>
          <w:caps w:val="0"/>
          <w:color w:val="auto"/>
          <w:spacing w:val="0"/>
          <w:sz w:val="28"/>
          <w:szCs w:val="28"/>
          <w:shd w:val="clear" w:fill="FFFFFF"/>
          <w:lang w:val="en-US" w:eastAsia="zh-CN"/>
        </w:rPr>
        <w:t>开展</w:t>
      </w:r>
      <w:r>
        <w:rPr>
          <w:rFonts w:hint="eastAsia" w:ascii="仿宋_GB2312" w:hAnsi="仿宋_GB2312" w:eastAsia="仿宋_GB2312" w:cs="仿宋_GB2312"/>
          <w:b w:val="0"/>
          <w:bCs w:val="0"/>
          <w:i w:val="0"/>
          <w:iCs w:val="0"/>
          <w:caps w:val="0"/>
          <w:color w:val="auto"/>
          <w:spacing w:val="0"/>
          <w:sz w:val="28"/>
          <w:szCs w:val="28"/>
          <w:shd w:val="clear" w:fill="FFFFFF"/>
        </w:rPr>
        <w:t>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shd w:val="clear" w:fill="FFFFFF"/>
        </w:rPr>
      </w:pP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lang w:val="en-US" w:eastAsia="zh-CN"/>
        </w:rPr>
        <w:t>一</w:t>
      </w: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rPr>
        <w:t>前期准备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按照绩效自评工作要求，成立</w:t>
      </w:r>
      <w:r>
        <w:rPr>
          <w:rFonts w:hint="eastAsia" w:ascii="仿宋_GB2312" w:hAnsi="仿宋_GB2312" w:eastAsia="仿宋_GB2312" w:cs="仿宋_GB2312"/>
          <w:i w:val="0"/>
          <w:iCs w:val="0"/>
          <w:caps w:val="0"/>
          <w:color w:val="auto"/>
          <w:spacing w:val="0"/>
          <w:sz w:val="28"/>
          <w:szCs w:val="28"/>
          <w:shd w:val="clear" w:fill="FFFFFF"/>
          <w:lang w:eastAsia="zh-CN"/>
        </w:rPr>
        <w:t>了</w:t>
      </w:r>
      <w:r>
        <w:rPr>
          <w:rFonts w:hint="eastAsia" w:ascii="仿宋_GB2312" w:hAnsi="仿宋_GB2312" w:eastAsia="仿宋_GB2312" w:cs="仿宋_GB2312"/>
          <w:i w:val="0"/>
          <w:iCs w:val="0"/>
          <w:caps w:val="0"/>
          <w:color w:val="auto"/>
          <w:spacing w:val="0"/>
          <w:sz w:val="28"/>
          <w:szCs w:val="28"/>
          <w:shd w:val="clear" w:fill="FFFFFF"/>
        </w:rPr>
        <w:t>绩效评价工作小组，对相关的国家法律法规进行了认真学习，掌握政策，根据部门整体收支情况制定了部门整体支出绩效评价实施方案。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shd w:val="clear" w:fill="FFFFFF"/>
        </w:rPr>
      </w:pP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lang w:val="en-US" w:eastAsia="zh-CN"/>
        </w:rPr>
        <w:t>二</w:t>
      </w: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rPr>
        <w:t>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核查</w:t>
      </w:r>
      <w:r>
        <w:rPr>
          <w:rFonts w:hint="eastAsia" w:ascii="仿宋_GB2312" w:hAnsi="仿宋_GB2312" w:eastAsia="仿宋_GB2312" w:cs="仿宋_GB2312"/>
          <w:i w:val="0"/>
          <w:iCs w:val="0"/>
          <w:caps w:val="0"/>
          <w:color w:val="auto"/>
          <w:spacing w:val="0"/>
          <w:sz w:val="28"/>
          <w:szCs w:val="28"/>
          <w:shd w:val="clear" w:fill="FFFFFF"/>
          <w:lang w:val="en-US" w:eastAsia="zh-CN"/>
        </w:rPr>
        <w:t>2020</w:t>
      </w:r>
      <w:r>
        <w:rPr>
          <w:rFonts w:hint="eastAsia" w:ascii="仿宋_GB2312" w:hAnsi="仿宋_GB2312" w:eastAsia="仿宋_GB2312" w:cs="仿宋_GB2312"/>
          <w:i w:val="0"/>
          <w:iCs w:val="0"/>
          <w:caps w:val="0"/>
          <w:color w:val="auto"/>
          <w:spacing w:val="0"/>
          <w:sz w:val="28"/>
          <w:szCs w:val="28"/>
          <w:shd w:val="clear" w:fill="FFFFFF"/>
        </w:rPr>
        <w:t>年同级财政预算批复执行及部门整体支出情况，着重核查了</w:t>
      </w:r>
      <w:r>
        <w:rPr>
          <w:rFonts w:hint="eastAsia" w:ascii="仿宋_GB2312" w:hAnsi="仿宋_GB2312" w:eastAsia="仿宋_GB2312" w:cs="仿宋_GB2312"/>
          <w:i w:val="0"/>
          <w:iCs w:val="0"/>
          <w:caps w:val="0"/>
          <w:color w:val="auto"/>
          <w:spacing w:val="0"/>
          <w:sz w:val="28"/>
          <w:szCs w:val="28"/>
          <w:shd w:val="clear" w:fill="FFFFFF"/>
          <w:lang w:val="en-US" w:eastAsia="zh-CN"/>
        </w:rPr>
        <w:t>部门预算管理、专项预算管理</w:t>
      </w:r>
      <w:r>
        <w:rPr>
          <w:rFonts w:hint="eastAsia" w:ascii="仿宋_GB2312" w:hAnsi="仿宋_GB2312" w:eastAsia="仿宋_GB2312" w:cs="仿宋_GB2312"/>
          <w:i w:val="0"/>
          <w:iCs w:val="0"/>
          <w:caps w:val="0"/>
          <w:color w:val="auto"/>
          <w:spacing w:val="0"/>
          <w:sz w:val="28"/>
          <w:szCs w:val="28"/>
          <w:shd w:val="clear" w:fill="FFFFFF"/>
        </w:rPr>
        <w:t>及</w:t>
      </w:r>
      <w:r>
        <w:rPr>
          <w:rFonts w:hint="eastAsia" w:ascii="仿宋_GB2312" w:hAnsi="仿宋_GB2312" w:eastAsia="仿宋_GB2312" w:cs="仿宋_GB2312"/>
          <w:i w:val="0"/>
          <w:iCs w:val="0"/>
          <w:caps w:val="0"/>
          <w:color w:val="auto"/>
          <w:spacing w:val="0"/>
          <w:sz w:val="28"/>
          <w:szCs w:val="28"/>
          <w:shd w:val="clear" w:fill="FFFFFF"/>
          <w:lang w:val="en-US" w:eastAsia="zh-CN"/>
        </w:rPr>
        <w:t>绩效结果应用</w:t>
      </w:r>
      <w:r>
        <w:rPr>
          <w:rFonts w:hint="eastAsia" w:ascii="仿宋_GB2312" w:hAnsi="仿宋_GB2312" w:eastAsia="仿宋_GB2312" w:cs="仿宋_GB2312"/>
          <w:i w:val="0"/>
          <w:iCs w:val="0"/>
          <w:caps w:val="0"/>
          <w:color w:val="auto"/>
          <w:spacing w:val="0"/>
          <w:sz w:val="28"/>
          <w:szCs w:val="28"/>
          <w:shd w:val="clear" w:fill="FFFFFF"/>
        </w:rPr>
        <w:t>、内部控制制度等情况。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shd w:val="clear" w:fill="FFFFFF"/>
        </w:rPr>
      </w:pP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lang w:val="en-US" w:eastAsia="zh-CN"/>
        </w:rPr>
        <w:t>三</w:t>
      </w:r>
      <w:r>
        <w:rPr>
          <w:rFonts w:hint="eastAsia" w:ascii="仿宋_GB2312" w:hAnsi="仿宋_GB2312" w:eastAsia="仿宋_GB2312" w:cs="仿宋_GB2312"/>
          <w:i w:val="0"/>
          <w:iCs w:val="0"/>
          <w:caps w:val="0"/>
          <w:color w:val="auto"/>
          <w:spacing w:val="0"/>
          <w:sz w:val="28"/>
          <w:szCs w:val="28"/>
          <w:shd w:val="clear" w:fill="FFFFFF"/>
          <w:lang w:eastAsia="zh-CN"/>
        </w:rPr>
        <w:t>）</w:t>
      </w:r>
      <w:r>
        <w:rPr>
          <w:rFonts w:hint="eastAsia" w:ascii="仿宋_GB2312" w:hAnsi="仿宋_GB2312" w:eastAsia="仿宋_GB2312" w:cs="仿宋_GB2312"/>
          <w:i w:val="0"/>
          <w:iCs w:val="0"/>
          <w:caps w:val="0"/>
          <w:color w:val="auto"/>
          <w:spacing w:val="0"/>
          <w:sz w:val="28"/>
          <w:szCs w:val="28"/>
          <w:shd w:val="clear" w:fill="FFFFFF"/>
        </w:rPr>
        <w:t>分析评价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shd w:val="clear" w:fill="FFFFFF"/>
        </w:rPr>
      </w:pPr>
      <w:r>
        <w:rPr>
          <w:rFonts w:hint="eastAsia" w:ascii="仿宋_GB2312" w:hAnsi="仿宋_GB2312" w:eastAsia="仿宋_GB2312" w:cs="仿宋_GB2312"/>
          <w:i w:val="0"/>
          <w:iCs w:val="0"/>
          <w:caps w:val="0"/>
          <w:color w:val="auto"/>
          <w:spacing w:val="0"/>
          <w:sz w:val="28"/>
          <w:szCs w:val="28"/>
          <w:shd w:val="clear" w:fill="FFFFFF"/>
        </w:rPr>
        <w:t>对评价过程中收集资料进行归纳，汇总分析，依据设定的部门整体支出绩效评价指标体系进行了评分，形成了综合性书面报告。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0" w:right="0" w:firstLine="560" w:firstLineChars="200"/>
        <w:jc w:val="left"/>
        <w:textAlignment w:val="auto"/>
        <w:rPr>
          <w:rFonts w:hint="eastAsia" w:ascii="仿宋_GB2312" w:hAnsi="仿宋_GB2312" w:eastAsia="仿宋_GB2312" w:cs="仿宋_GB2312"/>
          <w:i w:val="0"/>
          <w:iCs w:val="0"/>
          <w:caps w:val="0"/>
          <w:color w:val="auto"/>
          <w:spacing w:val="0"/>
          <w:sz w:val="28"/>
          <w:szCs w:val="28"/>
          <w:lang w:val="en-US" w:eastAsia="zh-CN"/>
        </w:rPr>
      </w:pPr>
      <w:r>
        <w:rPr>
          <w:rFonts w:hint="eastAsia" w:ascii="仿宋_GB2312" w:hAnsi="仿宋_GB2312" w:eastAsia="仿宋_GB2312" w:cs="仿宋_GB2312"/>
          <w:i w:val="0"/>
          <w:iCs w:val="0"/>
          <w:caps w:val="0"/>
          <w:color w:val="auto"/>
          <w:spacing w:val="0"/>
          <w:sz w:val="28"/>
          <w:szCs w:val="28"/>
          <w:lang w:val="en-US" w:eastAsia="zh-CN"/>
        </w:rPr>
        <w:t>三、部门资金基本情况</w:t>
      </w:r>
    </w:p>
    <w:p>
      <w:p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auto"/>
          <w:sz w:val="28"/>
          <w:szCs w:val="28"/>
        </w:rPr>
        <w:t>（一）部门财政资金收入情况</w:t>
      </w:r>
    </w:p>
    <w:p>
      <w:pPr>
        <w:ind w:firstLine="840" w:firstLineChars="3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2020年度共计收到财政拨入资金9,082,538.46元。</w:t>
      </w:r>
    </w:p>
    <w:p>
      <w:pPr>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其中：（1）拨入行政运行经费（含工资、奖金、养老保险缴费等）3,894,083.34元；</w:t>
      </w:r>
    </w:p>
    <w:p>
      <w:pPr>
        <w:numPr>
          <w:ilvl w:val="0"/>
          <w:numId w:val="3"/>
        </w:numPr>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拨入一般行政管理事务经费（含预算联网监督办公设备购置、会议费等）2,365,532.00元；</w:t>
      </w:r>
    </w:p>
    <w:p>
      <w:pPr>
        <w:numPr>
          <w:ilvl w:val="0"/>
          <w:numId w:val="3"/>
        </w:numPr>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拨入行政单位离退休人员奖金及其他206,530.00元；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拨入机关事业单位职业年金等59,757.73元；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拨入机关事业单位基本养老保险缴费等323,237.82元；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拨入伤残抚恤金7,908.00元；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拨入农林水支出其他扶贫支出经费2,000元；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拨入住房改革支出住房公积金单位缴费经费432,204.00元;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拨入人大会议项目经费1,524,481.22元（其中年初预算下达446,152.88元，年中追加下达1,078,328.34元）；</w:t>
      </w:r>
    </w:p>
    <w:p>
      <w:pPr>
        <w:numPr>
          <w:ilvl w:val="0"/>
          <w:numId w:val="3"/>
        </w:numPr>
        <w:ind w:left="0" w:leftChars="0"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拨入代表工作项目经费266,804.35元;（其中年初预算下达186,804.35元，年中追加下达80,000.00元）；</w:t>
      </w:r>
    </w:p>
    <w:p>
      <w:pPr>
        <w:numPr>
          <w:ilvl w:val="0"/>
          <w:numId w:val="4"/>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、部门财政资金支出情况</w:t>
      </w:r>
    </w:p>
    <w:p>
      <w:pPr>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2020年度共计支出财政资金9,082,538.46元。</w:t>
      </w:r>
    </w:p>
    <w:p>
      <w:pPr>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中：（1）行政运行经费支出3,894,083.34元（基本工资支出1,054,298.00元；津贴补贴支出894,840.00元；奖金支出1,134,285.00元；职工基本医疗保险缴费等支出168,321.34元；其他工资福利支出241,063.00元；办公费支出1,664.00元；水费支出593.00元；邮电费支出3,332.35元；差旅费支出4,974.65元；维修（护）费支出1,200元；劳务费支出96,556.00元；其他交通费支出217,800元；工会经费40,600.00元；福利费31,436.00元；生活补助支出3120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般行政管理事务经费支出2,365,532.00元（办公费支出2,045.00元；委托业务费支出56,525.00元；会议费支出1,407,000.00元；维修（护）费支出1,000元；劳务费支出3,810.00元；其他商品和服务支出770,112.00元；办公设备购置费125,040.00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行政事业单位离退休费支出206,530.00元（其中行政单位离退休生活补助172,130.00元；医疗补助17,600元；其他对个人和家庭补助支出2,520.00元；办公费支出4,883.00元；水费支出1,407.00元；邮电费支出25元；差旅费支出4,180.00元；维修（护）费580.00元；会议费2,605.00元；委托业务费400.00元；其他商品和服务支出200.00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机关事业单位基本养老保险缴费支出323,237.82元。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机关事业单位职业年金缴费支出59,757.73元。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其他扶贫支出项目办公费支出2,000元。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住房公积金缴费支出432,204.00元。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人大会议项目支出1,524,481.22元（其中：办公费支出96,939.00元；印刷费8,324.20元；邮电费8,702.48元；差旅费51,956.00元；会议费1,346,265.54元；其他交通费1,280.00元；其他商品和服务支出11,014.00元）。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代表工作项目支出266,804.35元（其中：办公费支出36,492.00元；差旅费16,415.35元；会议费96,697.00元；其他商品和服务支出88,200.00元；维修（护）费23,600.00元；租赁费5,400.00元）。</w:t>
      </w:r>
    </w:p>
    <w:p>
      <w:pPr>
        <w:numPr>
          <w:ilvl w:val="0"/>
          <w:numId w:val="5"/>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伤残抚恤金支出7,908.00元。</w:t>
      </w:r>
    </w:p>
    <w:p>
      <w:pPr>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（三）固定资产情况</w:t>
      </w:r>
    </w:p>
    <w:p>
      <w:pPr>
        <w:numPr>
          <w:ilvl w:val="0"/>
          <w:numId w:val="0"/>
        </w:numPr>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2020年新购固定资产共计125,040元（其中新购办公桌三张6,800元；电脑办公桌4张3900元；会议椅5,200元；办公椅11,760元；五门书柜2,200元；转角沙发5,000元；办公沙发5张7,500元；预算联网会议平板电视2台13,500元；条形茶几400元；空调4台11,200元；台式电脑6台29,940元；会议室液晶电视机台4,180元；彩色激光打印机3,480元；复印机一台19,980元）。</w:t>
      </w:r>
    </w:p>
    <w:p>
      <w:pPr>
        <w:numPr>
          <w:ilvl w:val="0"/>
          <w:numId w:val="0"/>
        </w:numPr>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2、2020年固定资产无处置、报废等。</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四、部门财政支出管理情况</w:t>
      </w:r>
    </w:p>
    <w:p>
      <w:pPr>
        <w:keepNext w:val="0"/>
        <w:keepLines w:val="0"/>
        <w:pageBreakBefore w:val="0"/>
        <w:kinsoku/>
        <w:wordWrap/>
        <w:overflowPunct/>
        <w:topLinePunct w:val="0"/>
        <w:autoSpaceDE/>
        <w:autoSpaceDN/>
        <w:bidi w:val="0"/>
        <w:adjustRightInd/>
        <w:snapToGrid/>
        <w:spacing w:line="240" w:lineRule="auto"/>
        <w:ind w:firstLine="280" w:firstLineChars="1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（一）专项资金分配情况</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根据我</w:t>
      </w:r>
      <w:r>
        <w:rPr>
          <w:rFonts w:hint="eastAsia" w:ascii="仿宋_GB2312" w:hAnsi="仿宋_GB2312" w:eastAsia="仿宋_GB2312" w:cs="仿宋_GB2312"/>
          <w:color w:val="auto"/>
          <w:sz w:val="28"/>
          <w:szCs w:val="28"/>
          <w:lang w:val="en-US" w:eastAsia="zh-CN"/>
        </w:rPr>
        <w:t>办</w:t>
      </w:r>
      <w:r>
        <w:rPr>
          <w:rFonts w:hint="eastAsia" w:ascii="仿宋_GB2312" w:hAnsi="仿宋_GB2312" w:eastAsia="仿宋_GB2312" w:cs="仿宋_GB2312"/>
          <w:color w:val="auto"/>
          <w:sz w:val="28"/>
          <w:szCs w:val="28"/>
        </w:rPr>
        <w:t>的工作职能和职责</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按照项目资金的使用内容和用途，本单位项目资金支出主要有</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项：1、</w:t>
      </w:r>
      <w:r>
        <w:rPr>
          <w:rFonts w:hint="eastAsia" w:ascii="仿宋_GB2312" w:hAnsi="仿宋_GB2312" w:eastAsia="仿宋_GB2312" w:cs="仿宋_GB2312"/>
          <w:color w:val="auto"/>
          <w:sz w:val="28"/>
          <w:szCs w:val="28"/>
          <w:lang w:eastAsia="zh-CN"/>
        </w:rPr>
        <w:t>人大</w:t>
      </w:r>
      <w:r>
        <w:rPr>
          <w:rFonts w:hint="eastAsia" w:ascii="仿宋_GB2312" w:hAnsi="仿宋_GB2312" w:eastAsia="仿宋_GB2312" w:cs="仿宋_GB2312"/>
          <w:color w:val="auto"/>
          <w:sz w:val="28"/>
          <w:szCs w:val="28"/>
        </w:rPr>
        <w:t>会议经费；2、人大代表</w:t>
      </w:r>
      <w:r>
        <w:rPr>
          <w:rFonts w:hint="eastAsia" w:ascii="仿宋_GB2312" w:hAnsi="仿宋_GB2312" w:eastAsia="仿宋_GB2312" w:cs="仿宋_GB2312"/>
          <w:color w:val="auto"/>
          <w:sz w:val="28"/>
          <w:szCs w:val="28"/>
          <w:lang w:eastAsia="zh-CN"/>
        </w:rPr>
        <w:t>工作</w:t>
      </w:r>
      <w:r>
        <w:rPr>
          <w:rFonts w:hint="eastAsia" w:ascii="仿宋_GB2312" w:hAnsi="仿宋_GB2312" w:eastAsia="仿宋_GB2312" w:cs="仿宋_GB2312"/>
          <w:color w:val="auto"/>
          <w:sz w:val="28"/>
          <w:szCs w:val="28"/>
        </w:rPr>
        <w:t>经费</w:t>
      </w:r>
      <w:r>
        <w:rPr>
          <w:rFonts w:hint="eastAsia" w:ascii="仿宋_GB2312" w:hAnsi="仿宋_GB2312" w:eastAsia="仿宋_GB2312" w:cs="仿宋_GB2312"/>
          <w:color w:val="auto"/>
          <w:sz w:val="28"/>
          <w:szCs w:val="28"/>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这</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个项目均为持续性、常年性项目，资金来源为</w:t>
      </w:r>
      <w:r>
        <w:rPr>
          <w:rFonts w:hint="eastAsia" w:ascii="仿宋_GB2312" w:hAnsi="仿宋_GB2312" w:eastAsia="仿宋_GB2312" w:cs="仿宋_GB2312"/>
          <w:color w:val="auto"/>
          <w:sz w:val="28"/>
          <w:szCs w:val="28"/>
          <w:lang w:eastAsia="zh-CN"/>
        </w:rPr>
        <w:t>县</w:t>
      </w:r>
      <w:r>
        <w:rPr>
          <w:rFonts w:hint="eastAsia" w:ascii="仿宋_GB2312" w:hAnsi="仿宋_GB2312" w:eastAsia="仿宋_GB2312" w:cs="仿宋_GB2312"/>
          <w:color w:val="auto"/>
          <w:sz w:val="28"/>
          <w:szCs w:val="28"/>
        </w:rPr>
        <w:t>财政预算</w:t>
      </w:r>
      <w:r>
        <w:rPr>
          <w:rFonts w:hint="eastAsia" w:ascii="仿宋_GB2312" w:hAnsi="仿宋_GB2312" w:eastAsia="仿宋_GB2312" w:cs="仿宋_GB2312"/>
          <w:color w:val="auto"/>
          <w:sz w:val="28"/>
          <w:szCs w:val="28"/>
          <w:lang w:eastAsia="zh-CN"/>
        </w:rPr>
        <w:t>安排</w:t>
      </w:r>
      <w:r>
        <w:rPr>
          <w:rFonts w:hint="eastAsia" w:ascii="仿宋_GB2312" w:hAnsi="仿宋_GB2312" w:eastAsia="仿宋_GB2312" w:cs="仿宋_GB2312"/>
          <w:color w:val="auto"/>
          <w:sz w:val="28"/>
          <w:szCs w:val="28"/>
        </w:rPr>
        <w:t>。通过这些专项工作的开展，保证人大工作的</w:t>
      </w:r>
      <w:r>
        <w:rPr>
          <w:rFonts w:hint="eastAsia" w:ascii="仿宋_GB2312" w:hAnsi="仿宋_GB2312" w:eastAsia="仿宋_GB2312" w:cs="仿宋_GB2312"/>
          <w:color w:val="auto"/>
          <w:sz w:val="28"/>
          <w:szCs w:val="28"/>
          <w:lang w:eastAsia="zh-CN"/>
        </w:rPr>
        <w:t>正常</w:t>
      </w:r>
      <w:r>
        <w:rPr>
          <w:rFonts w:hint="eastAsia" w:ascii="仿宋_GB2312" w:hAnsi="仿宋_GB2312" w:eastAsia="仿宋_GB2312" w:cs="仿宋_GB2312"/>
          <w:color w:val="auto"/>
          <w:sz w:val="28"/>
          <w:szCs w:val="28"/>
        </w:rPr>
        <w:t>开展。</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2020年</w:t>
      </w:r>
      <w:r>
        <w:rPr>
          <w:rFonts w:hint="eastAsia" w:ascii="仿宋_GB2312" w:hAnsi="仿宋_GB2312" w:eastAsia="仿宋_GB2312" w:cs="仿宋_GB2312"/>
          <w:color w:val="auto"/>
          <w:sz w:val="28"/>
          <w:szCs w:val="28"/>
        </w:rPr>
        <w:t>我</w:t>
      </w:r>
      <w:r>
        <w:rPr>
          <w:rFonts w:hint="eastAsia" w:ascii="仿宋_GB2312" w:hAnsi="仿宋_GB2312" w:eastAsia="仿宋_GB2312" w:cs="仿宋_GB2312"/>
          <w:color w:val="auto"/>
          <w:sz w:val="28"/>
          <w:szCs w:val="28"/>
          <w:lang w:val="en-US" w:eastAsia="zh-CN"/>
        </w:rPr>
        <w:t>办</w:t>
      </w:r>
      <w:r>
        <w:rPr>
          <w:rFonts w:hint="eastAsia" w:ascii="仿宋_GB2312" w:hAnsi="仿宋_GB2312" w:eastAsia="仿宋_GB2312" w:cs="仿宋_GB2312"/>
          <w:color w:val="auto"/>
          <w:sz w:val="28"/>
          <w:szCs w:val="28"/>
        </w:rPr>
        <w:t>项目支出</w:t>
      </w:r>
      <w:r>
        <w:rPr>
          <w:rFonts w:hint="eastAsia" w:ascii="仿宋_GB2312" w:hAnsi="仿宋_GB2312" w:eastAsia="仿宋_GB2312" w:cs="仿宋_GB2312"/>
          <w:color w:val="auto"/>
          <w:sz w:val="28"/>
          <w:szCs w:val="28"/>
          <w:lang w:eastAsia="zh-CN"/>
        </w:rPr>
        <w:t>县级财政</w:t>
      </w:r>
      <w:r>
        <w:rPr>
          <w:rFonts w:hint="eastAsia" w:ascii="仿宋_GB2312" w:hAnsi="仿宋_GB2312" w:eastAsia="仿宋_GB2312" w:cs="仿宋_GB2312"/>
          <w:color w:val="auto"/>
          <w:sz w:val="28"/>
          <w:szCs w:val="28"/>
        </w:rPr>
        <w:t>预算</w:t>
      </w:r>
      <w:r>
        <w:rPr>
          <w:rFonts w:hint="eastAsia" w:ascii="仿宋_GB2312" w:hAnsi="仿宋_GB2312" w:eastAsia="仿宋_GB2312" w:cs="仿宋_GB2312"/>
          <w:color w:val="auto"/>
          <w:sz w:val="28"/>
          <w:szCs w:val="28"/>
          <w:lang w:eastAsia="zh-CN"/>
        </w:rPr>
        <w:t>安排</w:t>
      </w:r>
      <w:r>
        <w:rPr>
          <w:rFonts w:hint="eastAsia" w:ascii="仿宋_GB2312" w:hAnsi="仿宋_GB2312" w:eastAsia="仿宋_GB2312" w:cs="仿宋_GB2312"/>
          <w:color w:val="auto"/>
          <w:sz w:val="28"/>
          <w:szCs w:val="28"/>
        </w:rPr>
        <w:t>为</w:t>
      </w:r>
      <w:r>
        <w:rPr>
          <w:rFonts w:hint="eastAsia" w:ascii="仿宋_GB2312" w:hAnsi="仿宋_GB2312" w:eastAsia="仿宋_GB2312" w:cs="仿宋_GB2312"/>
          <w:color w:val="auto"/>
          <w:sz w:val="28"/>
          <w:szCs w:val="28"/>
          <w:lang w:val="en-US" w:eastAsia="zh-CN"/>
        </w:rPr>
        <w:t>1,791,285.57</w:t>
      </w:r>
      <w:r>
        <w:rPr>
          <w:rFonts w:hint="eastAsia" w:ascii="仿宋_GB2312" w:hAnsi="仿宋_GB2312" w:eastAsia="仿宋_GB2312" w:cs="仿宋_GB2312"/>
          <w:color w:val="auto"/>
          <w:sz w:val="28"/>
          <w:szCs w:val="28"/>
        </w:rPr>
        <w:t>元，其中：1、人大代表工作经费</w:t>
      </w:r>
      <w:r>
        <w:rPr>
          <w:rFonts w:hint="eastAsia" w:ascii="仿宋_GB2312" w:hAnsi="仿宋_GB2312" w:eastAsia="仿宋_GB2312" w:cs="仿宋_GB2312"/>
          <w:color w:val="auto"/>
          <w:sz w:val="28"/>
          <w:szCs w:val="28"/>
          <w:lang w:val="en-US" w:eastAsia="zh-CN"/>
        </w:rPr>
        <w:t>1,524,481.22</w:t>
      </w:r>
      <w:r>
        <w:rPr>
          <w:rFonts w:hint="eastAsia" w:ascii="仿宋_GB2312" w:hAnsi="仿宋_GB2312" w:eastAsia="仿宋_GB2312" w:cs="仿宋_GB2312"/>
          <w:color w:val="auto"/>
          <w:sz w:val="28"/>
          <w:szCs w:val="28"/>
        </w:rPr>
        <w:t>元；2、人</w:t>
      </w:r>
      <w:r>
        <w:rPr>
          <w:rFonts w:hint="eastAsia" w:ascii="仿宋_GB2312" w:hAnsi="仿宋_GB2312" w:eastAsia="仿宋_GB2312" w:cs="仿宋_GB2312"/>
          <w:color w:val="auto"/>
          <w:sz w:val="28"/>
          <w:szCs w:val="28"/>
          <w:lang w:eastAsia="zh-CN"/>
        </w:rPr>
        <w:t>大会议</w:t>
      </w:r>
      <w:r>
        <w:rPr>
          <w:rFonts w:hint="eastAsia" w:ascii="仿宋_GB2312" w:hAnsi="仿宋_GB2312" w:eastAsia="仿宋_GB2312" w:cs="仿宋_GB2312"/>
          <w:color w:val="auto"/>
          <w:sz w:val="28"/>
          <w:szCs w:val="28"/>
        </w:rPr>
        <w:t>工作经费</w:t>
      </w:r>
      <w:r>
        <w:rPr>
          <w:rFonts w:hint="eastAsia" w:ascii="仿宋_GB2312" w:hAnsi="仿宋_GB2312" w:eastAsia="仿宋_GB2312" w:cs="仿宋_GB2312"/>
          <w:color w:val="auto"/>
          <w:sz w:val="28"/>
          <w:szCs w:val="28"/>
          <w:lang w:val="en-US" w:eastAsia="zh-CN"/>
        </w:rPr>
        <w:t>266,804.35</w:t>
      </w:r>
      <w:r>
        <w:rPr>
          <w:rFonts w:hint="eastAsia" w:ascii="仿宋_GB2312" w:hAnsi="仿宋_GB2312" w:eastAsia="仿宋_GB2312" w:cs="仿宋_GB2312"/>
          <w:color w:val="auto"/>
          <w:sz w:val="28"/>
          <w:szCs w:val="28"/>
        </w:rPr>
        <w:t>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2020</w:t>
      </w:r>
      <w:r>
        <w:rPr>
          <w:rFonts w:hint="eastAsia" w:ascii="仿宋_GB2312" w:hAnsi="仿宋_GB2312" w:eastAsia="仿宋_GB2312" w:cs="仿宋_GB2312"/>
          <w:color w:val="auto"/>
          <w:sz w:val="28"/>
          <w:szCs w:val="28"/>
        </w:rPr>
        <w:t>年我</w:t>
      </w:r>
      <w:r>
        <w:rPr>
          <w:rFonts w:hint="eastAsia" w:ascii="仿宋_GB2312" w:hAnsi="仿宋_GB2312" w:eastAsia="仿宋_GB2312" w:cs="仿宋_GB2312"/>
          <w:color w:val="auto"/>
          <w:sz w:val="28"/>
          <w:szCs w:val="28"/>
          <w:lang w:val="en-US" w:eastAsia="zh-CN"/>
        </w:rPr>
        <w:t>办</w:t>
      </w:r>
      <w:r>
        <w:rPr>
          <w:rFonts w:hint="eastAsia" w:ascii="仿宋_GB2312" w:hAnsi="仿宋_GB2312" w:eastAsia="仿宋_GB2312" w:cs="仿宋_GB2312"/>
          <w:color w:val="auto"/>
          <w:sz w:val="28"/>
          <w:szCs w:val="28"/>
        </w:rPr>
        <w:t>项目支出决算为</w:t>
      </w:r>
      <w:r>
        <w:rPr>
          <w:rFonts w:hint="eastAsia" w:ascii="仿宋_GB2312" w:hAnsi="仿宋_GB2312" w:eastAsia="仿宋_GB2312" w:cs="仿宋_GB2312"/>
          <w:color w:val="auto"/>
          <w:sz w:val="28"/>
          <w:szCs w:val="28"/>
          <w:lang w:val="en-US" w:eastAsia="zh-CN"/>
        </w:rPr>
        <w:t>1,791,285.69</w:t>
      </w:r>
      <w:r>
        <w:rPr>
          <w:rFonts w:hint="eastAsia" w:ascii="仿宋_GB2312" w:hAnsi="仿宋_GB2312" w:eastAsia="仿宋_GB2312" w:cs="仿宋_GB2312"/>
          <w:color w:val="auto"/>
          <w:sz w:val="28"/>
          <w:szCs w:val="28"/>
        </w:rPr>
        <w:t>元</w:t>
      </w:r>
      <w:r>
        <w:rPr>
          <w:rFonts w:hint="eastAsia" w:ascii="仿宋_GB2312" w:hAnsi="仿宋_GB2312" w:eastAsia="仿宋_GB2312" w:cs="仿宋_GB2312"/>
          <w:color w:val="auto"/>
          <w:sz w:val="28"/>
          <w:szCs w:val="28"/>
          <w:lang w:eastAsia="zh-CN"/>
        </w:rPr>
        <w:t>（其中人大会议项目支出为</w:t>
      </w:r>
      <w:r>
        <w:rPr>
          <w:rFonts w:hint="eastAsia" w:ascii="仿宋_GB2312" w:hAnsi="仿宋_GB2312" w:eastAsia="仿宋_GB2312" w:cs="仿宋_GB2312"/>
          <w:color w:val="auto"/>
          <w:sz w:val="28"/>
          <w:szCs w:val="28"/>
          <w:lang w:val="en-US" w:eastAsia="zh-CN"/>
        </w:rPr>
        <w:t>1,524,481.22元，人大代表工作项目支出为266,804.35元</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没有超出预算。</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项目所有开支均按照我</w:t>
      </w:r>
      <w:r>
        <w:rPr>
          <w:rFonts w:hint="eastAsia" w:ascii="仿宋_GB2312" w:hAnsi="仿宋_GB2312" w:eastAsia="仿宋_GB2312" w:cs="仿宋_GB2312"/>
          <w:color w:val="auto"/>
          <w:sz w:val="28"/>
          <w:szCs w:val="28"/>
          <w:lang w:val="en-US" w:eastAsia="zh-CN"/>
        </w:rPr>
        <w:t>办</w:t>
      </w:r>
      <w:r>
        <w:rPr>
          <w:rFonts w:hint="eastAsia" w:ascii="仿宋_GB2312" w:hAnsi="仿宋_GB2312" w:eastAsia="仿宋_GB2312" w:cs="仿宋_GB2312"/>
          <w:color w:val="auto"/>
          <w:sz w:val="28"/>
          <w:szCs w:val="28"/>
        </w:rPr>
        <w:t>财务管理制度执行，资金的使用严格把关，整个项目的运行完全按照有关规定执行。单位内部不定期进行抽查，不存在违规违法的问题。各个项目资金使用与具体项目实施内容相符，绩效总目标和阶段性目标都已按照计划完成，未逾期。</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（二）资产管理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制定了《</w:t>
      </w:r>
      <w:r>
        <w:rPr>
          <w:rFonts w:hint="eastAsia" w:ascii="仿宋_GB2312" w:hAnsi="仿宋_GB2312" w:eastAsia="仿宋_GB2312" w:cs="仿宋_GB2312"/>
          <w:i w:val="0"/>
          <w:iCs w:val="0"/>
          <w:caps w:val="0"/>
          <w:color w:val="auto"/>
          <w:spacing w:val="0"/>
          <w:sz w:val="28"/>
          <w:szCs w:val="28"/>
          <w:shd w:val="clear" w:fill="FFFFFF"/>
          <w:lang w:eastAsia="zh-CN"/>
        </w:rPr>
        <w:t>盐边县</w:t>
      </w:r>
      <w:r>
        <w:rPr>
          <w:rFonts w:hint="eastAsia" w:ascii="仿宋_GB2312" w:hAnsi="仿宋_GB2312" w:eastAsia="仿宋_GB2312" w:cs="仿宋_GB2312"/>
          <w:i w:val="0"/>
          <w:iCs w:val="0"/>
          <w:caps w:val="0"/>
          <w:color w:val="auto"/>
          <w:spacing w:val="0"/>
          <w:sz w:val="28"/>
          <w:szCs w:val="28"/>
          <w:shd w:val="clear" w:fill="FFFFFF"/>
        </w:rPr>
        <w:t>人大办固定资产管理制度》，建立了固定资产台账，指定专人管理，及时登记，科学使用。固定资产的调出、处置、报废、报损严格执行国家有关规定的审批程序办理。</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（三）内控制度管理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我办制定了《</w:t>
      </w:r>
      <w:r>
        <w:rPr>
          <w:rFonts w:hint="eastAsia" w:ascii="仿宋_GB2312" w:hAnsi="仿宋_GB2312" w:eastAsia="仿宋_GB2312" w:cs="仿宋_GB2312"/>
          <w:i w:val="0"/>
          <w:iCs w:val="0"/>
          <w:caps w:val="0"/>
          <w:color w:val="auto"/>
          <w:spacing w:val="0"/>
          <w:sz w:val="28"/>
          <w:szCs w:val="28"/>
          <w:shd w:val="clear" w:fill="FFFFFF"/>
          <w:lang w:val="en-US" w:eastAsia="zh-CN"/>
        </w:rPr>
        <w:t>盐边县</w:t>
      </w:r>
      <w:r>
        <w:rPr>
          <w:rFonts w:hint="eastAsia" w:ascii="仿宋_GB2312" w:hAnsi="仿宋_GB2312" w:eastAsia="仿宋_GB2312" w:cs="仿宋_GB2312"/>
          <w:i w:val="0"/>
          <w:iCs w:val="0"/>
          <w:caps w:val="0"/>
          <w:color w:val="auto"/>
          <w:spacing w:val="0"/>
          <w:sz w:val="28"/>
          <w:szCs w:val="28"/>
          <w:shd w:val="clear" w:fill="FFFFFF"/>
        </w:rPr>
        <w:t>人大办机关管理制度》《财务管理制度》《</w:t>
      </w:r>
      <w:r>
        <w:rPr>
          <w:rFonts w:hint="eastAsia" w:ascii="仿宋_GB2312" w:hAnsi="仿宋_GB2312" w:eastAsia="仿宋_GB2312" w:cs="仿宋_GB2312"/>
          <w:i w:val="0"/>
          <w:iCs w:val="0"/>
          <w:caps w:val="0"/>
          <w:color w:val="auto"/>
          <w:spacing w:val="0"/>
          <w:sz w:val="28"/>
          <w:szCs w:val="28"/>
          <w:shd w:val="clear" w:fill="FFFFFF"/>
          <w:lang w:val="en-US" w:eastAsia="zh-CN"/>
        </w:rPr>
        <w:t>盐边县</w:t>
      </w:r>
      <w:r>
        <w:rPr>
          <w:rFonts w:hint="eastAsia" w:ascii="仿宋_GB2312" w:hAnsi="仿宋_GB2312" w:eastAsia="仿宋_GB2312" w:cs="仿宋_GB2312"/>
          <w:i w:val="0"/>
          <w:iCs w:val="0"/>
          <w:caps w:val="0"/>
          <w:color w:val="auto"/>
          <w:spacing w:val="0"/>
          <w:sz w:val="28"/>
          <w:szCs w:val="28"/>
          <w:shd w:val="clear" w:fill="FFFFFF"/>
        </w:rPr>
        <w:t>人大办政府采购制度》《</w:t>
      </w:r>
      <w:r>
        <w:rPr>
          <w:rFonts w:hint="eastAsia" w:ascii="仿宋_GB2312" w:hAnsi="仿宋_GB2312" w:eastAsia="仿宋_GB2312" w:cs="仿宋_GB2312"/>
          <w:i w:val="0"/>
          <w:iCs w:val="0"/>
          <w:caps w:val="0"/>
          <w:color w:val="auto"/>
          <w:spacing w:val="0"/>
          <w:sz w:val="28"/>
          <w:szCs w:val="28"/>
          <w:shd w:val="clear" w:fill="FFFFFF"/>
          <w:lang w:val="en-US" w:eastAsia="zh-CN"/>
        </w:rPr>
        <w:t>盐边县</w:t>
      </w:r>
      <w:r>
        <w:rPr>
          <w:rFonts w:hint="eastAsia" w:ascii="仿宋_GB2312" w:hAnsi="仿宋_GB2312" w:eastAsia="仿宋_GB2312" w:cs="仿宋_GB2312"/>
          <w:i w:val="0"/>
          <w:iCs w:val="0"/>
          <w:caps w:val="0"/>
          <w:color w:val="auto"/>
          <w:spacing w:val="0"/>
          <w:sz w:val="28"/>
          <w:szCs w:val="28"/>
          <w:shd w:val="clear" w:fill="FFFFFF"/>
        </w:rPr>
        <w:t>人大办资产管理制度》等一系列内部控制制度，相关制度合法合规、完整，并得到有效执行。</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（四）信息公开。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rPr>
        <w:t>部门绩效目标评价</w:t>
      </w:r>
      <w:r>
        <w:rPr>
          <w:rFonts w:hint="eastAsia" w:ascii="仿宋_GB2312" w:hAnsi="仿宋_GB2312" w:eastAsia="仿宋_GB2312" w:cs="仿宋_GB2312"/>
          <w:i w:val="0"/>
          <w:iCs w:val="0"/>
          <w:caps w:val="0"/>
          <w:color w:val="auto"/>
          <w:spacing w:val="0"/>
          <w:sz w:val="28"/>
          <w:szCs w:val="28"/>
          <w:shd w:val="clear" w:fill="FFFFFF"/>
          <w:lang w:eastAsia="zh-CN"/>
        </w:rPr>
        <w:t>情况，</w:t>
      </w:r>
      <w:r>
        <w:rPr>
          <w:rFonts w:hint="eastAsia" w:ascii="仿宋_GB2312" w:hAnsi="仿宋_GB2312" w:eastAsia="仿宋_GB2312" w:cs="仿宋_GB2312"/>
          <w:i w:val="0"/>
          <w:iCs w:val="0"/>
          <w:caps w:val="0"/>
          <w:color w:val="auto"/>
          <w:spacing w:val="0"/>
          <w:sz w:val="28"/>
          <w:szCs w:val="28"/>
          <w:shd w:val="clear" w:fill="FFFFFF"/>
        </w:rPr>
        <w:t>按要求</w:t>
      </w:r>
      <w:r>
        <w:rPr>
          <w:rFonts w:hint="eastAsia" w:ascii="仿宋_GB2312" w:hAnsi="仿宋_GB2312" w:eastAsia="仿宋_GB2312" w:cs="仿宋_GB2312"/>
          <w:i w:val="0"/>
          <w:iCs w:val="0"/>
          <w:caps w:val="0"/>
          <w:color w:val="auto"/>
          <w:spacing w:val="0"/>
          <w:sz w:val="28"/>
          <w:szCs w:val="28"/>
          <w:shd w:val="clear" w:fill="FFFFFF"/>
          <w:lang w:val="en-US" w:eastAsia="zh-CN"/>
        </w:rPr>
        <w:t>通过盐边县公众信息网站</w:t>
      </w:r>
      <w:r>
        <w:rPr>
          <w:rFonts w:hint="eastAsia" w:ascii="仿宋_GB2312" w:hAnsi="仿宋_GB2312" w:eastAsia="仿宋_GB2312" w:cs="仿宋_GB2312"/>
          <w:i w:val="0"/>
          <w:iCs w:val="0"/>
          <w:caps w:val="0"/>
          <w:color w:val="auto"/>
          <w:spacing w:val="0"/>
          <w:sz w:val="28"/>
          <w:szCs w:val="28"/>
          <w:shd w:val="clear" w:fill="FFFFFF"/>
        </w:rPr>
        <w:t>向社会</w:t>
      </w:r>
      <w:r>
        <w:rPr>
          <w:rFonts w:hint="eastAsia" w:ascii="仿宋_GB2312" w:hAnsi="仿宋_GB2312" w:eastAsia="仿宋_GB2312" w:cs="仿宋_GB2312"/>
          <w:i w:val="0"/>
          <w:iCs w:val="0"/>
          <w:caps w:val="0"/>
          <w:color w:val="auto"/>
          <w:spacing w:val="0"/>
          <w:sz w:val="28"/>
          <w:szCs w:val="28"/>
          <w:shd w:val="clear" w:fill="FFFFFF"/>
          <w:lang w:val="en-US" w:eastAsia="zh-CN"/>
        </w:rPr>
        <w:t>进行了</w:t>
      </w:r>
      <w:r>
        <w:rPr>
          <w:rFonts w:hint="eastAsia" w:ascii="仿宋_GB2312" w:hAnsi="仿宋_GB2312" w:eastAsia="仿宋_GB2312" w:cs="仿宋_GB2312"/>
          <w:i w:val="0"/>
          <w:iCs w:val="0"/>
          <w:caps w:val="0"/>
          <w:color w:val="auto"/>
          <w:spacing w:val="0"/>
          <w:sz w:val="28"/>
          <w:szCs w:val="28"/>
          <w:shd w:val="clear" w:fill="FFFFFF"/>
        </w:rPr>
        <w:t>公开。</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（五）2020年预算执行进度监控情况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80"/>
        <w:jc w:val="both"/>
        <w:rPr>
          <w:rFonts w:hint="eastAsia" w:ascii="仿宋_GB2312" w:hAnsi="仿宋_GB2312" w:eastAsia="仿宋_GB2312" w:cs="仿宋_GB2312"/>
          <w:i w:val="0"/>
          <w:iCs w:val="0"/>
          <w:caps w:val="0"/>
          <w:color w:val="auto"/>
          <w:spacing w:val="0"/>
          <w:sz w:val="28"/>
          <w:szCs w:val="28"/>
          <w:lang w:val="en-US" w:eastAsia="zh-CN"/>
        </w:rPr>
      </w:pPr>
      <w:r>
        <w:rPr>
          <w:rFonts w:hint="eastAsia" w:ascii="仿宋_GB2312" w:hAnsi="仿宋_GB2312" w:eastAsia="仿宋_GB2312" w:cs="仿宋_GB2312"/>
          <w:color w:val="auto"/>
          <w:sz w:val="28"/>
          <w:szCs w:val="28"/>
          <w:lang w:val="en-US" w:eastAsia="zh-CN"/>
        </w:rPr>
        <w:t>2020年我办</w:t>
      </w:r>
      <w:r>
        <w:rPr>
          <w:rFonts w:hint="eastAsia" w:ascii="仿宋_GB2312" w:hAnsi="仿宋_GB2312" w:eastAsia="仿宋_GB2312" w:cs="仿宋_GB2312"/>
          <w:i w:val="0"/>
          <w:iCs w:val="0"/>
          <w:caps w:val="0"/>
          <w:color w:val="auto"/>
          <w:spacing w:val="0"/>
          <w:sz w:val="28"/>
          <w:szCs w:val="28"/>
          <w:shd w:val="clear" w:fill="FFFFFF"/>
        </w:rPr>
        <w:t>严格按照年初预算安排，坚持“无预算，不支出；有预算，严格按预算支出”的原则，以及“细化预算和提前编制预算”原则，严格遵守资金管理制度，强化监督，专款专用，确保各项资金及时到位，无截留、挪用等现象。健全和完善管理制度，加强基本支出管理。严格审批程序，严格执行国家规定的开支范围及开支标准，量入为出。严格报账程序，实行国库集中支付制度，严格完善相关资料手续、审核审批程序，保证了各项资金使用的合理合规，充分发挥了各项资金的使用效益。 </w:t>
      </w:r>
    </w:p>
    <w:p>
      <w:pPr>
        <w:keepNext w:val="0"/>
        <w:keepLines w:val="0"/>
        <w:pageBreakBefore w:val="0"/>
        <w:numPr>
          <w:ilvl w:val="0"/>
          <w:numId w:val="6"/>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部门绩效情况。</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1、圆满完成了年度人大常委会主任会议、人大常委会会议、县人大代表会议及其他有关会议的办文办会工作。</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2、做好了人大常委会执法检查、视察调研、工作评议、专题询问等重要活动的服务保障工作。</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3、进一步加强了机关内部管理和对外联系沟通服务性工作。</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4、坚持围绕中心、服务大局，较好完成了全县性的有关重点工作。</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5、完成了县人大常委会领导交办的其他工作。</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五、评价结论及建议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0" w:lineRule="atLeast"/>
        <w:ind w:left="0" w:right="0" w:firstLine="420"/>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color w:val="auto"/>
          <w:sz w:val="28"/>
          <w:szCs w:val="28"/>
        </w:rPr>
        <w:t>（一）评价结论。（附相关评分表）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lang w:val="en-US" w:eastAsia="zh-CN"/>
        </w:rPr>
      </w:pPr>
      <w:r>
        <w:rPr>
          <w:rFonts w:hint="eastAsia" w:ascii="仿宋_GB2312" w:hAnsi="仿宋_GB2312" w:eastAsia="仿宋_GB2312" w:cs="仿宋_GB2312"/>
          <w:i w:val="0"/>
          <w:iCs w:val="0"/>
          <w:caps w:val="0"/>
          <w:color w:val="auto"/>
          <w:spacing w:val="0"/>
          <w:sz w:val="28"/>
          <w:szCs w:val="28"/>
          <w:shd w:val="clear" w:fill="FFFFFF"/>
        </w:rPr>
        <w:t>一是预算执行到位。严格执行《预算法》和各项财经纪律，机关管理制度健全，财务管理规范，预算编制合理;   二是资金监管到位。</w:t>
      </w:r>
      <w:r>
        <w:rPr>
          <w:rFonts w:hint="eastAsia" w:ascii="仿宋_GB2312" w:hAnsi="仿宋_GB2312" w:eastAsia="仿宋_GB2312" w:cs="仿宋_GB2312"/>
          <w:i w:val="0"/>
          <w:iCs w:val="0"/>
          <w:caps w:val="0"/>
          <w:color w:val="auto"/>
          <w:spacing w:val="0"/>
          <w:sz w:val="28"/>
          <w:szCs w:val="28"/>
          <w:shd w:val="clear" w:fill="FFFFFF"/>
          <w:lang w:val="en-US" w:eastAsia="zh-CN"/>
        </w:rPr>
        <w:t>自评得分98分。</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（二）存在问题</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b w:val="0"/>
          <w:bCs w:val="0"/>
          <w:i w:val="0"/>
          <w:iCs w:val="0"/>
          <w:caps w:val="0"/>
          <w:color w:val="auto"/>
          <w:spacing w:val="0"/>
          <w:sz w:val="28"/>
          <w:szCs w:val="28"/>
          <w:shd w:val="clear" w:fill="FFFFFF"/>
        </w:rPr>
      </w:pPr>
      <w:r>
        <w:rPr>
          <w:rFonts w:hint="eastAsia" w:ascii="仿宋_GB2312" w:hAnsi="仿宋_GB2312" w:eastAsia="仿宋_GB2312" w:cs="仿宋_GB2312"/>
          <w:b w:val="0"/>
          <w:bCs w:val="0"/>
          <w:i w:val="0"/>
          <w:iCs w:val="0"/>
          <w:caps w:val="0"/>
          <w:color w:val="auto"/>
          <w:spacing w:val="0"/>
          <w:sz w:val="28"/>
          <w:szCs w:val="28"/>
          <w:shd w:val="clear" w:fill="FFFFFF"/>
          <w:lang w:val="en-US" w:eastAsia="zh-CN"/>
        </w:rPr>
        <w:t>1.</w:t>
      </w:r>
      <w:r>
        <w:rPr>
          <w:rFonts w:hint="eastAsia" w:ascii="仿宋_GB2312" w:hAnsi="仿宋_GB2312" w:eastAsia="仿宋_GB2312" w:cs="仿宋_GB2312"/>
          <w:b w:val="0"/>
          <w:bCs w:val="0"/>
          <w:i w:val="0"/>
          <w:iCs w:val="0"/>
          <w:caps w:val="0"/>
          <w:color w:val="auto"/>
          <w:spacing w:val="0"/>
          <w:sz w:val="28"/>
          <w:szCs w:val="28"/>
          <w:shd w:val="clear" w:fill="FFFFFF"/>
        </w:rPr>
        <w:t>预算编制的合理性有待提高。预算编制时的前瞻性不够</w:t>
      </w:r>
      <w:r>
        <w:rPr>
          <w:rFonts w:hint="eastAsia" w:ascii="仿宋_GB2312" w:hAnsi="仿宋_GB2312" w:eastAsia="仿宋_GB2312" w:cs="仿宋_GB2312"/>
          <w:b w:val="0"/>
          <w:bCs w:val="0"/>
          <w:i w:val="0"/>
          <w:iCs w:val="0"/>
          <w:caps w:val="0"/>
          <w:color w:val="auto"/>
          <w:spacing w:val="0"/>
          <w:sz w:val="28"/>
          <w:szCs w:val="28"/>
          <w:shd w:val="clear" w:fill="FFFFFF"/>
          <w:lang w:eastAsia="zh-CN"/>
        </w:rPr>
        <w:t>，</w:t>
      </w:r>
      <w:r>
        <w:rPr>
          <w:rFonts w:hint="eastAsia" w:ascii="仿宋_GB2312" w:hAnsi="仿宋_GB2312" w:eastAsia="仿宋_GB2312" w:cs="仿宋_GB2312"/>
          <w:b w:val="0"/>
          <w:bCs w:val="0"/>
          <w:i w:val="0"/>
          <w:iCs w:val="0"/>
          <w:caps w:val="0"/>
          <w:color w:val="auto"/>
          <w:spacing w:val="0"/>
          <w:sz w:val="28"/>
          <w:szCs w:val="28"/>
          <w:shd w:val="clear" w:fill="FFFFFF"/>
        </w:rPr>
        <w:t>实际资金支出过程中因实际情况发生变化与预算支出经济科目数有时存在偏差，预算编制精准化还有待进一步提高。</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b w:val="0"/>
          <w:bCs w:val="0"/>
          <w:i w:val="0"/>
          <w:iCs w:val="0"/>
          <w:caps w:val="0"/>
          <w:color w:val="auto"/>
          <w:spacing w:val="0"/>
          <w:sz w:val="28"/>
          <w:szCs w:val="28"/>
        </w:rPr>
      </w:pPr>
      <w:r>
        <w:rPr>
          <w:rFonts w:hint="eastAsia" w:ascii="仿宋_GB2312" w:hAnsi="仿宋_GB2312" w:eastAsia="仿宋_GB2312" w:cs="仿宋_GB2312"/>
          <w:b w:val="0"/>
          <w:bCs w:val="0"/>
          <w:i w:val="0"/>
          <w:iCs w:val="0"/>
          <w:caps w:val="0"/>
          <w:color w:val="auto"/>
          <w:spacing w:val="0"/>
          <w:sz w:val="28"/>
          <w:szCs w:val="28"/>
          <w:shd w:val="clear" w:fill="FFFFFF"/>
          <w:lang w:val="en-US" w:eastAsia="zh-CN"/>
        </w:rPr>
        <w:t>2</w:t>
      </w:r>
      <w:r>
        <w:rPr>
          <w:rFonts w:hint="eastAsia" w:ascii="仿宋_GB2312" w:hAnsi="仿宋_GB2312" w:eastAsia="仿宋_GB2312" w:cs="仿宋_GB2312"/>
          <w:b w:val="0"/>
          <w:bCs w:val="0"/>
          <w:i w:val="0"/>
          <w:iCs w:val="0"/>
          <w:caps w:val="0"/>
          <w:color w:val="auto"/>
          <w:spacing w:val="0"/>
          <w:sz w:val="28"/>
          <w:szCs w:val="28"/>
          <w:shd w:val="clear" w:fill="FFFFFF"/>
        </w:rPr>
        <w:t>.资金使用效益有待进一步提高，绩效目标设立不够明确、细化和量化。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三</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改进建议。</w:t>
      </w:r>
      <w:r>
        <w:rPr>
          <w:rFonts w:hint="eastAsia" w:ascii="仿宋_GB2312" w:hAnsi="仿宋_GB2312" w:eastAsia="仿宋_GB2312" w:cs="仿宋_GB2312"/>
          <w:i w:val="0"/>
          <w:iCs w:val="0"/>
          <w:caps w:val="0"/>
          <w:color w:val="auto"/>
          <w:spacing w:val="0"/>
          <w:sz w:val="28"/>
          <w:szCs w:val="28"/>
          <w:shd w:val="clear" w:fill="FFFFFF"/>
        </w:rPr>
        <w:t>科学合理编制预算，严格执行预算。要按照《预算法》及其实施条例的相关规定，参考上一年的预算执行情况和年度的收支预测、部门重点工作等科学编制预算，避免年中大幅追加以及超预算。同时严格预算执行，提高资金使用效率。</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附件：盐边县人大办部门支出绩效自评表</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ind w:firstLine="3080" w:firstLineChars="11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            盐边县人大常委会办公室</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                                  2021年9月5日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left="0" w:right="0" w:firstLine="640" w:firstLineChars="200"/>
        <w:jc w:val="left"/>
        <w:textAlignment w:val="auto"/>
        <w:rPr>
          <w:rFonts w:hint="eastAsia" w:ascii="华文仿宋" w:hAnsi="华文仿宋" w:eastAsia="华文仿宋" w:cs="华文仿宋"/>
          <w:i w:val="0"/>
          <w:iCs w:val="0"/>
          <w:caps w:val="0"/>
          <w:color w:val="auto"/>
          <w:spacing w:val="0"/>
          <w:sz w:val="32"/>
          <w:szCs w:val="32"/>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华文仿宋" w:hAnsi="华文仿宋" w:eastAsia="华文仿宋" w:cs="华文仿宋"/>
          <w:i w:val="0"/>
          <w:iCs w:val="0"/>
          <w:caps w:val="0"/>
          <w:color w:val="auto"/>
          <w:spacing w:val="0"/>
          <w:sz w:val="32"/>
          <w:szCs w:val="32"/>
        </w:rPr>
      </w:pPr>
      <w:r>
        <w:rPr>
          <w:rFonts w:hint="eastAsia" w:ascii="华文仿宋" w:hAnsi="华文仿宋" w:eastAsia="华文仿宋" w:cs="华文仿宋"/>
          <w:i w:val="0"/>
          <w:iCs w:val="0"/>
          <w:caps w:val="0"/>
          <w:color w:val="auto"/>
          <w:spacing w:val="0"/>
          <w:sz w:val="32"/>
          <w:szCs w:val="32"/>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right"/>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                   </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08FD8"/>
    <w:multiLevelType w:val="singleLevel"/>
    <w:tmpl w:val="82708FD8"/>
    <w:lvl w:ilvl="0" w:tentative="0">
      <w:start w:val="6"/>
      <w:numFmt w:val="chineseCounting"/>
      <w:suff w:val="nothing"/>
      <w:lvlText w:val="（%1）"/>
      <w:lvlJc w:val="left"/>
      <w:rPr>
        <w:rFonts w:hint="eastAsia"/>
      </w:rPr>
    </w:lvl>
  </w:abstractNum>
  <w:abstractNum w:abstractNumId="1">
    <w:nsid w:val="E5F241CD"/>
    <w:multiLevelType w:val="singleLevel"/>
    <w:tmpl w:val="E5F241CD"/>
    <w:lvl w:ilvl="0" w:tentative="0">
      <w:start w:val="2"/>
      <w:numFmt w:val="chineseCounting"/>
      <w:suff w:val="nothing"/>
      <w:lvlText w:val="(%1）"/>
      <w:lvlJc w:val="left"/>
      <w:rPr>
        <w:rFonts w:hint="eastAsia"/>
      </w:rPr>
    </w:lvl>
  </w:abstractNum>
  <w:abstractNum w:abstractNumId="2">
    <w:nsid w:val="E9004A9B"/>
    <w:multiLevelType w:val="singleLevel"/>
    <w:tmpl w:val="E9004A9B"/>
    <w:lvl w:ilvl="0" w:tentative="0">
      <w:start w:val="2"/>
      <w:numFmt w:val="chineseCounting"/>
      <w:suff w:val="nothing"/>
      <w:lvlText w:val="（%1）"/>
      <w:lvlJc w:val="left"/>
      <w:rPr>
        <w:rFonts w:hint="eastAsia"/>
      </w:rPr>
    </w:lvl>
  </w:abstractNum>
  <w:abstractNum w:abstractNumId="3">
    <w:nsid w:val="1BC65C65"/>
    <w:multiLevelType w:val="singleLevel"/>
    <w:tmpl w:val="1BC65C65"/>
    <w:lvl w:ilvl="0" w:tentative="0">
      <w:start w:val="2"/>
      <w:numFmt w:val="decimal"/>
      <w:suff w:val="nothing"/>
      <w:lvlText w:val="（%1）"/>
      <w:lvlJc w:val="left"/>
    </w:lvl>
  </w:abstractNum>
  <w:abstractNum w:abstractNumId="4">
    <w:nsid w:val="297692B2"/>
    <w:multiLevelType w:val="singleLevel"/>
    <w:tmpl w:val="297692B2"/>
    <w:lvl w:ilvl="0" w:tentative="0">
      <w:start w:val="2"/>
      <w:numFmt w:val="decimal"/>
      <w:suff w:val="nothing"/>
      <w:lvlText w:val="（%1）"/>
      <w:lvlJc w:val="left"/>
    </w:lvl>
  </w:abstractNum>
  <w:abstractNum w:abstractNumId="5">
    <w:nsid w:val="712D8374"/>
    <w:multiLevelType w:val="singleLevel"/>
    <w:tmpl w:val="712D8374"/>
    <w:lvl w:ilvl="0" w:tentative="0">
      <w:start w:val="1"/>
      <w:numFmt w:val="decimal"/>
      <w:suff w:val="nothing"/>
      <w:lvlText w:val="%1、"/>
      <w:lvlJc w:val="left"/>
      <w:pPr>
        <w:ind w:left="640" w:leftChars="0" w:firstLine="0" w:firstLineChars="0"/>
      </w:pPr>
    </w:lvl>
  </w:abstractNum>
  <w:num w:numId="1">
    <w:abstractNumId w:val="2"/>
  </w:num>
  <w:num w:numId="2">
    <w:abstractNumId w:val="5"/>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92598C"/>
    <w:rsid w:val="00325A07"/>
    <w:rsid w:val="014E30A0"/>
    <w:rsid w:val="07C34D4C"/>
    <w:rsid w:val="0C6E085A"/>
    <w:rsid w:val="0F166A02"/>
    <w:rsid w:val="110C310B"/>
    <w:rsid w:val="11DC67DA"/>
    <w:rsid w:val="12AB5429"/>
    <w:rsid w:val="12DF53C5"/>
    <w:rsid w:val="166B77A6"/>
    <w:rsid w:val="172D5F77"/>
    <w:rsid w:val="183E0611"/>
    <w:rsid w:val="1E6445FC"/>
    <w:rsid w:val="1F92598C"/>
    <w:rsid w:val="212F6E33"/>
    <w:rsid w:val="21EC5307"/>
    <w:rsid w:val="24D02CFC"/>
    <w:rsid w:val="25AD1D68"/>
    <w:rsid w:val="263974BD"/>
    <w:rsid w:val="26FB1168"/>
    <w:rsid w:val="27FD6EC0"/>
    <w:rsid w:val="28702DFB"/>
    <w:rsid w:val="2FE567E2"/>
    <w:rsid w:val="37DF024A"/>
    <w:rsid w:val="396A5B23"/>
    <w:rsid w:val="3A970722"/>
    <w:rsid w:val="3D186AF4"/>
    <w:rsid w:val="4069316B"/>
    <w:rsid w:val="44862338"/>
    <w:rsid w:val="449C514B"/>
    <w:rsid w:val="45490F07"/>
    <w:rsid w:val="46BD6F5D"/>
    <w:rsid w:val="4DB4046E"/>
    <w:rsid w:val="52F73D3C"/>
    <w:rsid w:val="631D4CF8"/>
    <w:rsid w:val="64BD1EB8"/>
    <w:rsid w:val="6527356B"/>
    <w:rsid w:val="65D220D6"/>
    <w:rsid w:val="68C223B6"/>
    <w:rsid w:val="68DF4FDD"/>
    <w:rsid w:val="6A43160E"/>
    <w:rsid w:val="6A8916C7"/>
    <w:rsid w:val="6C123747"/>
    <w:rsid w:val="6CE74153"/>
    <w:rsid w:val="6EEB6A94"/>
    <w:rsid w:val="71AC69C1"/>
    <w:rsid w:val="72E924F4"/>
    <w:rsid w:val="7E347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FollowedHyperlink"/>
    <w:basedOn w:val="7"/>
    <w:qFormat/>
    <w:uiPriority w:val="0"/>
    <w:rPr>
      <w:color w:val="333333"/>
      <w:u w:val="none"/>
    </w:rPr>
  </w:style>
  <w:style w:type="character" w:styleId="9">
    <w:name w:val="Emphasis"/>
    <w:basedOn w:val="7"/>
    <w:qFormat/>
    <w:uiPriority w:val="0"/>
    <w:rPr>
      <w:rFonts w:hint="eastAsia" w:ascii="微软雅黑" w:hAnsi="微软雅黑" w:eastAsia="微软雅黑" w:cs="微软雅黑"/>
    </w:rPr>
  </w:style>
  <w:style w:type="character" w:styleId="10">
    <w:name w:val="Hyperlink"/>
    <w:basedOn w:val="7"/>
    <w:qFormat/>
    <w:uiPriority w:val="0"/>
    <w:rPr>
      <w:color w:val="0000FF"/>
      <w:u w:val="single"/>
    </w:rPr>
  </w:style>
  <w:style w:type="character" w:customStyle="1" w:styleId="11">
    <w:name w:val="a3"/>
    <w:basedOn w:val="7"/>
    <w:qFormat/>
    <w:uiPriority w:val="0"/>
  </w:style>
  <w:style w:type="character" w:customStyle="1" w:styleId="12">
    <w:name w:val="wx-space"/>
    <w:basedOn w:val="7"/>
    <w:qFormat/>
    <w:uiPriority w:val="0"/>
  </w:style>
  <w:style w:type="character" w:customStyle="1" w:styleId="13">
    <w:name w:val="wx-space1"/>
    <w:basedOn w:val="7"/>
    <w:qFormat/>
    <w:uiPriority w:val="0"/>
  </w:style>
  <w:style w:type="character" w:customStyle="1" w:styleId="14">
    <w:name w:val="a1"/>
    <w:basedOn w:val="7"/>
    <w:qFormat/>
    <w:uiPriority w:val="0"/>
  </w:style>
  <w:style w:type="character" w:customStyle="1" w:styleId="15">
    <w:name w:val="bsharetext"/>
    <w:basedOn w:val="7"/>
    <w:qFormat/>
    <w:uiPriority w:val="0"/>
  </w:style>
  <w:style w:type="character" w:customStyle="1" w:styleId="16">
    <w:name w:val="a4"/>
    <w:basedOn w:val="7"/>
    <w:qFormat/>
    <w:uiPriority w:val="0"/>
  </w:style>
  <w:style w:type="character" w:customStyle="1" w:styleId="17">
    <w:name w:val="a2"/>
    <w:basedOn w:val="7"/>
    <w:qFormat/>
    <w:uiPriority w:val="0"/>
  </w:style>
  <w:style w:type="character" w:customStyle="1" w:styleId="18">
    <w:name w:val="n1"/>
    <w:basedOn w:val="7"/>
    <w:qFormat/>
    <w:uiPriority w:val="0"/>
  </w:style>
  <w:style w:type="character" w:customStyle="1" w:styleId="19">
    <w:name w:val="n2"/>
    <w:basedOn w:val="7"/>
    <w:qFormat/>
    <w:uiPriority w:val="0"/>
  </w:style>
  <w:style w:type="character" w:customStyle="1" w:styleId="20">
    <w:name w:val="n3"/>
    <w:basedOn w:val="7"/>
    <w:qFormat/>
    <w:uiPriority w:val="0"/>
  </w:style>
  <w:style w:type="character" w:customStyle="1" w:styleId="21">
    <w:name w:val="n4"/>
    <w:basedOn w:val="7"/>
    <w:qFormat/>
    <w:uiPriority w:val="0"/>
  </w:style>
  <w:style w:type="character" w:customStyle="1" w:styleId="22">
    <w:name w:val="n5"/>
    <w:basedOn w:val="7"/>
    <w:qFormat/>
    <w:uiPriority w:val="0"/>
  </w:style>
  <w:style w:type="character" w:customStyle="1" w:styleId="23">
    <w:name w:val="hover29"/>
    <w:basedOn w:val="7"/>
    <w:qFormat/>
    <w:uiPriority w:val="0"/>
    <w:rPr>
      <w:color w:val="000000"/>
      <w:shd w:val="clear" w:fill="FFFFFF"/>
    </w:rPr>
  </w:style>
  <w:style w:type="character" w:customStyle="1" w:styleId="24">
    <w:name w:val="line"/>
    <w:basedOn w:val="7"/>
    <w:qFormat/>
    <w:uiPriority w:val="0"/>
  </w:style>
  <w:style w:type="character" w:customStyle="1" w:styleId="25">
    <w:name w:val="line1"/>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96</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2021-08-31T08:09:00Z</dcterms:created>
  <dc:creator>郑妞耶</dc:creator>
  <cp:lastModifiedBy>贰佰木有伍</cp:lastModifiedBy>
  <dcterms:modified xsi:type="dcterms:W3CDTF">2021-09-13T07:50:04Z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5574FF2B449C4F409D5A76DEDDFC5D8C</vt:lpwstr>
  </property>
</Properties>
</file>