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县委编办</w:t>
      </w:r>
      <w:r>
        <w:rPr>
          <w:rFonts w:eastAsia="方正楷体_GBK"/>
          <w:b/>
          <w:sz w:val="32"/>
          <w:szCs w:val="32"/>
        </w:rPr>
        <w:t>单位</w:t>
      </w:r>
      <w:r>
        <w:rPr>
          <w:rFonts w:hint="eastAsia" w:eastAsia="方正楷体_GBK"/>
          <w:b/>
          <w:sz w:val="32"/>
          <w:szCs w:val="32"/>
        </w:rPr>
        <w:t>全县机关事业单位中文域名管理经费</w:t>
      </w:r>
      <w:r>
        <w:rPr>
          <w:rFonts w:eastAsia="方正楷体_GBK"/>
          <w:b/>
          <w:sz w:val="32"/>
          <w:szCs w:val="32"/>
        </w:rPr>
        <w:t>项目）</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县委编办下属盐边县事业单位登记服务中心为公益一类事业单位，全权负责全县机关事业单位登记赋码及中文域名注册等相关服务性工作。</w:t>
      </w:r>
    </w:p>
    <w:p>
      <w:pPr>
        <w:spacing w:line="56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项目立项、资金申报的依据。</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根据《事业单位登记管理暂行条例》及《事业单位登记管理暂行条例实施细则》有关规定，事业单位设立、变更、注销，应当依照《条例》及《实施细则》向事业单位登记管理机关申请登记或者备案。每年1-3月，还应对事业单位法人年度报告进行公示。事业单位登记管理机关，应及时督促因机构改革、乡（镇）行政区划调整涉及的机关、事业单位及时办理完善机构设立、撤销、变更、中文域名续费、中文域名信息维护等事项。</w:t>
      </w:r>
    </w:p>
    <w:p>
      <w:pPr>
        <w:spacing w:line="560" w:lineRule="exact"/>
        <w:ind w:left="420" w:leftChars="200"/>
        <w:rPr>
          <w:rFonts w:eastAsia="仿宋_GB2312"/>
          <w:sz w:val="32"/>
          <w:szCs w:val="32"/>
        </w:rPr>
      </w:pPr>
      <w:r>
        <w:rPr>
          <w:rFonts w:hint="eastAsia" w:eastAsia="仿宋_GB2312"/>
          <w:sz w:val="32"/>
          <w:szCs w:val="32"/>
        </w:rPr>
        <w:t>3.</w:t>
      </w:r>
      <w:r>
        <w:rPr>
          <w:rFonts w:eastAsia="仿宋_GB2312"/>
          <w:sz w:val="32"/>
          <w:szCs w:val="32"/>
        </w:rPr>
        <w:t>资金管理办法制定情况，资金支持具体项目的条件、范围与支持方式概况。</w:t>
      </w:r>
    </w:p>
    <w:p>
      <w:pPr>
        <w:ind w:firstLine="537" w:firstLineChars="168"/>
        <w:rPr>
          <w:rFonts w:ascii="仿宋_GB2312" w:eastAsia="仿宋_GB2312"/>
          <w:sz w:val="32"/>
          <w:szCs w:val="32"/>
        </w:rPr>
      </w:pPr>
      <w:r>
        <w:rPr>
          <w:rFonts w:hint="eastAsia" w:ascii="仿宋_GB2312" w:eastAsia="仿宋_GB2312"/>
          <w:sz w:val="32"/>
          <w:szCs w:val="32"/>
        </w:rPr>
        <w:t>严格按照县委编办资金管理办法实施，专项资金实行专项管理，按规定用途使用，按进度拨款，专款专用，严禁挤占、挪用。</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eastAsia="仿宋_GB2312"/>
          <w:sz w:val="32"/>
          <w:szCs w:val="32"/>
        </w:rPr>
      </w:pPr>
      <w:r>
        <w:rPr>
          <w:rFonts w:hint="eastAsia" w:eastAsia="仿宋_GB2312"/>
          <w:sz w:val="32"/>
          <w:szCs w:val="32"/>
        </w:rPr>
        <w:t>该笔资金全部用于中文域名管理费用缴费。</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eastAsia="仿宋_GB2312"/>
          <w:sz w:val="32"/>
          <w:szCs w:val="32"/>
        </w:rPr>
      </w:pPr>
      <w:r>
        <w:rPr>
          <w:rFonts w:hint="eastAsia" w:eastAsia="仿宋_GB2312"/>
          <w:sz w:val="32"/>
          <w:szCs w:val="32"/>
        </w:rPr>
        <w:t>完成上级下达的中文域名管理费用缴费工作。</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hint="eastAsia" w:eastAsia="仿宋_GB2312"/>
          <w:sz w:val="32"/>
          <w:szCs w:val="32"/>
        </w:rPr>
        <w:t>全面完成中文域名缴费工作，域名管理及登记档案工作扎实推进，强化事业单位法人监管，不断提升登记服务水平，项目支出成本控制在2.9万元。已按照进度完成此项工作。</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仿宋_GB2312"/>
          <w:sz w:val="32"/>
          <w:szCs w:val="32"/>
        </w:rPr>
      </w:pPr>
      <w:r>
        <w:rPr>
          <w:rFonts w:hint="eastAsia" w:eastAsia="仿宋_GB2312"/>
          <w:sz w:val="32"/>
          <w:szCs w:val="32"/>
        </w:rPr>
        <w:t>机关事业单位中文域名续费、中文域名信息维护等</w:t>
      </w:r>
      <w:r>
        <w:rPr>
          <w:rFonts w:eastAsia="仿宋_GB2312"/>
          <w:sz w:val="32"/>
          <w:szCs w:val="32"/>
        </w:rPr>
        <w:t>申报内容与实际相符</w:t>
      </w:r>
      <w:r>
        <w:rPr>
          <w:rFonts w:hint="eastAsia" w:eastAsia="仿宋_GB2312"/>
          <w:sz w:val="32"/>
          <w:szCs w:val="32"/>
        </w:rPr>
        <w:t>，具备合理性。</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1.加强组织领导，成立专项工作组，根据文件要求，迅速开展前期各项准备工作。</w:t>
      </w:r>
    </w:p>
    <w:p>
      <w:pPr>
        <w:spacing w:line="560" w:lineRule="exact"/>
        <w:ind w:firstLine="640" w:firstLineChars="200"/>
        <w:rPr>
          <w:rFonts w:eastAsia="仿宋_GB2312"/>
          <w:sz w:val="32"/>
          <w:szCs w:val="32"/>
        </w:rPr>
      </w:pPr>
      <w:r>
        <w:rPr>
          <w:rFonts w:hint="eastAsia" w:eastAsia="仿宋_GB2312"/>
          <w:sz w:val="32"/>
          <w:szCs w:val="32"/>
        </w:rPr>
        <w:t>2.全面自查清理，梳理项目资金，确保无遗漏，所有数据均有材料印证。</w:t>
      </w:r>
    </w:p>
    <w:p>
      <w:pPr>
        <w:spacing w:line="560" w:lineRule="exact"/>
        <w:ind w:firstLine="640" w:firstLineChars="200"/>
        <w:rPr>
          <w:rFonts w:eastAsia="仿宋_GB2312"/>
          <w:sz w:val="32"/>
          <w:szCs w:val="32"/>
        </w:rPr>
      </w:pPr>
      <w:r>
        <w:rPr>
          <w:rFonts w:hint="eastAsia" w:eastAsia="仿宋_GB2312"/>
          <w:sz w:val="32"/>
          <w:szCs w:val="32"/>
        </w:rPr>
        <w:t>3.有序开展绩效评价，并进行了数据分析，形成了绩效评价报告，自评报告分数为100分。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根据盐财资行【2020】112号文件批复全县机关事业单位中文域名管理经费2.9万元。</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sz w:val="32"/>
          <w:szCs w:val="32"/>
        </w:rPr>
        <w:t>项目资金2.9万元全部来源于财政拨款，将用于全县机关事业单位中文域名管理经费。</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sz w:val="32"/>
          <w:szCs w:val="32"/>
        </w:rPr>
        <w:t>全县机关事业单位中文域名管理经费2.9万元及时到位。</w:t>
      </w:r>
    </w:p>
    <w:p>
      <w:pPr>
        <w:spacing w:line="560" w:lineRule="exact"/>
        <w:ind w:firstLine="643" w:firstLineChars="200"/>
        <w:rPr>
          <w:rFonts w:eastAsia="仿宋_GB2312"/>
          <w:sz w:val="32"/>
          <w:szCs w:val="32"/>
        </w:rPr>
      </w:pPr>
      <w:r>
        <w:rPr>
          <w:rFonts w:eastAsia="仿宋_GB2312"/>
          <w:b/>
          <w:sz w:val="32"/>
          <w:szCs w:val="32"/>
        </w:rPr>
        <w:t>3.资金使用。</w:t>
      </w:r>
      <w:r>
        <w:rPr>
          <w:rFonts w:hint="eastAsia" w:eastAsia="仿宋_GB2312"/>
          <w:sz w:val="32"/>
          <w:szCs w:val="32"/>
        </w:rPr>
        <w:t>2020年9月已完成全县机关事业单位中文域名管理经费支付。</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eastAsia="仿宋_GB2312"/>
          <w:sz w:val="32"/>
          <w:szCs w:val="32"/>
        </w:rPr>
        <w:t>单位财务管理制度健全，严格执行财务管理制度，账务处理及时，会计核算规范。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numPr>
          <w:ilvl w:val="0"/>
          <w:numId w:val="1"/>
        </w:numPr>
        <w:spacing w:line="560" w:lineRule="exact"/>
        <w:ind w:firstLine="640" w:firstLineChars="200"/>
        <w:rPr>
          <w:rFonts w:eastAsia="楷体_GB2312"/>
          <w:sz w:val="32"/>
          <w:szCs w:val="32"/>
        </w:rPr>
      </w:pPr>
      <w:r>
        <w:rPr>
          <w:rFonts w:eastAsia="楷体_GB2312"/>
          <w:sz w:val="32"/>
          <w:szCs w:val="32"/>
        </w:rPr>
        <w:t>项目组织架构及实施流程。</w:t>
      </w:r>
    </w:p>
    <w:p>
      <w:pPr>
        <w:spacing w:line="560" w:lineRule="exact"/>
        <w:ind w:firstLine="640" w:firstLineChars="200"/>
        <w:rPr>
          <w:rFonts w:eastAsia="仿宋_GB2312"/>
          <w:sz w:val="32"/>
          <w:szCs w:val="32"/>
        </w:rPr>
      </w:pPr>
      <w:r>
        <w:rPr>
          <w:rFonts w:hint="eastAsia" w:eastAsia="仿宋_GB2312"/>
          <w:sz w:val="32"/>
          <w:szCs w:val="32"/>
        </w:rPr>
        <w:t>项目组织架构健全，有专门工作组进行管理，组长审核把关，各项支出严格按照县文件要求的支出范围、标准、顺序和财务审批程序办理。</w:t>
      </w:r>
    </w:p>
    <w:p>
      <w:pPr>
        <w:spacing w:line="560" w:lineRule="exact"/>
        <w:ind w:firstLine="640" w:firstLineChars="200"/>
        <w:rPr>
          <w:rFonts w:eastAsia="仿宋_GB2312"/>
          <w:sz w:val="32"/>
          <w:szCs w:val="32"/>
        </w:rPr>
      </w:pPr>
      <w:r>
        <w:rPr>
          <w:rFonts w:eastAsia="楷体_GB2312"/>
          <w:sz w:val="32"/>
          <w:szCs w:val="32"/>
        </w:rPr>
        <w:t>（二）项目管理情况。</w:t>
      </w:r>
      <w:r>
        <w:rPr>
          <w:rFonts w:hint="eastAsia" w:eastAsia="仿宋_GB2312"/>
          <w:sz w:val="32"/>
          <w:szCs w:val="32"/>
        </w:rPr>
        <w:t>本次项目实施单一，不涉及</w:t>
      </w:r>
      <w:r>
        <w:rPr>
          <w:rFonts w:eastAsia="仿宋_GB2312"/>
          <w:sz w:val="32"/>
          <w:szCs w:val="32"/>
        </w:rPr>
        <w:t>投标、政府采购、项目公示制等相关规定</w:t>
      </w:r>
      <w:r>
        <w:rPr>
          <w:rFonts w:hint="eastAsia" w:eastAsia="仿宋_GB2312"/>
          <w:sz w:val="32"/>
          <w:szCs w:val="32"/>
        </w:rPr>
        <w:t>，已按期向中编办缴纳全县机关事业单位中文域名管理费，提升了事业单位登记管理水平。</w:t>
      </w:r>
    </w:p>
    <w:p>
      <w:pPr>
        <w:spacing w:line="560" w:lineRule="exact"/>
        <w:ind w:firstLine="640" w:firstLineChars="200"/>
        <w:rPr>
          <w:rFonts w:ascii="仿宋_GB2312" w:eastAsia="仿宋_GB2312"/>
          <w:sz w:val="32"/>
          <w:szCs w:val="32"/>
        </w:rPr>
      </w:pPr>
      <w:r>
        <w:rPr>
          <w:rFonts w:eastAsia="楷体_GB2312"/>
          <w:sz w:val="32"/>
          <w:szCs w:val="32"/>
        </w:rPr>
        <w:t>（三）项目监管情况。</w:t>
      </w:r>
      <w:r>
        <w:rPr>
          <w:rFonts w:hint="eastAsia" w:ascii="仿宋_GB2312" w:eastAsia="仿宋_GB2312"/>
          <w:sz w:val="32"/>
          <w:szCs w:val="32"/>
        </w:rPr>
        <w:t>根据相关财经政策要求，认真做好本部门绩效事中监控工作，切实分析本部门在预算绩效管理工作中存在的问题，并针对存在问题提出具体措施加以改进，并将事中绩效评价报告报县财政局备案。</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60" w:firstLineChars="200"/>
        <w:rPr>
          <w:rFonts w:eastAsia="方正仿宋_GBK"/>
          <w:color w:val="000000"/>
          <w:sz w:val="33"/>
          <w:szCs w:val="33"/>
        </w:rPr>
      </w:pPr>
      <w:r>
        <w:rPr>
          <w:rFonts w:eastAsia="方正仿宋_GBK"/>
          <w:sz w:val="33"/>
          <w:szCs w:val="33"/>
        </w:rPr>
        <w:t>按照年初预算，支出预算总额为</w:t>
      </w:r>
      <w:r>
        <w:rPr>
          <w:rFonts w:hint="eastAsia" w:eastAsia="方正仿宋_GBK"/>
          <w:color w:val="000000"/>
          <w:sz w:val="33"/>
          <w:szCs w:val="33"/>
        </w:rPr>
        <w:t>2.9</w:t>
      </w:r>
      <w:r>
        <w:rPr>
          <w:rFonts w:eastAsia="方正仿宋_GBK"/>
          <w:sz w:val="33"/>
          <w:szCs w:val="33"/>
        </w:rPr>
        <w:t>万元，</w:t>
      </w:r>
      <w:r>
        <w:rPr>
          <w:rFonts w:hint="eastAsia" w:eastAsia="方正仿宋_GBK"/>
          <w:color w:val="000000"/>
          <w:sz w:val="33"/>
          <w:szCs w:val="33"/>
        </w:rPr>
        <w:t>2020年部门绩效目标已完成。</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76" w:lineRule="exact"/>
        <w:ind w:firstLine="660" w:firstLineChars="200"/>
        <w:rPr>
          <w:rFonts w:eastAsia="方正仿宋_GBK"/>
          <w:color w:val="000000"/>
          <w:sz w:val="33"/>
          <w:szCs w:val="33"/>
          <w:shd w:val="clear" w:color="auto" w:fill="FFFFFF"/>
        </w:rPr>
      </w:pPr>
      <w:r>
        <w:rPr>
          <w:rFonts w:eastAsia="方正仿宋_GBK"/>
          <w:sz w:val="33"/>
          <w:szCs w:val="33"/>
        </w:rPr>
        <w:t>社会效益：</w:t>
      </w:r>
      <w:r>
        <w:rPr>
          <w:rFonts w:eastAsia="方正仿宋_GBK"/>
          <w:sz w:val="33"/>
          <w:szCs w:val="33"/>
          <w:shd w:val="clear" w:color="auto" w:fill="FFFFFF"/>
        </w:rPr>
        <w:t xml:space="preserve"> </w:t>
      </w:r>
      <w:r>
        <w:rPr>
          <w:rFonts w:hint="eastAsia" w:eastAsia="方正仿宋_GBK"/>
          <w:sz w:val="33"/>
          <w:szCs w:val="33"/>
        </w:rPr>
        <w:t>主要体现为督促指导全县机关事业单位办理中文域名注册、变更、缴（续）费、网站挂标、信息维护及年报等工作，强化事业单位法人监管，不断提升登记服务水平。</w:t>
      </w:r>
    </w:p>
    <w:p>
      <w:pPr>
        <w:pStyle w:val="2"/>
        <w:spacing w:line="600" w:lineRule="exact"/>
        <w:ind w:firstLine="660" w:firstLineChars="200"/>
        <w:jc w:val="left"/>
        <w:rPr>
          <w:rFonts w:ascii="Times New Roman" w:hAnsi="Times New Roman" w:eastAsia="方正仿宋_GBK"/>
          <w:sz w:val="33"/>
          <w:szCs w:val="33"/>
        </w:rPr>
      </w:pPr>
      <w:r>
        <w:rPr>
          <w:rFonts w:ascii="Times New Roman" w:hAnsi="Times New Roman" w:eastAsia="方正仿宋_GBK"/>
          <w:sz w:val="33"/>
          <w:szCs w:val="33"/>
        </w:rPr>
        <w:t>可持续影响指标：体现政策导向，长期保障工作平稳推进。为我单位正常运转、完成日常工作任务以及本单位承担的机构编制工作提供了财力保障。</w:t>
      </w:r>
    </w:p>
    <w:p>
      <w:pPr>
        <w:pStyle w:val="2"/>
        <w:spacing w:line="600" w:lineRule="exact"/>
        <w:ind w:firstLine="663" w:firstLineChars="200"/>
        <w:jc w:val="left"/>
        <w:rPr>
          <w:rFonts w:ascii="Times New Roman" w:hAnsi="Times New Roman" w:eastAsia="方正仿宋_GBK"/>
          <w:sz w:val="33"/>
          <w:szCs w:val="33"/>
        </w:rPr>
      </w:pPr>
      <w:r>
        <w:rPr>
          <w:rFonts w:ascii="Times New Roman" w:hAnsi="Times New Roman" w:eastAsia="方正仿宋_GBK"/>
          <w:b/>
          <w:bCs/>
          <w:sz w:val="33"/>
          <w:szCs w:val="33"/>
        </w:rPr>
        <w:t>满意度指标完成情况分析：</w:t>
      </w:r>
    </w:p>
    <w:p>
      <w:pPr>
        <w:pStyle w:val="2"/>
        <w:spacing w:line="600" w:lineRule="exact"/>
        <w:ind w:firstLine="660" w:firstLineChars="200"/>
        <w:jc w:val="left"/>
        <w:rPr>
          <w:rFonts w:ascii="Times New Roman" w:hAnsi="Times New Roman" w:eastAsia="方正仿宋_GBK"/>
          <w:sz w:val="33"/>
          <w:szCs w:val="33"/>
        </w:rPr>
      </w:pPr>
      <w:r>
        <w:rPr>
          <w:rFonts w:ascii="Times New Roman" w:hAnsi="Times New Roman" w:eastAsia="方正仿宋_GBK"/>
          <w:sz w:val="33"/>
          <w:szCs w:val="33"/>
        </w:rPr>
        <w:t>服务对象满意度指标：</w:t>
      </w:r>
      <w:r>
        <w:rPr>
          <w:rFonts w:hint="eastAsia" w:eastAsia="方正仿宋_GBK"/>
          <w:sz w:val="33"/>
          <w:szCs w:val="33"/>
        </w:rPr>
        <w:t>全县机关事业单位登记服务水平</w:t>
      </w:r>
      <w:r>
        <w:rPr>
          <w:rFonts w:ascii="Times New Roman" w:hAnsi="Times New Roman" w:eastAsia="方正仿宋_GBK"/>
          <w:sz w:val="33"/>
          <w:szCs w:val="33"/>
        </w:rPr>
        <w:t>满意度达到满意及以上。</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pStyle w:val="2"/>
        <w:spacing w:line="600" w:lineRule="exact"/>
        <w:ind w:firstLine="660" w:firstLineChars="200"/>
        <w:jc w:val="left"/>
        <w:rPr>
          <w:rFonts w:ascii="Times New Roman" w:hAnsi="Times New Roman" w:eastAsia="方正仿宋_GBK"/>
          <w:sz w:val="33"/>
          <w:szCs w:val="33"/>
        </w:rPr>
      </w:pPr>
      <w:r>
        <w:rPr>
          <w:rFonts w:ascii="Times New Roman" w:hAnsi="Times New Roman" w:eastAsia="方正仿宋_GBK"/>
          <w:sz w:val="33"/>
          <w:szCs w:val="33"/>
        </w:rPr>
        <w:t>根据人员情况及业务开展需要，</w:t>
      </w:r>
      <w:r>
        <w:rPr>
          <w:rFonts w:hint="eastAsia" w:ascii="Times New Roman" w:hAnsi="Times New Roman" w:eastAsia="方正仿宋_GBK"/>
          <w:sz w:val="33"/>
          <w:szCs w:val="33"/>
        </w:rPr>
        <w:t>本项目</w:t>
      </w:r>
      <w:r>
        <w:rPr>
          <w:rFonts w:ascii="Times New Roman" w:hAnsi="Times New Roman" w:eastAsia="方正仿宋_GBK"/>
          <w:sz w:val="33"/>
          <w:szCs w:val="33"/>
        </w:rPr>
        <w:t>做出预算计划，预算合理、不留缺口、不留空项</w:t>
      </w:r>
      <w:r>
        <w:rPr>
          <w:rFonts w:hint="eastAsia" w:ascii="Times New Roman" w:hAnsi="Times New Roman" w:eastAsia="方正仿宋_GBK"/>
          <w:sz w:val="33"/>
          <w:szCs w:val="33"/>
        </w:rPr>
        <w:t>。</w:t>
      </w:r>
      <w:r>
        <w:rPr>
          <w:rFonts w:ascii="Times New Roman" w:hAnsi="Times New Roman" w:eastAsia="方正仿宋_GBK"/>
          <w:sz w:val="33"/>
          <w:szCs w:val="33"/>
        </w:rPr>
        <w:t>在资金使用和管理方面，进一步强化资金统筹，优化资金结构，明确开支范围，细化资金用途，确保</w:t>
      </w:r>
      <w:r>
        <w:rPr>
          <w:rFonts w:hint="eastAsia" w:ascii="Times New Roman" w:hAnsi="Times New Roman" w:eastAsia="方正仿宋_GBK"/>
          <w:sz w:val="33"/>
          <w:szCs w:val="33"/>
        </w:rPr>
        <w:t>事业单位服务</w:t>
      </w:r>
      <w:r>
        <w:rPr>
          <w:rFonts w:ascii="Times New Roman" w:hAnsi="Times New Roman" w:eastAsia="方正仿宋_GBK"/>
          <w:sz w:val="33"/>
          <w:szCs w:val="33"/>
        </w:rPr>
        <w:t>职责任务顺利完成。保证了部门的正常运行和专项工作的正常开展，达到预期绩效目标，总体较为满意。</w:t>
      </w:r>
      <w:r>
        <w:rPr>
          <w:rFonts w:hint="eastAsia" w:ascii="Times New Roman" w:hAnsi="Times New Roman" w:eastAsia="方正仿宋_GBK"/>
          <w:sz w:val="33"/>
          <w:szCs w:val="33"/>
        </w:rPr>
        <w:t>评分为100分。</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1.对项目绩效管理的思想认识不深。</w:t>
      </w:r>
    </w:p>
    <w:p>
      <w:pPr>
        <w:spacing w:line="560" w:lineRule="exact"/>
        <w:ind w:firstLine="640" w:firstLineChars="200"/>
        <w:rPr>
          <w:rFonts w:eastAsia="仿宋_GB2312"/>
          <w:sz w:val="32"/>
          <w:szCs w:val="32"/>
        </w:rPr>
      </w:pPr>
      <w:r>
        <w:rPr>
          <w:rFonts w:hint="eastAsia" w:eastAsia="仿宋_GB2312"/>
          <w:sz w:val="32"/>
          <w:szCs w:val="32"/>
        </w:rPr>
        <w:t>2.对项目绩效管理的运行机制不熟悉，评价中工作推进缓慢。</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rPr>
          <w:rFonts w:eastAsia="方正仿宋_GBK"/>
          <w:sz w:val="33"/>
          <w:szCs w:val="33"/>
        </w:rPr>
      </w:pPr>
      <w:r>
        <w:rPr>
          <w:rFonts w:hint="eastAsia" w:ascii="仿宋_GB2312" w:eastAsia="仿宋_GB2312"/>
          <w:sz w:val="32"/>
          <w:szCs w:val="32"/>
        </w:rPr>
        <w:t>1.项目</w:t>
      </w:r>
      <w:r>
        <w:rPr>
          <w:rFonts w:hint="eastAsia" w:eastAsia="方正仿宋_GBK"/>
          <w:sz w:val="33"/>
          <w:szCs w:val="33"/>
        </w:rPr>
        <w:t>绩效管理工作是一项系统工程，为加强绩效管理</w:t>
      </w:r>
      <w:r>
        <w:rPr>
          <w:rFonts w:eastAsia="方正仿宋_GBK"/>
          <w:sz w:val="33"/>
          <w:szCs w:val="33"/>
        </w:rPr>
        <w:t>工作的组织和领导，我单位成立</w:t>
      </w:r>
      <w:r>
        <w:rPr>
          <w:rFonts w:hint="eastAsia" w:eastAsia="方正仿宋_GBK"/>
          <w:sz w:val="33"/>
          <w:szCs w:val="33"/>
        </w:rPr>
        <w:t>了以单位负责人为组长，下属各事业单位负责人、各股室长为成员的</w:t>
      </w:r>
      <w:r>
        <w:rPr>
          <w:rFonts w:eastAsia="方正仿宋_GBK"/>
          <w:sz w:val="33"/>
          <w:szCs w:val="33"/>
        </w:rPr>
        <w:t>内控</w:t>
      </w:r>
      <w:r>
        <w:rPr>
          <w:rFonts w:hint="eastAsia" w:eastAsia="方正仿宋_GBK"/>
          <w:sz w:val="33"/>
          <w:szCs w:val="33"/>
        </w:rPr>
        <w:t>制度建设领导小组。</w:t>
      </w:r>
      <w:r>
        <w:rPr>
          <w:rFonts w:eastAsia="方正仿宋_GBK"/>
          <w:sz w:val="33"/>
          <w:szCs w:val="33"/>
        </w:rPr>
        <w:t>结合本部门特点和业务特性，落实职责分工，制定</w:t>
      </w:r>
      <w:r>
        <w:rPr>
          <w:rFonts w:hint="eastAsia" w:eastAsia="方正仿宋_GBK"/>
          <w:sz w:val="33"/>
          <w:szCs w:val="33"/>
        </w:rPr>
        <w:t>工作</w:t>
      </w:r>
      <w:r>
        <w:rPr>
          <w:rFonts w:eastAsia="方正仿宋_GBK"/>
          <w:sz w:val="33"/>
          <w:szCs w:val="33"/>
        </w:rPr>
        <w:t>方案，研究制定切实可行的</w:t>
      </w:r>
      <w:r>
        <w:rPr>
          <w:rFonts w:hint="eastAsia" w:eastAsia="方正仿宋_GBK"/>
          <w:sz w:val="33"/>
          <w:szCs w:val="33"/>
        </w:rPr>
        <w:t>部门内部管理机制</w:t>
      </w:r>
      <w:r>
        <w:rPr>
          <w:rFonts w:eastAsia="方正仿宋_GBK"/>
          <w:sz w:val="33"/>
          <w:szCs w:val="33"/>
        </w:rPr>
        <w:t>。</w:t>
      </w:r>
    </w:p>
    <w:p>
      <w:pPr>
        <w:ind w:firstLine="660" w:firstLineChars="200"/>
        <w:rPr>
          <w:rFonts w:eastAsia="方正楷体_GBK"/>
          <w:b/>
          <w:bCs/>
          <w:spacing w:val="6"/>
          <w:kern w:val="34"/>
          <w:sz w:val="33"/>
          <w:szCs w:val="33"/>
        </w:rPr>
      </w:pPr>
      <w:r>
        <w:rPr>
          <w:rFonts w:hint="eastAsia" w:eastAsia="方正仿宋_GBK"/>
          <w:sz w:val="33"/>
          <w:szCs w:val="33"/>
        </w:rPr>
        <w:t>2.贯彻落实，形成长效机制</w:t>
      </w:r>
    </w:p>
    <w:p>
      <w:pPr>
        <w:widowControl/>
        <w:ind w:firstLine="660" w:firstLineChars="200"/>
        <w:jc w:val="left"/>
        <w:rPr>
          <w:rFonts w:eastAsia="方正仿宋_GBK"/>
          <w:color w:val="000000"/>
          <w:kern w:val="0"/>
          <w:sz w:val="33"/>
          <w:szCs w:val="33"/>
          <w:lang w:bidi="ar"/>
        </w:rPr>
      </w:pPr>
      <w:r>
        <w:rPr>
          <w:rFonts w:hint="eastAsia" w:eastAsia="方正仿宋_GBK"/>
          <w:sz w:val="33"/>
          <w:szCs w:val="33"/>
        </w:rPr>
        <w:t>今后，我办将积极</w:t>
      </w:r>
      <w:r>
        <w:rPr>
          <w:rFonts w:eastAsia="方正仿宋_GBK"/>
          <w:sz w:val="33"/>
          <w:szCs w:val="33"/>
        </w:rPr>
        <w:t>开展</w:t>
      </w:r>
      <w:r>
        <w:rPr>
          <w:rFonts w:hint="eastAsia" w:eastAsia="方正仿宋_GBK"/>
          <w:sz w:val="33"/>
          <w:szCs w:val="33"/>
        </w:rPr>
        <w:t>项目绩效管理</w:t>
      </w:r>
      <w:r>
        <w:rPr>
          <w:rFonts w:eastAsia="方正仿宋_GBK"/>
          <w:sz w:val="33"/>
          <w:szCs w:val="33"/>
        </w:rPr>
        <w:t>宣传、培训</w:t>
      </w:r>
      <w:r>
        <w:rPr>
          <w:rFonts w:hint="eastAsia" w:eastAsia="方正仿宋_GBK"/>
          <w:sz w:val="33"/>
          <w:szCs w:val="33"/>
        </w:rPr>
        <w:t>，</w:t>
      </w:r>
      <w:r>
        <w:rPr>
          <w:rFonts w:eastAsia="方正仿宋_GBK"/>
          <w:sz w:val="33"/>
          <w:szCs w:val="33"/>
        </w:rPr>
        <w:t>严格贯彻落实管理制度</w:t>
      </w:r>
      <w:r>
        <w:rPr>
          <w:rFonts w:hint="eastAsia" w:eastAsia="方正仿宋_GBK"/>
          <w:sz w:val="33"/>
          <w:szCs w:val="33"/>
        </w:rPr>
        <w:t>。久久为功，狠抓落实</w:t>
      </w:r>
      <w:r>
        <w:rPr>
          <w:rFonts w:eastAsia="方正仿宋_GBK"/>
          <w:color w:val="000000"/>
          <w:kern w:val="0"/>
          <w:sz w:val="33"/>
          <w:szCs w:val="33"/>
          <w:lang w:bidi="ar"/>
        </w:rPr>
        <w:t>，逐步形成依法合规、运转高效、风险可控、问责严格的</w:t>
      </w:r>
      <w:r>
        <w:rPr>
          <w:rFonts w:hint="eastAsia" w:eastAsia="方正仿宋_GBK"/>
          <w:color w:val="000000"/>
          <w:kern w:val="0"/>
          <w:sz w:val="33"/>
          <w:szCs w:val="33"/>
          <w:lang w:bidi="ar"/>
        </w:rPr>
        <w:t>绩效管理</w:t>
      </w:r>
      <w:r>
        <w:rPr>
          <w:rFonts w:eastAsia="方正仿宋_GBK"/>
          <w:color w:val="000000"/>
          <w:kern w:val="0"/>
          <w:sz w:val="33"/>
          <w:szCs w:val="33"/>
          <w:lang w:bidi="ar"/>
        </w:rPr>
        <w:t>制度</w:t>
      </w:r>
      <w:r>
        <w:rPr>
          <w:rFonts w:hint="eastAsia" w:eastAsia="方正仿宋_GBK"/>
          <w:color w:val="000000"/>
          <w:kern w:val="0"/>
          <w:sz w:val="33"/>
          <w:szCs w:val="33"/>
          <w:lang w:bidi="ar"/>
        </w:rPr>
        <w:t>。形成</w:t>
      </w:r>
      <w:r>
        <w:rPr>
          <w:rFonts w:eastAsia="方正仿宋_GBK"/>
          <w:color w:val="000000"/>
          <w:kern w:val="0"/>
          <w:sz w:val="33"/>
          <w:szCs w:val="33"/>
          <w:lang w:bidi="ar"/>
        </w:rPr>
        <w:t>约束机制健全、权力运行规范、风险控制有力、监督问责到位</w:t>
      </w:r>
      <w:r>
        <w:rPr>
          <w:rFonts w:hint="eastAsia" w:eastAsia="方正仿宋_GBK"/>
          <w:color w:val="000000"/>
          <w:kern w:val="0"/>
          <w:sz w:val="33"/>
          <w:szCs w:val="33"/>
          <w:lang w:bidi="ar"/>
        </w:rPr>
        <w:t>的良好局面</w:t>
      </w:r>
      <w:r>
        <w:rPr>
          <w:rFonts w:eastAsia="方正仿宋_GBK"/>
          <w:color w:val="000000"/>
          <w:kern w:val="0"/>
          <w:sz w:val="33"/>
          <w:szCs w:val="33"/>
          <w:lang w:bidi="ar"/>
        </w:rPr>
        <w:t>，实现对</w:t>
      </w:r>
      <w:r>
        <w:rPr>
          <w:rFonts w:hint="eastAsia" w:eastAsia="方正仿宋_GBK"/>
          <w:color w:val="000000"/>
          <w:kern w:val="0"/>
          <w:sz w:val="33"/>
          <w:szCs w:val="33"/>
          <w:lang w:bidi="ar"/>
        </w:rPr>
        <w:t>部门</w:t>
      </w:r>
      <w:r>
        <w:rPr>
          <w:rFonts w:eastAsia="方正仿宋_GBK"/>
          <w:color w:val="000000"/>
          <w:kern w:val="0"/>
          <w:sz w:val="33"/>
          <w:szCs w:val="33"/>
          <w:lang w:bidi="ar"/>
        </w:rPr>
        <w:t xml:space="preserve">内部权力运行的有效制约。 </w:t>
      </w:r>
    </w:p>
    <w:p>
      <w:pPr>
        <w:widowControl/>
        <w:ind w:firstLine="660" w:firstLineChars="200"/>
        <w:jc w:val="left"/>
        <w:rPr>
          <w:rFonts w:eastAsia="方正仿宋_GBK"/>
          <w:color w:val="000000"/>
          <w:kern w:val="0"/>
          <w:sz w:val="33"/>
          <w:szCs w:val="33"/>
          <w:lang w:bidi="ar"/>
        </w:rPr>
      </w:pPr>
    </w:p>
    <w:p>
      <w:pPr>
        <w:widowControl/>
        <w:ind w:firstLine="660" w:firstLineChars="200"/>
        <w:jc w:val="left"/>
        <w:rPr>
          <w:rFonts w:eastAsia="方正仿宋_GBK"/>
          <w:color w:val="000000"/>
          <w:kern w:val="0"/>
          <w:sz w:val="33"/>
          <w:szCs w:val="33"/>
          <w:lang w:bidi="ar"/>
        </w:rPr>
      </w:pPr>
    </w:p>
    <w:p>
      <w:pPr>
        <w:spacing w:line="590" w:lineRule="exact"/>
        <w:ind w:firstLine="2970" w:firstLineChars="9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中共盐边县委机构编制委员会办公室</w:t>
      </w:r>
    </w:p>
    <w:p>
      <w:pPr>
        <w:spacing w:line="590" w:lineRule="exact"/>
        <w:ind w:firstLine="4290" w:firstLineChars="13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202</w:t>
      </w:r>
      <w:r>
        <w:rPr>
          <w:rFonts w:hint="eastAsia" w:ascii="Times New Roman" w:hAnsi="Times New Roman" w:eastAsia="方正仿宋_GBK" w:cs="Times New Roman"/>
          <w:sz w:val="33"/>
          <w:szCs w:val="33"/>
          <w:lang w:val="en-US" w:eastAsia="zh-CN"/>
        </w:rPr>
        <w:t>1</w:t>
      </w:r>
      <w:r>
        <w:rPr>
          <w:rFonts w:hint="default" w:ascii="Times New Roman" w:hAnsi="Times New Roman" w:eastAsia="方正仿宋_GBK" w:cs="Times New Roman"/>
          <w:sz w:val="33"/>
          <w:szCs w:val="33"/>
          <w:lang w:val="en-US" w:eastAsia="zh-CN"/>
        </w:rPr>
        <w:t>年</w:t>
      </w:r>
      <w:r>
        <w:rPr>
          <w:rFonts w:hint="eastAsia" w:ascii="Times New Roman" w:hAnsi="Times New Roman" w:eastAsia="方正仿宋_GBK" w:cs="Times New Roman"/>
          <w:sz w:val="33"/>
          <w:szCs w:val="33"/>
          <w:lang w:val="en-US" w:eastAsia="zh-CN"/>
        </w:rPr>
        <w:t>9</w:t>
      </w:r>
      <w:r>
        <w:rPr>
          <w:rFonts w:hint="default" w:ascii="Times New Roman" w:hAnsi="Times New Roman" w:eastAsia="方正仿宋_GBK" w:cs="Times New Roman"/>
          <w:sz w:val="33"/>
          <w:szCs w:val="33"/>
          <w:lang w:val="en-US" w:eastAsia="zh-CN"/>
        </w:rPr>
        <w:t>月</w:t>
      </w:r>
      <w:r>
        <w:rPr>
          <w:rFonts w:hint="eastAsia" w:ascii="Times New Roman" w:hAnsi="Times New Roman" w:eastAsia="方正仿宋_GBK" w:cs="Times New Roman"/>
          <w:sz w:val="33"/>
          <w:szCs w:val="33"/>
          <w:lang w:val="en-US" w:eastAsia="zh-CN"/>
        </w:rPr>
        <w:t>10</w:t>
      </w:r>
      <w:r>
        <w:rPr>
          <w:rFonts w:hint="default" w:ascii="Times New Roman" w:hAnsi="Times New Roman" w:eastAsia="方正仿宋_GBK" w:cs="Times New Roman"/>
          <w:sz w:val="33"/>
          <w:szCs w:val="33"/>
          <w:lang w:val="en-US" w:eastAsia="zh-CN"/>
        </w:rPr>
        <w:t>日</w:t>
      </w:r>
    </w:p>
    <w:p>
      <w:pPr>
        <w:widowControl/>
        <w:ind w:firstLine="660" w:firstLineChars="200"/>
        <w:jc w:val="left"/>
        <w:rPr>
          <w:rFonts w:eastAsia="方正仿宋_GBK"/>
          <w:color w:val="000000"/>
          <w:kern w:val="0"/>
          <w:sz w:val="33"/>
          <w:szCs w:val="33"/>
          <w:lang w:bidi="ar"/>
        </w:rPr>
      </w:pPr>
      <w:bookmarkStart w:id="0" w:name="_GoBack"/>
      <w:bookmarkEnd w:id="0"/>
    </w:p>
    <w:p>
      <w:pPr>
        <w:widowControl/>
        <w:ind w:firstLine="660" w:firstLineChars="200"/>
        <w:jc w:val="left"/>
        <w:rPr>
          <w:rFonts w:eastAsia="方正仿宋_GBK"/>
          <w:color w:val="000000"/>
          <w:kern w:val="0"/>
          <w:sz w:val="33"/>
          <w:szCs w:val="33"/>
          <w:lang w:bidi="ar"/>
        </w:rPr>
      </w:pPr>
    </w:p>
    <w:p>
      <w:pPr>
        <w:ind w:firstLine="660" w:firstLineChars="200"/>
        <w:rPr>
          <w:rFonts w:eastAsia="方正仿宋_GBK"/>
          <w:sz w:val="33"/>
          <w:szCs w:val="33"/>
        </w:rPr>
      </w:pPr>
    </w:p>
    <w:p>
      <w:pPr>
        <w:spacing w:line="560" w:lineRule="exact"/>
        <w:ind w:firstLine="640"/>
        <w:rPr>
          <w:rFonts w:eastAsia="方正仿宋_GBK"/>
          <w:sz w:val="33"/>
          <w:szCs w:val="33"/>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335ADF"/>
    <w:multiLevelType w:val="singleLevel"/>
    <w:tmpl w:val="F0335AD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49552A"/>
    <w:rsid w:val="009432A3"/>
    <w:rsid w:val="00AA3A69"/>
    <w:rsid w:val="00C22052"/>
    <w:rsid w:val="00C366D5"/>
    <w:rsid w:val="00CD7A8D"/>
    <w:rsid w:val="00DC3394"/>
    <w:rsid w:val="00E96F9E"/>
    <w:rsid w:val="00F245FC"/>
    <w:rsid w:val="18F6035B"/>
    <w:rsid w:val="1E345D5D"/>
    <w:rsid w:val="33B22CE5"/>
    <w:rsid w:val="37F56C98"/>
    <w:rsid w:val="3BF845E3"/>
    <w:rsid w:val="43B55876"/>
    <w:rsid w:val="4504447A"/>
    <w:rsid w:val="577E0A50"/>
    <w:rsid w:val="5AB23853"/>
    <w:rsid w:val="5B1F5718"/>
    <w:rsid w:val="61E42F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7">
    <w:name w:val="FollowedHyperlink"/>
    <w:basedOn w:val="6"/>
    <w:qFormat/>
    <w:uiPriority w:val="0"/>
    <w:rPr>
      <w:color w:val="000000"/>
      <w:u w:val="none"/>
    </w:rPr>
  </w:style>
  <w:style w:type="character" w:styleId="8">
    <w:name w:val="Hyperlink"/>
    <w:basedOn w:val="6"/>
    <w:qFormat/>
    <w:uiPriority w:val="0"/>
    <w:rPr>
      <w:color w:val="000000"/>
      <w:u w:val="none"/>
    </w:rPr>
  </w:style>
  <w:style w:type="character" w:customStyle="1" w:styleId="9">
    <w:name w:val="页眉 Char"/>
    <w:basedOn w:val="6"/>
    <w:link w:val="4"/>
    <w:qFormat/>
    <w:uiPriority w:val="0"/>
    <w:rPr>
      <w:rFonts w:ascii="Times New Roman" w:hAnsi="Times New Roman" w:eastAsia="宋体" w:cs="Times New Roman"/>
      <w:kern w:val="2"/>
      <w:sz w:val="18"/>
      <w:szCs w:val="18"/>
    </w:rPr>
  </w:style>
  <w:style w:type="character" w:customStyle="1" w:styleId="10">
    <w:name w:val="页脚 Char"/>
    <w:basedOn w:val="6"/>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320</Words>
  <Characters>1825</Characters>
  <Lines>15</Lines>
  <Paragraphs>4</Paragraphs>
  <TotalTime>0</TotalTime>
  <ScaleCrop>false</ScaleCrop>
  <LinksUpToDate>false</LinksUpToDate>
  <CharactersWithSpaces>2141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2021-09-10T08:12:00Z</dcterms:created>
  <dc:creator>Administrator</dc:creator>
  <cp:lastModifiedBy>M</cp:lastModifiedBy>
  <dcterms:modified xsi:type="dcterms:W3CDTF">2021-09-10T09:04:06Z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3EB04DBBCB564328B518A63A561E0DFE</vt:lpwstr>
  </property>
</Properties>
</file>