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盐边县社会保险事务中心</w:t>
      </w: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ascii="仿宋_GB2312" w:hAnsi="仿宋" w:eastAsia="仿宋_GB2312"/>
          <w:color w:val="auto"/>
          <w:sz w:val="32"/>
          <w:szCs w:val="32"/>
          <w:lang w:eastAsia="zh-CN"/>
        </w:rPr>
        <w:t>20</w:t>
      </w:r>
      <w:r>
        <w:rPr>
          <w:rFonts w:hint="eastAsia" w:ascii="仿宋_GB2312" w:hAnsi="仿宋" w:eastAsia="仿宋_GB2312"/>
          <w:color w:val="auto"/>
          <w:sz w:val="32"/>
          <w:szCs w:val="32"/>
          <w:lang w:val="en-US" w:eastAsia="zh-CN"/>
        </w:rPr>
        <w:t>20年乡镇金保网网络运行维护费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（一）项目基本情况。</w:t>
      </w:r>
    </w:p>
    <w:p>
      <w:pPr>
        <w:numPr>
          <w:numId w:val="0"/>
        </w:numPr>
        <w:spacing w:line="600" w:lineRule="exact"/>
        <w:rPr>
          <w:rFonts w:ascii="Times New Roman" w:hAnsi="Times New Roman" w:eastAsia="仿宋_GB2312"/>
          <w:color w:val="auto"/>
          <w:kern w:val="0"/>
          <w:sz w:val="32"/>
          <w:szCs w:val="32"/>
        </w:rPr>
      </w:pPr>
      <w:r>
        <w:rPr>
          <w:rFonts w:hint="eastAsia" w:eastAsia="仿宋_GB2312"/>
          <w:color w:val="auto"/>
          <w:kern w:val="0"/>
          <w:sz w:val="32"/>
          <w:szCs w:val="32"/>
          <w:lang w:val="en-US" w:eastAsia="zh-CN"/>
        </w:rPr>
        <w:t xml:space="preserve">    </w:t>
      </w:r>
      <w:r>
        <w:rPr>
          <w:rFonts w:ascii="Times New Roman" w:hAnsi="Times New Roman" w:eastAsia="仿宋_GB2312"/>
          <w:color w:val="auto"/>
          <w:kern w:val="0"/>
          <w:sz w:val="32"/>
          <w:szCs w:val="32"/>
        </w:rPr>
        <w:t>1.</w:t>
      </w:r>
      <w:r>
        <w:rPr>
          <w:rFonts w:hint="eastAsia" w:ascii="仿宋_GB2312" w:hAnsi="仿宋" w:eastAsia="仿宋_GB2312"/>
          <w:color w:val="auto"/>
          <w:sz w:val="32"/>
          <w:szCs w:val="32"/>
          <w:lang w:eastAsia="zh-CN"/>
        </w:rPr>
        <w:t>该项目实施单位为盐边县社会保险事务中心，项目名称为：20</w:t>
      </w:r>
      <w:r>
        <w:rPr>
          <w:rFonts w:hint="eastAsia" w:ascii="仿宋_GB2312" w:hAnsi="仿宋" w:eastAsia="仿宋_GB2312"/>
          <w:color w:val="auto"/>
          <w:sz w:val="32"/>
          <w:szCs w:val="32"/>
          <w:lang w:val="en-US" w:eastAsia="zh-CN"/>
        </w:rPr>
        <w:t>20</w:t>
      </w:r>
      <w:r>
        <w:rPr>
          <w:rFonts w:hint="eastAsia" w:ascii="仿宋_GB2312" w:hAnsi="仿宋" w:eastAsia="仿宋_GB2312"/>
          <w:color w:val="auto"/>
          <w:sz w:val="32"/>
          <w:szCs w:val="32"/>
          <w:lang w:eastAsia="zh-CN"/>
        </w:rPr>
        <w:t>年</w:t>
      </w:r>
      <w:r>
        <w:rPr>
          <w:rFonts w:hint="eastAsia" w:ascii="仿宋_GB2312" w:hAnsi="仿宋" w:eastAsia="仿宋_GB2312"/>
          <w:color w:val="auto"/>
          <w:sz w:val="32"/>
          <w:szCs w:val="32"/>
          <w:lang w:val="en-US" w:eastAsia="zh-CN"/>
        </w:rPr>
        <w:t>乡镇金保网网络运行维护费</w:t>
      </w:r>
      <w:r>
        <w:rPr>
          <w:rFonts w:hint="eastAsia" w:ascii="仿宋_GB2312" w:hAnsi="仿宋" w:eastAsia="仿宋_GB2312"/>
          <w:color w:val="auto"/>
          <w:sz w:val="32"/>
          <w:szCs w:val="32"/>
          <w:lang w:eastAsia="zh-CN"/>
        </w:rPr>
        <w:t>，该项目实施内容为：</w:t>
      </w:r>
      <w:r>
        <w:rPr>
          <w:rFonts w:hint="eastAsia" w:ascii="Times New Roman" w:hAnsi="Times New Roman" w:eastAsia="仿宋_GB2312"/>
          <w:sz w:val="32"/>
          <w:szCs w:val="32"/>
          <w:shd w:val="clear" w:color="auto" w:fill="FFFFFF"/>
          <w:lang w:val="en-US" w:eastAsia="zh-CN"/>
        </w:rPr>
        <w:t>向乡镇“金保网”网络服务提供商—中国电信攀枝花分公司支付的网络维护费用，主要目的是：</w:t>
      </w:r>
      <w:r>
        <w:rPr>
          <w:rFonts w:hint="eastAsia" w:ascii="Times New Roman" w:hAnsi="Times New Roman" w:eastAsia="仿宋_GB2312"/>
          <w:sz w:val="32"/>
          <w:szCs w:val="32"/>
          <w:shd w:val="clear" w:color="auto" w:fill="FFFFFF"/>
        </w:rPr>
        <w:t>确保本年度使用“金保网”的乡镇，正常开展各项社会保险（下沉）业务</w:t>
      </w:r>
      <w:r>
        <w:rPr>
          <w:rFonts w:hint="eastAsia" w:ascii="Times New Roman" w:hAnsi="Times New Roman" w:eastAsia="仿宋_GB2312"/>
          <w:sz w:val="32"/>
          <w:szCs w:val="32"/>
          <w:shd w:val="clear" w:color="auto" w:fill="FFFFFF"/>
          <w:lang w:eastAsia="zh-CN"/>
        </w:rPr>
        <w:t>，主要为辖区居民办理城乡居民养老保险参保、退休人员领取养老金年度生存验证等重要社会保险业务。</w:t>
      </w:r>
    </w:p>
    <w:p>
      <w:pPr>
        <w:numPr>
          <w:numId w:val="0"/>
        </w:numPr>
        <w:spacing w:line="600" w:lineRule="exact"/>
        <w:ind w:firstLine="640" w:firstLineChars="200"/>
        <w:rPr>
          <w:rFonts w:hint="eastAsia" w:ascii="Times New Roman" w:hAnsi="Times New Roman" w:eastAsia="仿宋_GB2312"/>
          <w:sz w:val="32"/>
          <w:szCs w:val="32"/>
          <w:shd w:val="clear" w:color="auto" w:fill="FFFFFF"/>
          <w:lang w:val="en-US" w:eastAsia="zh-CN"/>
        </w:rPr>
      </w:pPr>
      <w:r>
        <w:rPr>
          <w:rFonts w:hint="eastAsia" w:eastAsia="仿宋_GB2312"/>
          <w:sz w:val="32"/>
          <w:szCs w:val="32"/>
          <w:shd w:val="clear" w:color="auto" w:fill="FFFFFF"/>
          <w:lang w:val="en-US" w:eastAsia="zh-CN"/>
        </w:rPr>
        <w:t>2.</w:t>
      </w:r>
      <w:r>
        <w:rPr>
          <w:rFonts w:hint="eastAsia" w:ascii="Times New Roman" w:hAnsi="Times New Roman" w:eastAsia="仿宋_GB2312"/>
          <w:sz w:val="32"/>
          <w:szCs w:val="32"/>
          <w:shd w:val="clear" w:color="auto" w:fill="FFFFFF"/>
          <w:lang w:val="en-US" w:eastAsia="zh-CN"/>
        </w:rPr>
        <w:t>截止2020年12月，我县城乡居民养老保险参保人数，已逾10.5万人，领取待遇人数为35492人，目前全县经办社会保险业务的乡镇个数为12个，基本实现城乡居民养老保险业务下沉全覆盖。为就近、及时办理与参保群众密切相关的社会保险业务，自上而下践行拓展“温暖人社”行动，特别是在生存验证、参保转移、待遇停续等关键业务流程节点切实提高处理效率，务必在乡镇常设城乡居民养老保险业务经办岗，确保为各辖区参保群众提供优质、高效的社会保险经办服务，并通过专业的网络维护，优化网络环境，切实保障“金保网”不间断运行。</w:t>
      </w:r>
    </w:p>
    <w:p>
      <w:pPr>
        <w:numPr>
          <w:numId w:val="0"/>
        </w:numPr>
        <w:spacing w:line="600" w:lineRule="exact"/>
        <w:ind w:firstLine="640" w:firstLineChars="200"/>
        <w:rPr>
          <w:rFonts w:hint="eastAsia" w:ascii="Times New Roman" w:hAnsi="Times New Roman" w:eastAsia="仿宋_GB2312"/>
          <w:sz w:val="32"/>
          <w:szCs w:val="32"/>
          <w:shd w:val="clear" w:color="auto" w:fill="FFFFFF"/>
          <w:lang w:val="en-US" w:eastAsia="zh-CN"/>
        </w:rPr>
      </w:pPr>
      <w:r>
        <w:rPr>
          <w:rFonts w:hint="eastAsia" w:ascii="Times New Roman" w:hAnsi="Times New Roman" w:eastAsia="仿宋_GB2312"/>
          <w:sz w:val="32"/>
          <w:szCs w:val="32"/>
          <w:shd w:val="clear" w:color="auto" w:fill="FFFFFF"/>
          <w:lang w:val="en-US" w:eastAsia="zh-CN"/>
        </w:rPr>
        <w:t>故，与中国电信攀枝花分公司按年度签订网络维护合同，支付“金保网”用网费用，是必要的、不可替代的现实需求。</w:t>
      </w:r>
    </w:p>
    <w:p>
      <w:pPr>
        <w:numPr>
          <w:ilvl w:val="0"/>
          <w:numId w:val="1"/>
        </w:num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该笔项目</w:t>
      </w:r>
      <w:r>
        <w:rPr>
          <w:rFonts w:ascii="Times New Roman" w:hAnsi="Times New Roman" w:eastAsia="仿宋_GB2312"/>
          <w:color w:val="auto"/>
          <w:kern w:val="0"/>
          <w:sz w:val="32"/>
          <w:szCs w:val="32"/>
        </w:rPr>
        <w:t>资金</w:t>
      </w:r>
      <w:r>
        <w:rPr>
          <w:rFonts w:hint="eastAsia" w:ascii="Times New Roman" w:hAnsi="Times New Roman" w:eastAsia="仿宋_GB2312"/>
          <w:color w:val="auto"/>
          <w:kern w:val="0"/>
          <w:sz w:val="32"/>
          <w:szCs w:val="32"/>
          <w:lang w:eastAsia="zh-CN"/>
        </w:rPr>
        <w:t>的</w:t>
      </w:r>
      <w:r>
        <w:rPr>
          <w:rFonts w:ascii="Times New Roman" w:hAnsi="Times New Roman" w:eastAsia="仿宋_GB2312"/>
          <w:color w:val="auto"/>
          <w:kern w:val="0"/>
          <w:sz w:val="32"/>
          <w:szCs w:val="32"/>
        </w:rPr>
        <w:t>管理</w:t>
      </w:r>
      <w:r>
        <w:rPr>
          <w:rFonts w:hint="eastAsia" w:ascii="Times New Roman" w:hAnsi="Times New Roman" w:eastAsia="仿宋_GB2312"/>
          <w:color w:val="auto"/>
          <w:kern w:val="0"/>
          <w:sz w:val="32"/>
          <w:szCs w:val="32"/>
          <w:lang w:eastAsia="zh-CN"/>
        </w:rPr>
        <w:t>，依据盐边财政关于项目资金的使用要求进行资金管理，专款专用，</w:t>
      </w:r>
      <w:r>
        <w:rPr>
          <w:rFonts w:hint="eastAsia" w:eastAsia="仿宋_GB2312"/>
          <w:color w:val="auto"/>
          <w:kern w:val="0"/>
          <w:sz w:val="32"/>
          <w:szCs w:val="32"/>
          <w:lang w:eastAsia="zh-CN"/>
        </w:rPr>
        <w:t>待协议签订后，</w:t>
      </w:r>
      <w:r>
        <w:rPr>
          <w:rFonts w:hint="eastAsia" w:ascii="Times New Roman" w:hAnsi="Times New Roman" w:eastAsia="仿宋_GB2312"/>
          <w:color w:val="auto"/>
          <w:kern w:val="0"/>
          <w:sz w:val="32"/>
          <w:szCs w:val="32"/>
          <w:lang w:eastAsia="zh-CN"/>
        </w:rPr>
        <w:t>及时</w:t>
      </w:r>
      <w:r>
        <w:rPr>
          <w:rFonts w:hint="eastAsia" w:eastAsia="仿宋_GB2312"/>
          <w:color w:val="auto"/>
          <w:kern w:val="0"/>
          <w:sz w:val="32"/>
          <w:szCs w:val="32"/>
          <w:lang w:eastAsia="zh-CN"/>
        </w:rPr>
        <w:t>转账</w:t>
      </w:r>
      <w:r>
        <w:rPr>
          <w:rFonts w:hint="eastAsia" w:ascii="Times New Roman" w:hAnsi="Times New Roman" w:eastAsia="仿宋_GB2312"/>
          <w:color w:val="auto"/>
          <w:kern w:val="0"/>
          <w:sz w:val="32"/>
          <w:szCs w:val="32"/>
          <w:lang w:eastAsia="zh-CN"/>
        </w:rPr>
        <w:t>至</w:t>
      </w:r>
      <w:r>
        <w:rPr>
          <w:rFonts w:hint="eastAsia" w:eastAsia="仿宋_GB2312"/>
          <w:color w:val="auto"/>
          <w:kern w:val="0"/>
          <w:sz w:val="32"/>
          <w:szCs w:val="32"/>
          <w:lang w:eastAsia="zh-CN"/>
        </w:rPr>
        <w:t>中国电信攀枝花分公司相关账户</w:t>
      </w:r>
      <w:r>
        <w:rPr>
          <w:rFonts w:hint="eastAsia" w:ascii="Times New Roman" w:hAnsi="Times New Roman" w:eastAsia="仿宋_GB2312"/>
          <w:color w:val="auto"/>
          <w:kern w:val="0"/>
          <w:sz w:val="32"/>
          <w:szCs w:val="32"/>
          <w:lang w:eastAsia="zh-CN"/>
        </w:rPr>
        <w:t>。</w:t>
      </w:r>
    </w:p>
    <w:p>
      <w:pPr>
        <w:numPr>
          <w:ilvl w:val="0"/>
          <w:numId w:val="2"/>
        </w:numPr>
        <w:autoSpaceDE w:val="0"/>
        <w:autoSpaceDN w:val="0"/>
        <w:adjustRightInd w:val="0"/>
        <w:spacing w:line="560" w:lineRule="exact"/>
        <w:ind w:firstLine="640" w:firstLineChars="200"/>
        <w:jc w:val="left"/>
        <w:rPr>
          <w:rFonts w:eastAsia="楷体_GB2312"/>
          <w:sz w:val="32"/>
          <w:szCs w:val="32"/>
        </w:rPr>
      </w:pPr>
      <w:r>
        <w:rPr>
          <w:rFonts w:ascii="Times New Roman" w:hAnsi="Times New Roman" w:eastAsia="仿宋_GB2312"/>
          <w:color w:val="auto"/>
          <w:kern w:val="0"/>
          <w:sz w:val="32"/>
          <w:szCs w:val="32"/>
        </w:rPr>
        <w:t>资金分配的原则</w:t>
      </w:r>
      <w:r>
        <w:rPr>
          <w:rFonts w:hint="eastAsia" w:ascii="Times New Roman" w:hAnsi="Times New Roman" w:eastAsia="仿宋_GB2312"/>
          <w:color w:val="auto"/>
          <w:kern w:val="0"/>
          <w:sz w:val="32"/>
          <w:szCs w:val="32"/>
          <w:lang w:eastAsia="zh-CN"/>
        </w:rPr>
        <w:t>：依据</w:t>
      </w:r>
      <w:r>
        <w:rPr>
          <w:rFonts w:hint="eastAsia" w:eastAsia="仿宋_GB2312"/>
          <w:color w:val="auto"/>
          <w:kern w:val="0"/>
          <w:sz w:val="32"/>
          <w:szCs w:val="32"/>
          <w:lang w:eastAsia="zh-CN"/>
        </w:rPr>
        <w:t>本中心和电信服务商签订的乡镇金保网网络维护服务协议</w:t>
      </w:r>
      <w:r>
        <w:rPr>
          <w:rFonts w:hint="eastAsia" w:ascii="Times New Roman" w:hAnsi="Times New Roman" w:eastAsia="仿宋_GB2312"/>
          <w:color w:val="auto"/>
          <w:kern w:val="0"/>
          <w:sz w:val="32"/>
          <w:szCs w:val="32"/>
          <w:lang w:eastAsia="zh-CN"/>
        </w:rPr>
        <w:t>，</w:t>
      </w:r>
      <w:r>
        <w:rPr>
          <w:rFonts w:hint="eastAsia" w:eastAsia="仿宋_GB2312"/>
          <w:color w:val="auto"/>
          <w:kern w:val="0"/>
          <w:sz w:val="32"/>
          <w:szCs w:val="32"/>
          <w:lang w:eastAsia="zh-CN"/>
        </w:rPr>
        <w:t>纳入年初部门项目支出预算，在公用经费外进行资金分配，由</w:t>
      </w:r>
      <w:r>
        <w:rPr>
          <w:rFonts w:hint="eastAsia" w:ascii="Times New Roman" w:hAnsi="Times New Roman" w:eastAsia="仿宋_GB2312"/>
          <w:color w:val="auto"/>
          <w:kern w:val="0"/>
          <w:sz w:val="32"/>
          <w:szCs w:val="32"/>
          <w:lang w:eastAsia="zh-CN"/>
        </w:rPr>
        <w:t>我中心</w:t>
      </w:r>
      <w:r>
        <w:rPr>
          <w:rFonts w:hint="eastAsia" w:eastAsia="仿宋_GB2312"/>
          <w:color w:val="auto"/>
          <w:kern w:val="0"/>
          <w:sz w:val="32"/>
          <w:szCs w:val="32"/>
          <w:lang w:eastAsia="zh-CN"/>
        </w:rPr>
        <w:t>适时</w:t>
      </w:r>
      <w:r>
        <w:rPr>
          <w:rFonts w:hint="eastAsia" w:ascii="Times New Roman" w:hAnsi="Times New Roman" w:eastAsia="仿宋_GB2312"/>
          <w:color w:val="auto"/>
          <w:kern w:val="0"/>
          <w:sz w:val="32"/>
          <w:szCs w:val="32"/>
          <w:lang w:eastAsia="zh-CN"/>
        </w:rPr>
        <w:t>将该项目资金</w:t>
      </w:r>
      <w:r>
        <w:rPr>
          <w:rFonts w:hint="eastAsia" w:eastAsia="仿宋_GB2312"/>
          <w:color w:val="auto"/>
          <w:kern w:val="0"/>
          <w:sz w:val="32"/>
          <w:szCs w:val="32"/>
          <w:lang w:eastAsia="zh-CN"/>
        </w:rPr>
        <w:t>转账</w:t>
      </w:r>
      <w:r>
        <w:rPr>
          <w:rFonts w:hint="eastAsia" w:ascii="Times New Roman" w:hAnsi="Times New Roman" w:eastAsia="仿宋_GB2312"/>
          <w:color w:val="auto"/>
          <w:kern w:val="0"/>
          <w:sz w:val="32"/>
          <w:szCs w:val="32"/>
          <w:lang w:eastAsia="zh-CN"/>
        </w:rPr>
        <w:t>至</w:t>
      </w:r>
      <w:r>
        <w:rPr>
          <w:rFonts w:hint="eastAsia" w:ascii="Times New Roman" w:hAnsi="Times New Roman" w:eastAsia="仿宋_GB2312"/>
          <w:sz w:val="32"/>
          <w:szCs w:val="32"/>
          <w:shd w:val="clear" w:color="auto" w:fill="FFFFFF"/>
          <w:lang w:val="en-US" w:eastAsia="zh-CN"/>
        </w:rPr>
        <w:t>中国电信攀枝花分公司</w:t>
      </w:r>
      <w:r>
        <w:rPr>
          <w:rFonts w:hint="eastAsia" w:ascii="Times New Roman" w:hAnsi="Times New Roman" w:eastAsia="仿宋_GB2312"/>
          <w:color w:val="auto"/>
          <w:kern w:val="0"/>
          <w:sz w:val="32"/>
          <w:szCs w:val="32"/>
          <w:lang w:eastAsia="zh-CN"/>
        </w:rPr>
        <w:t>指定专户，由</w:t>
      </w:r>
      <w:r>
        <w:rPr>
          <w:rFonts w:hint="eastAsia" w:eastAsia="仿宋_GB2312"/>
          <w:color w:val="auto"/>
          <w:kern w:val="0"/>
          <w:sz w:val="32"/>
          <w:szCs w:val="32"/>
          <w:lang w:eastAsia="zh-CN"/>
        </w:rPr>
        <w:t>其提供网络维护服务</w:t>
      </w:r>
      <w:r>
        <w:rPr>
          <w:rFonts w:hint="eastAsia" w:ascii="Times New Roman" w:hAnsi="Times New Roman" w:eastAsia="仿宋_GB2312"/>
          <w:color w:val="auto"/>
          <w:kern w:val="0"/>
          <w:sz w:val="32"/>
          <w:szCs w:val="32"/>
          <w:lang w:eastAsia="zh-CN"/>
        </w:rPr>
        <w:t>。</w:t>
      </w:r>
    </w:p>
    <w:p>
      <w:pPr>
        <w:spacing w:line="560" w:lineRule="exact"/>
        <w:ind w:firstLine="640" w:firstLineChars="200"/>
        <w:rPr>
          <w:rFonts w:eastAsia="楷体_GB2312"/>
          <w:sz w:val="32"/>
          <w:szCs w:val="32"/>
        </w:rPr>
      </w:pPr>
      <w:r>
        <w:rPr>
          <w:rFonts w:eastAsia="楷体_GB2312"/>
          <w:sz w:val="32"/>
          <w:szCs w:val="32"/>
        </w:rPr>
        <w:t>（二）项目绩效目标。</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1.项目主要内容。</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仿宋_GB2312" w:hAnsi="仿宋" w:eastAsia="仿宋_GB2312"/>
          <w:color w:val="auto"/>
          <w:sz w:val="32"/>
          <w:szCs w:val="32"/>
          <w:lang w:eastAsia="zh-CN"/>
        </w:rPr>
        <w:t>项目主要内容为：由</w:t>
      </w:r>
      <w:r>
        <w:rPr>
          <w:rFonts w:hint="eastAsia" w:ascii="Times New Roman" w:hAnsi="Times New Roman" w:eastAsia="仿宋_GB2312"/>
          <w:sz w:val="32"/>
          <w:szCs w:val="32"/>
          <w:shd w:val="clear" w:color="auto" w:fill="FFFFFF"/>
          <w:lang w:val="en-US" w:eastAsia="zh-CN"/>
        </w:rPr>
        <w:t>中国电信攀枝花分公司</w:t>
      </w:r>
      <w:r>
        <w:rPr>
          <w:rFonts w:hint="eastAsia" w:eastAsia="仿宋_GB2312"/>
          <w:sz w:val="32"/>
          <w:szCs w:val="32"/>
          <w:shd w:val="clear" w:color="auto" w:fill="FFFFFF"/>
          <w:lang w:val="en-US" w:eastAsia="zh-CN"/>
        </w:rPr>
        <w:t>提供网络服务，我中心支付网络维护费用，保障</w:t>
      </w:r>
      <w:r>
        <w:rPr>
          <w:rFonts w:hint="eastAsia" w:ascii="仿宋_GB2312" w:hAnsi="仿宋" w:eastAsia="仿宋_GB2312"/>
          <w:color w:val="auto"/>
          <w:sz w:val="32"/>
          <w:szCs w:val="32"/>
          <w:lang w:eastAsia="zh-CN"/>
        </w:rPr>
        <w:t>社会保险业务经办乡镇金保网（社会保险业务办理专网）正常运转；该笔项目资金全额用于上述网络维护支出，确保金保网网络通畅。</w:t>
      </w:r>
    </w:p>
    <w:p>
      <w:pPr>
        <w:numPr>
          <w:ilvl w:val="0"/>
          <w:numId w:val="3"/>
        </w:num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项目应实现的具体绩效目标，包括目标的量化、细化情况以及项目实施进度计划等。</w:t>
      </w:r>
    </w:p>
    <w:p>
      <w:pPr>
        <w:numPr>
          <w:ilvl w:val="0"/>
          <w:numId w:val="4"/>
        </w:num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p>
    <w:p>
      <w:pPr>
        <w:numPr>
          <w:numId w:val="0"/>
        </w:numPr>
        <w:spacing w:line="600" w:lineRule="exact"/>
        <w:ind w:firstLine="640" w:firstLineChars="200"/>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sz w:val="32"/>
          <w:szCs w:val="32"/>
          <w:shd w:val="clear" w:color="auto" w:fill="FFFFFF"/>
          <w:lang w:val="en-US" w:eastAsia="zh-CN"/>
        </w:rPr>
        <w:t>为就近、及时办理与参保群众密切相关的社会保险业务，自上而下践行拓展“温暖人社”行动，特别是在生存验证、参保转移、待遇停续等关键业务流程节点切实提高处理效率，务必在乡镇常设城乡居民养老保险业务经办岗，确保为各辖区参保群众提供优质、高效的社会保险经办服务，并通过专业的网络维护，优化网络环境，切实保障“金保网”不间断运行。</w:t>
      </w:r>
    </w:p>
    <w:p>
      <w:pPr>
        <w:spacing w:line="560" w:lineRule="exact"/>
        <w:ind w:firstLine="640" w:firstLineChars="200"/>
        <w:rPr>
          <w:rFonts w:ascii="Times New Roman" w:hAnsi="Times New Roman" w:eastAsia="仿宋_GB2312"/>
          <w:color w:val="auto"/>
          <w:kern w:val="0"/>
          <w:sz w:val="32"/>
          <w:szCs w:val="32"/>
        </w:rPr>
      </w:pPr>
      <w:r>
        <w:rPr>
          <w:rFonts w:hint="eastAsia" w:eastAsia="仿宋_GB2312"/>
          <w:color w:val="auto"/>
          <w:kern w:val="0"/>
          <w:sz w:val="32"/>
          <w:szCs w:val="32"/>
          <w:lang w:eastAsia="zh-CN"/>
        </w:rPr>
        <w:t>故，项目</w:t>
      </w:r>
      <w:r>
        <w:rPr>
          <w:rFonts w:ascii="Times New Roman" w:hAnsi="Times New Roman" w:eastAsia="仿宋_GB2312"/>
          <w:color w:val="auto"/>
          <w:kern w:val="0"/>
          <w:sz w:val="32"/>
          <w:szCs w:val="32"/>
        </w:rPr>
        <w:t>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1.</w:t>
      </w:r>
      <w:r>
        <w:rPr>
          <w:rFonts w:eastAsia="仿宋_GB2312"/>
          <w:color w:val="auto"/>
          <w:sz w:val="32"/>
          <w:szCs w:val="32"/>
        </w:rPr>
        <w:t>前期准备</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eastAsia="仿宋_GB2312"/>
          <w:color w:val="auto"/>
          <w:sz w:val="32"/>
          <w:szCs w:val="32"/>
          <w:lang w:val="en-US" w:eastAsia="zh-CN"/>
        </w:rPr>
        <w:t>应盐边财政</w:t>
      </w:r>
      <w:r>
        <w:rPr>
          <w:rFonts w:hint="eastAsia" w:ascii="仿宋_GB2312" w:hAnsi="仿宋_GB2312" w:eastAsia="仿宋_GB2312" w:cs="仿宋_GB2312"/>
          <w:color w:val="auto"/>
          <w:sz w:val="32"/>
          <w:szCs w:val="32"/>
          <w:lang w:val="en-US" w:eastAsia="zh-CN"/>
        </w:rPr>
        <w:t>关于开展2020年专项资金绩效评价的工作要求，经中心主要领导安排，由中心办公室、基金财务股、城乡居民养老保险股共同编制本项支出绩效评价报告，及时报送县级财政业务股室。</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其中，基金财务股负责落实的材料：</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（1）上述资金文件，相关支出凭证及附件明细，复印待查。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（2）明确资金入账及出账时间，复印凭证待查。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（3）基金财务股负责起草本评价报告。</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城乡居民养老保险股落实的材料：</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核实、收集城乡居保网络运行乡镇个数及网络使用现状、业务办理量、群众反映较为突出的社会保险经办问题、迫在眉睫需要解决的网络硬软件隐患等乡镇辖区社会保险业务经办方面的问题。</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办公室负责落实的材料：</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本中心和中国电信攀枝花分公司签订的《盐边县乡镇金保网网络运行维护合同》</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2.</w:t>
      </w:r>
      <w:r>
        <w:rPr>
          <w:rFonts w:eastAsia="仿宋_GB2312"/>
          <w:color w:val="auto"/>
          <w:sz w:val="32"/>
          <w:szCs w:val="32"/>
        </w:rPr>
        <w:t>组织实施</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基金财务股、城乡居民养老保险股、办公室应上述分工要求，安排股室业务骨干准备相关资料，通过对接乡镇业务数据，核实明细项等措施，做好扎实的问题清理工作，以此，逐项开展自评工作，确保评价结果客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3.</w:t>
      </w:r>
      <w:r>
        <w:rPr>
          <w:rFonts w:eastAsia="仿宋_GB2312"/>
          <w:color w:val="auto"/>
          <w:sz w:val="32"/>
          <w:szCs w:val="32"/>
        </w:rPr>
        <w:t>评价开展</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在完成上述前期工作准备后，各股室于2021年9月1日，试开展第一次评价分析工作，对政策决策、过程管理、资金绩效等内容，做出初步分析及评价，对报告重点内容，如：资金收支凭证、协议签订的合法性评价、目标完成情况等逐项进行了自评，通过拟稿、修正、会审，形成第一次绩效分析报告，呈中心领导审阅。</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2020年9月3日，初稿经主要领导阅示，由基金财务股将绩效评价报告再次进行修改，完善修正报告细节。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4.</w:t>
      </w:r>
      <w:r>
        <w:rPr>
          <w:rFonts w:eastAsia="仿宋_GB2312"/>
          <w:color w:val="auto"/>
          <w:sz w:val="32"/>
          <w:szCs w:val="32"/>
        </w:rPr>
        <w:t>工作成效</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本次绩效评价报告的编制，内容真实、数据准确、评价客观，据实反映了我中心2020年</w:t>
      </w:r>
      <w:r>
        <w:rPr>
          <w:rFonts w:hint="eastAsia" w:ascii="仿宋_GB2312" w:hAnsi="仿宋" w:eastAsia="仿宋_GB2312"/>
          <w:color w:val="auto"/>
          <w:sz w:val="32"/>
          <w:szCs w:val="32"/>
          <w:lang w:eastAsia="zh-CN"/>
        </w:rPr>
        <w:t>乡镇金保网网络维护费用专项资金支出的详细情况。</w:t>
      </w:r>
    </w:p>
    <w:p>
      <w:pPr>
        <w:spacing w:line="560" w:lineRule="exact"/>
        <w:ind w:firstLine="640" w:firstLineChars="200"/>
        <w:rPr>
          <w:rFonts w:eastAsia="黑体"/>
          <w:sz w:val="32"/>
          <w:szCs w:val="32"/>
        </w:rPr>
      </w:pPr>
      <w:r>
        <w:rPr>
          <w:rFonts w:eastAsia="黑体"/>
          <w:sz w:val="32"/>
          <w:szCs w:val="32"/>
        </w:rPr>
        <w:t>二、项目资金申报及使用情况</w:t>
      </w:r>
    </w:p>
    <w:p>
      <w:p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（一）项目资金申报及批复情况。</w:t>
      </w:r>
    </w:p>
    <w:p>
      <w:pPr>
        <w:autoSpaceDE w:val="0"/>
        <w:autoSpaceDN w:val="0"/>
        <w:adjustRightInd w:val="0"/>
        <w:spacing w:line="560" w:lineRule="exact"/>
        <w:ind w:firstLine="640" w:firstLineChars="200"/>
        <w:jc w:val="left"/>
        <w:rPr>
          <w:rFonts w:hint="eastAsia" w:ascii="Times New Roman" w:hAnsi="Times New Roman" w:eastAsia="楷体_GB2312"/>
          <w:color w:val="auto"/>
          <w:kern w:val="0"/>
          <w:sz w:val="32"/>
          <w:szCs w:val="32"/>
          <w:lang w:val="en-US" w:eastAsia="zh-CN"/>
        </w:rPr>
      </w:pPr>
      <w:r>
        <w:rPr>
          <w:rFonts w:hint="eastAsia" w:eastAsia="楷体_GB2312"/>
          <w:color w:val="auto"/>
          <w:kern w:val="0"/>
          <w:sz w:val="32"/>
          <w:szCs w:val="32"/>
          <w:lang w:eastAsia="zh-CN"/>
        </w:rPr>
        <w:t>因该笔项目资金，已纳入本中心年初部门预算项目支出，故</w:t>
      </w: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中心和中国电信攀枝花分公司签订的网络维护协议，中心基金财务股通过财政大平台申报直接支付，待县财政审核通过后，将款项转支对方账户。</w:t>
      </w:r>
    </w:p>
    <w:p>
      <w:pPr>
        <w:numPr>
          <w:ilvl w:val="0"/>
          <w:numId w:val="5"/>
        </w:num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资金计划、到位及使用情况。</w:t>
      </w:r>
    </w:p>
    <w:p>
      <w:pPr>
        <w:autoSpaceDE w:val="0"/>
        <w:autoSpaceDN w:val="0"/>
        <w:adjustRightInd w:val="0"/>
        <w:spacing w:line="560" w:lineRule="exact"/>
        <w:ind w:firstLine="643" w:firstLineChars="200"/>
        <w:jc w:val="left"/>
        <w:rPr>
          <w:rFonts w:ascii="Times New Roman" w:hAnsi="Times New Roman" w:eastAsia="仿宋_GB2312"/>
          <w:b/>
          <w:color w:val="auto"/>
          <w:kern w:val="0"/>
          <w:sz w:val="32"/>
          <w:szCs w:val="32"/>
        </w:rPr>
      </w:pPr>
      <w:r>
        <w:rPr>
          <w:rFonts w:ascii="Times New Roman" w:hAnsi="Times New Roman" w:eastAsia="仿宋_GB2312"/>
          <w:b/>
          <w:color w:val="auto"/>
          <w:kern w:val="0"/>
          <w:sz w:val="32"/>
          <w:szCs w:val="32"/>
        </w:rPr>
        <w:t>1.资金计划</w:t>
      </w:r>
    </w:p>
    <w:p>
      <w:pPr>
        <w:autoSpaceDE w:val="0"/>
        <w:autoSpaceDN w:val="0"/>
        <w:adjustRightInd w:val="0"/>
        <w:spacing w:line="560" w:lineRule="exact"/>
        <w:ind w:firstLine="640" w:firstLineChars="200"/>
        <w:jc w:val="left"/>
        <w:rPr>
          <w:rFonts w:hint="eastAsia" w:ascii="Times New Roman" w:hAnsi="Times New Roman" w:eastAsia="楷体_GB2312"/>
          <w:color w:val="auto"/>
          <w:kern w:val="0"/>
          <w:sz w:val="32"/>
          <w:szCs w:val="32"/>
          <w:lang w:val="en-US" w:eastAsia="zh-CN"/>
        </w:rPr>
      </w:pP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中心</w:t>
      </w:r>
      <w:r>
        <w:rPr>
          <w:rFonts w:hint="eastAsia" w:ascii="Times New Roman" w:hAnsi="Times New Roman" w:eastAsia="楷体_GB2312"/>
          <w:color w:val="auto"/>
          <w:kern w:val="0"/>
          <w:sz w:val="32"/>
          <w:szCs w:val="32"/>
          <w:lang w:val="en-US" w:eastAsia="zh-CN"/>
        </w:rPr>
        <w:t>拨付资金的请求，县级财政拟同意</w:t>
      </w:r>
      <w:r>
        <w:rPr>
          <w:rFonts w:hint="eastAsia" w:eastAsia="楷体_GB2312"/>
          <w:color w:val="auto"/>
          <w:kern w:val="0"/>
          <w:sz w:val="32"/>
          <w:szCs w:val="32"/>
          <w:lang w:val="en-US" w:eastAsia="zh-CN"/>
        </w:rPr>
        <w:t>使用</w:t>
      </w:r>
      <w:r>
        <w:rPr>
          <w:rFonts w:hint="eastAsia" w:ascii="Times New Roman" w:hAnsi="Times New Roman" w:eastAsia="楷体_GB2312"/>
          <w:color w:val="auto"/>
          <w:kern w:val="0"/>
          <w:sz w:val="32"/>
          <w:szCs w:val="32"/>
          <w:lang w:val="en-US" w:eastAsia="zh-CN"/>
        </w:rPr>
        <w:t>该笔专项资金。</w:t>
      </w:r>
    </w:p>
    <w:p>
      <w:pPr>
        <w:autoSpaceDE w:val="0"/>
        <w:autoSpaceDN w:val="0"/>
        <w:adjustRightInd w:val="0"/>
        <w:spacing w:line="560" w:lineRule="exact"/>
        <w:ind w:firstLine="640" w:firstLineChars="200"/>
        <w:jc w:val="left"/>
        <w:rPr>
          <w:rFonts w:ascii="Times New Roman" w:hAnsi="Times New Roman" w:eastAsia="仿宋_GB2312"/>
          <w:b/>
          <w:color w:val="auto"/>
          <w:kern w:val="0"/>
          <w:sz w:val="32"/>
          <w:szCs w:val="32"/>
        </w:rPr>
      </w:pPr>
      <w:r>
        <w:rPr>
          <w:rFonts w:ascii="Times New Roman" w:hAnsi="Times New Roman" w:eastAsia="仿宋_GB2312"/>
          <w:b/>
          <w:color w:val="auto"/>
          <w:kern w:val="0"/>
          <w:sz w:val="32"/>
          <w:szCs w:val="32"/>
        </w:rPr>
        <w:t>2.资金到位</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楷体_GB2312"/>
          <w:color w:val="auto"/>
          <w:kern w:val="0"/>
          <w:sz w:val="32"/>
          <w:szCs w:val="32"/>
          <w:lang w:val="en-US" w:eastAsia="zh-CN"/>
        </w:rPr>
        <w:t>20</w:t>
      </w:r>
      <w:r>
        <w:rPr>
          <w:rFonts w:hint="eastAsia" w:eastAsia="楷体_GB2312"/>
          <w:color w:val="auto"/>
          <w:kern w:val="0"/>
          <w:sz w:val="32"/>
          <w:szCs w:val="32"/>
          <w:lang w:val="en-US" w:eastAsia="zh-CN"/>
        </w:rPr>
        <w:t>20</w:t>
      </w:r>
      <w:r>
        <w:rPr>
          <w:rFonts w:hint="eastAsia" w:ascii="Times New Roman" w:hAnsi="Times New Roman" w:eastAsia="楷体_GB2312"/>
          <w:color w:val="auto"/>
          <w:kern w:val="0"/>
          <w:sz w:val="32"/>
          <w:szCs w:val="32"/>
          <w:lang w:val="en-US" w:eastAsia="zh-CN"/>
        </w:rPr>
        <w:t>年</w:t>
      </w:r>
      <w:r>
        <w:rPr>
          <w:rFonts w:hint="eastAsia" w:eastAsia="楷体_GB2312"/>
          <w:color w:val="auto"/>
          <w:kern w:val="0"/>
          <w:sz w:val="32"/>
          <w:szCs w:val="32"/>
          <w:lang w:val="en-US" w:eastAsia="zh-CN"/>
        </w:rPr>
        <w:t>7月</w:t>
      </w:r>
      <w:r>
        <w:rPr>
          <w:rFonts w:hint="eastAsia" w:ascii="Times New Roman" w:hAnsi="Times New Roman" w:eastAsia="楷体_GB2312"/>
          <w:color w:val="auto"/>
          <w:kern w:val="0"/>
          <w:sz w:val="32"/>
          <w:szCs w:val="32"/>
          <w:lang w:val="en-US" w:eastAsia="zh-CN"/>
        </w:rPr>
        <w:t>，该笔项目资金获县财政局批复，并</w:t>
      </w:r>
      <w:r>
        <w:rPr>
          <w:rFonts w:hint="eastAsia" w:eastAsia="楷体_GB2312"/>
          <w:color w:val="auto"/>
          <w:kern w:val="0"/>
          <w:sz w:val="32"/>
          <w:szCs w:val="32"/>
          <w:lang w:val="en-US" w:eastAsia="zh-CN"/>
        </w:rPr>
        <w:t>及时走完申报审批流程</w:t>
      </w:r>
      <w:r>
        <w:rPr>
          <w:rFonts w:hint="eastAsia" w:ascii="Times New Roman" w:hAnsi="Times New Roman" w:eastAsia="楷体_GB2312"/>
          <w:color w:val="auto"/>
          <w:kern w:val="0"/>
          <w:sz w:val="32"/>
          <w:szCs w:val="32"/>
          <w:lang w:val="en-US" w:eastAsia="zh-CN"/>
        </w:rPr>
        <w:t>。</w:t>
      </w:r>
    </w:p>
    <w:p>
      <w:pPr>
        <w:autoSpaceDE w:val="0"/>
        <w:autoSpaceDN w:val="0"/>
        <w:adjustRightInd w:val="0"/>
        <w:spacing w:line="560" w:lineRule="exact"/>
        <w:ind w:firstLine="643" w:firstLineChars="200"/>
        <w:jc w:val="left"/>
        <w:rPr>
          <w:rFonts w:ascii="Times New Roman" w:hAnsi="Times New Roman" w:eastAsia="仿宋_GB2312"/>
          <w:b/>
          <w:color w:val="auto"/>
          <w:kern w:val="0"/>
          <w:sz w:val="32"/>
          <w:szCs w:val="32"/>
        </w:rPr>
      </w:pPr>
      <w:r>
        <w:rPr>
          <w:rFonts w:ascii="Times New Roman" w:hAnsi="Times New Roman" w:eastAsia="仿宋_GB2312"/>
          <w:b/>
          <w:color w:val="auto"/>
          <w:kern w:val="0"/>
          <w:sz w:val="32"/>
          <w:szCs w:val="32"/>
        </w:rPr>
        <w:t>3.资金使用</w:t>
      </w:r>
    </w:p>
    <w:p>
      <w:pPr>
        <w:autoSpaceDE w:val="0"/>
        <w:autoSpaceDN w:val="0"/>
        <w:adjustRightInd w:val="0"/>
        <w:spacing w:line="560" w:lineRule="exact"/>
        <w:ind w:firstLine="640" w:firstLineChars="200"/>
        <w:jc w:val="left"/>
        <w:rPr>
          <w:rFonts w:hint="eastAsia" w:ascii="Times New Roman" w:hAnsi="Times New Roman" w:eastAsia="仿宋_GB2312"/>
          <w:color w:val="auto"/>
          <w:kern w:val="0"/>
          <w:sz w:val="32"/>
          <w:szCs w:val="32"/>
          <w:lang w:eastAsia="zh-CN"/>
        </w:rPr>
      </w:pPr>
      <w:r>
        <w:rPr>
          <w:rFonts w:hint="eastAsia" w:ascii="Times New Roman" w:hAnsi="Times New Roman" w:eastAsia="楷体_GB2312"/>
          <w:color w:val="auto"/>
          <w:kern w:val="0"/>
          <w:sz w:val="32"/>
          <w:szCs w:val="32"/>
          <w:lang w:val="en-US" w:eastAsia="zh-CN"/>
        </w:rPr>
        <w:t>我中心于20</w:t>
      </w:r>
      <w:r>
        <w:rPr>
          <w:rFonts w:hint="eastAsia" w:eastAsia="楷体_GB2312"/>
          <w:color w:val="auto"/>
          <w:kern w:val="0"/>
          <w:sz w:val="32"/>
          <w:szCs w:val="32"/>
          <w:lang w:val="en-US" w:eastAsia="zh-CN"/>
        </w:rPr>
        <w:t>20</w:t>
      </w:r>
      <w:r>
        <w:rPr>
          <w:rFonts w:hint="eastAsia" w:ascii="Times New Roman" w:hAnsi="Times New Roman" w:eastAsia="楷体_GB2312"/>
          <w:color w:val="auto"/>
          <w:kern w:val="0"/>
          <w:sz w:val="32"/>
          <w:szCs w:val="32"/>
          <w:lang w:val="en-US" w:eastAsia="zh-CN"/>
        </w:rPr>
        <w:t>年</w:t>
      </w:r>
      <w:r>
        <w:rPr>
          <w:rFonts w:hint="eastAsia" w:eastAsia="楷体_GB2312"/>
          <w:color w:val="auto"/>
          <w:kern w:val="0"/>
          <w:sz w:val="32"/>
          <w:szCs w:val="32"/>
          <w:lang w:val="en-US" w:eastAsia="zh-CN"/>
        </w:rPr>
        <w:t>7</w:t>
      </w:r>
      <w:r>
        <w:rPr>
          <w:rFonts w:hint="eastAsia" w:ascii="Times New Roman" w:hAnsi="Times New Roman" w:eastAsia="楷体_GB2312"/>
          <w:color w:val="auto"/>
          <w:kern w:val="0"/>
          <w:sz w:val="32"/>
          <w:szCs w:val="32"/>
          <w:lang w:val="en-US" w:eastAsia="zh-CN"/>
        </w:rPr>
        <w:t>月，通过财政大平台，依据资金使用申报流程，申报该项目支出的用款计划，并将该笔资金以直接支付方式全额划转至攀枝花市</w:t>
      </w:r>
      <w:r>
        <w:rPr>
          <w:rFonts w:hint="eastAsia" w:eastAsia="楷体_GB2312"/>
          <w:color w:val="auto"/>
          <w:kern w:val="0"/>
          <w:sz w:val="32"/>
          <w:szCs w:val="32"/>
          <w:lang w:val="en-US" w:eastAsia="zh-CN"/>
        </w:rPr>
        <w:t>电信公司</w:t>
      </w:r>
      <w:r>
        <w:rPr>
          <w:rFonts w:hint="eastAsia" w:ascii="Times New Roman" w:hAnsi="Times New Roman" w:eastAsia="楷体_GB2312"/>
          <w:color w:val="auto"/>
          <w:kern w:val="0"/>
          <w:sz w:val="32"/>
          <w:szCs w:val="32"/>
          <w:lang w:val="en-US" w:eastAsia="zh-CN"/>
        </w:rPr>
        <w:t>账户，</w:t>
      </w:r>
      <w:r>
        <w:rPr>
          <w:rFonts w:ascii="Times New Roman" w:hAnsi="Times New Roman" w:eastAsia="仿宋_GB2312"/>
          <w:color w:val="auto"/>
          <w:kern w:val="0"/>
          <w:sz w:val="32"/>
          <w:szCs w:val="32"/>
        </w:rPr>
        <w:t>资金</w:t>
      </w:r>
      <w:r>
        <w:rPr>
          <w:rFonts w:hint="eastAsia" w:ascii="Times New Roman" w:hAnsi="Times New Roman" w:eastAsia="仿宋_GB2312"/>
          <w:color w:val="auto"/>
          <w:kern w:val="0"/>
          <w:sz w:val="32"/>
          <w:szCs w:val="32"/>
          <w:lang w:eastAsia="zh-CN"/>
        </w:rPr>
        <w:t>划转</w:t>
      </w:r>
      <w:r>
        <w:rPr>
          <w:rFonts w:ascii="Times New Roman" w:hAnsi="Times New Roman" w:eastAsia="仿宋_GB2312"/>
          <w:color w:val="auto"/>
          <w:kern w:val="0"/>
          <w:sz w:val="32"/>
          <w:szCs w:val="32"/>
        </w:rPr>
        <w:t>安全</w:t>
      </w:r>
      <w:r>
        <w:rPr>
          <w:rFonts w:hint="eastAsia" w:ascii="Times New Roman" w:hAnsi="Times New Roman" w:eastAsia="仿宋_GB2312"/>
          <w:color w:val="auto"/>
          <w:kern w:val="0"/>
          <w:sz w:val="32"/>
          <w:szCs w:val="32"/>
          <w:lang w:eastAsia="zh-CN"/>
        </w:rPr>
        <w:t>、及时、</w:t>
      </w:r>
      <w:r>
        <w:rPr>
          <w:rFonts w:ascii="Times New Roman" w:hAnsi="Times New Roman" w:eastAsia="仿宋_GB2312"/>
          <w:color w:val="auto"/>
          <w:kern w:val="0"/>
          <w:sz w:val="32"/>
          <w:szCs w:val="32"/>
        </w:rPr>
        <w:t>规范，资金支付合规合法、与预算相符</w:t>
      </w:r>
      <w:r>
        <w:rPr>
          <w:rFonts w:hint="eastAsia" w:ascii="Times New Roman" w:hAnsi="Times New Roman" w:eastAsia="仿宋_GB2312"/>
          <w:color w:val="auto"/>
          <w:kern w:val="0"/>
          <w:sz w:val="32"/>
          <w:szCs w:val="32"/>
          <w:lang w:eastAsia="zh-CN"/>
        </w:rPr>
        <w:t>。</w:t>
      </w:r>
    </w:p>
    <w:p>
      <w:p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（三）项目财务管理情况。</w:t>
      </w:r>
    </w:p>
    <w:p>
      <w:pPr>
        <w:autoSpaceDE w:val="0"/>
        <w:autoSpaceDN w:val="0"/>
        <w:adjustRightInd w:val="0"/>
        <w:spacing w:line="560" w:lineRule="exact"/>
        <w:ind w:firstLine="640" w:firstLineChars="200"/>
        <w:jc w:val="left"/>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eastAsia="zh-CN"/>
        </w:rPr>
        <w:t>我中心</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《攀枝花市社会保险事务中心</w:t>
      </w:r>
      <w:r>
        <w:rPr>
          <w:rFonts w:ascii="Times New Roman" w:hAnsi="Times New Roman" w:eastAsia="仿宋_GB2312"/>
          <w:color w:val="auto"/>
          <w:kern w:val="0"/>
          <w:sz w:val="32"/>
          <w:szCs w:val="32"/>
        </w:rPr>
        <w:t>财务管理制度</w:t>
      </w:r>
      <w:r>
        <w:rPr>
          <w:rFonts w:hint="eastAsia" w:ascii="Times New Roman" w:hAnsi="Times New Roman" w:eastAsia="仿宋_GB2312"/>
          <w:color w:val="auto"/>
          <w:kern w:val="0"/>
          <w:sz w:val="32"/>
          <w:szCs w:val="32"/>
          <w:lang w:eastAsia="zh-CN"/>
        </w:rPr>
        <w:t>》（市县通用）、《行政事业单位财务管理制度》等财务管理制度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仿宋_GB2312"/>
          <w:color w:val="auto"/>
          <w:sz w:val="32"/>
          <w:szCs w:val="32"/>
        </w:rPr>
      </w:pPr>
      <w:r>
        <w:rPr>
          <w:rFonts w:eastAsia="黑体"/>
          <w:color w:val="auto"/>
          <w:sz w:val="32"/>
          <w:szCs w:val="32"/>
        </w:rPr>
        <w:t>三、项目实施及管理情况</w:t>
      </w:r>
    </w:p>
    <w:p>
      <w:pPr>
        <w:spacing w:line="560" w:lineRule="exact"/>
        <w:ind w:firstLine="640" w:firstLineChars="200"/>
        <w:rPr>
          <w:rFonts w:eastAsia="楷体_GB2312"/>
          <w:color w:val="auto"/>
          <w:sz w:val="32"/>
          <w:szCs w:val="32"/>
        </w:rPr>
      </w:pPr>
      <w:r>
        <w:rPr>
          <w:rFonts w:eastAsia="楷体_GB2312"/>
          <w:color w:val="auto"/>
          <w:sz w:val="32"/>
          <w:szCs w:val="32"/>
        </w:rPr>
        <w:t>（一）项目组织架构及实施流程。</w:t>
      </w:r>
    </w:p>
    <w:p>
      <w:pPr>
        <w:spacing w:line="560" w:lineRule="exact"/>
        <w:ind w:firstLine="640" w:firstLineChars="200"/>
        <w:rPr>
          <w:rFonts w:hint="eastAsia" w:eastAsia="楷体_GB2312"/>
          <w:color w:val="auto"/>
          <w:sz w:val="32"/>
          <w:szCs w:val="32"/>
          <w:lang w:eastAsia="zh-CN"/>
        </w:rPr>
      </w:pPr>
      <w:r>
        <w:rPr>
          <w:rFonts w:hint="eastAsia" w:eastAsia="楷体_GB2312"/>
          <w:color w:val="auto"/>
          <w:sz w:val="32"/>
          <w:szCs w:val="32"/>
          <w:lang w:eastAsia="zh-CN"/>
        </w:rPr>
        <w:t>本项目所指金保网，由全县</w:t>
      </w:r>
      <w:r>
        <w:rPr>
          <w:rFonts w:hint="eastAsia" w:eastAsia="楷体_GB2312"/>
          <w:color w:val="auto"/>
          <w:sz w:val="32"/>
          <w:szCs w:val="32"/>
          <w:lang w:val="en-US" w:eastAsia="zh-CN"/>
        </w:rPr>
        <w:t>12各乡镇使用，经</w:t>
      </w:r>
      <w:r>
        <w:rPr>
          <w:rFonts w:hint="eastAsia" w:eastAsia="楷体_GB2312"/>
          <w:color w:val="auto"/>
          <w:sz w:val="32"/>
          <w:szCs w:val="32"/>
          <w:lang w:eastAsia="zh-CN"/>
        </w:rPr>
        <w:t>中心和网络维护商签订维护合同，以此保障各乡镇能正常使用网络，项目由本中心实施，对服务商提供的网络维护质量负责，资金拨付由本中心代支付，待协议签订后再进行资金拨付，至此，项目实施完毕。</w:t>
      </w:r>
    </w:p>
    <w:p>
      <w:pPr>
        <w:numPr>
          <w:ilvl w:val="0"/>
          <w:numId w:val="6"/>
        </w:numPr>
        <w:spacing w:line="560" w:lineRule="exact"/>
        <w:ind w:firstLine="640" w:firstLineChars="200"/>
        <w:rPr>
          <w:rFonts w:eastAsia="楷体_GB2312"/>
          <w:color w:val="auto"/>
          <w:sz w:val="32"/>
          <w:szCs w:val="32"/>
        </w:rPr>
      </w:pPr>
      <w:r>
        <w:rPr>
          <w:rFonts w:eastAsia="楷体_GB2312"/>
          <w:color w:val="auto"/>
          <w:sz w:val="32"/>
          <w:szCs w:val="32"/>
        </w:rPr>
        <w:t>项目管理情况。</w:t>
      </w:r>
    </w:p>
    <w:p>
      <w:pPr>
        <w:autoSpaceDE w:val="0"/>
        <w:autoSpaceDN w:val="0"/>
        <w:adjustRightInd w:val="0"/>
        <w:spacing w:line="560" w:lineRule="exact"/>
        <w:ind w:firstLine="640" w:firstLineChars="200"/>
        <w:jc w:val="left"/>
        <w:rPr>
          <w:rFonts w:eastAsia="楷体_GB2312"/>
          <w:color w:val="auto"/>
          <w:sz w:val="32"/>
          <w:szCs w:val="32"/>
        </w:rPr>
      </w:pPr>
      <w:r>
        <w:rPr>
          <w:rFonts w:hint="eastAsia" w:eastAsia="楷体_GB2312"/>
          <w:color w:val="auto"/>
          <w:kern w:val="0"/>
          <w:sz w:val="32"/>
          <w:szCs w:val="32"/>
          <w:lang w:val="en-US" w:eastAsia="zh-CN"/>
        </w:rPr>
        <w:t>2020年下半年，</w:t>
      </w: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各乡镇对使用金保网网络质量的反馈，全县</w:t>
      </w:r>
      <w:r>
        <w:rPr>
          <w:rFonts w:hint="eastAsia" w:eastAsia="楷体_GB2312"/>
          <w:color w:val="auto"/>
          <w:kern w:val="0"/>
          <w:sz w:val="32"/>
          <w:szCs w:val="32"/>
          <w:lang w:val="en-US" w:eastAsia="zh-CN"/>
        </w:rPr>
        <w:t>12个乡镇均能正常使用，除因停电原因及服务器短暂维护，未出现零星断网情况，项目实施后，乡镇社会保险业务经办较为顺利，项目实施取得成效。</w:t>
      </w:r>
    </w:p>
    <w:p>
      <w:pPr>
        <w:numPr>
          <w:ilvl w:val="0"/>
          <w:numId w:val="7"/>
        </w:numPr>
        <w:spacing w:line="560" w:lineRule="exact"/>
        <w:ind w:firstLine="640" w:firstLineChars="200"/>
        <w:rPr>
          <w:rFonts w:eastAsia="楷体_GB2312"/>
          <w:color w:val="auto"/>
          <w:sz w:val="32"/>
          <w:szCs w:val="32"/>
        </w:rPr>
      </w:pPr>
      <w:r>
        <w:rPr>
          <w:rFonts w:eastAsia="楷体_GB2312"/>
          <w:color w:val="auto"/>
          <w:sz w:val="32"/>
          <w:szCs w:val="32"/>
        </w:rPr>
        <w:t>项目监管情况。</w:t>
      </w:r>
    </w:p>
    <w:p>
      <w:pPr>
        <w:numPr>
          <w:numId w:val="0"/>
        </w:numPr>
        <w:spacing w:line="600" w:lineRule="exact"/>
        <w:ind w:firstLine="640" w:firstLineChars="200"/>
        <w:rPr>
          <w:rFonts w:hint="eastAsia" w:eastAsia="仿宋_GB2312"/>
          <w:color w:val="auto"/>
          <w:sz w:val="32"/>
          <w:szCs w:val="32"/>
          <w:lang w:val="en-US" w:eastAsia="zh-CN"/>
        </w:rPr>
      </w:pPr>
      <w:r>
        <w:rPr>
          <w:rFonts w:hint="eastAsia" w:ascii="Times New Roman" w:hAnsi="Times New Roman" w:eastAsia="仿宋_GB2312"/>
          <w:sz w:val="32"/>
          <w:szCs w:val="32"/>
          <w:shd w:val="clear" w:color="auto" w:fill="FFFFFF"/>
          <w:lang w:val="en-US" w:eastAsia="zh-CN"/>
        </w:rPr>
        <w:t>自上而下践行拓展“温暖人社”行动，</w:t>
      </w:r>
      <w:r>
        <w:rPr>
          <w:rFonts w:hint="eastAsia" w:eastAsia="仿宋_GB2312"/>
          <w:sz w:val="32"/>
          <w:szCs w:val="32"/>
          <w:shd w:val="clear" w:color="auto" w:fill="FFFFFF"/>
          <w:lang w:val="en-US" w:eastAsia="zh-CN"/>
        </w:rPr>
        <w:t>是省人社厅重点工作，该项目实施，是保障基层人民政府及社会保险经办机构落实</w:t>
      </w:r>
      <w:r>
        <w:rPr>
          <w:rFonts w:hint="eastAsia" w:ascii="Times New Roman" w:hAnsi="Times New Roman" w:eastAsia="仿宋_GB2312"/>
          <w:sz w:val="32"/>
          <w:szCs w:val="32"/>
          <w:shd w:val="clear" w:color="auto" w:fill="FFFFFF"/>
          <w:lang w:val="en-US" w:eastAsia="zh-CN"/>
        </w:rPr>
        <w:t>“温暖人社”</w:t>
      </w:r>
      <w:r>
        <w:rPr>
          <w:rFonts w:hint="eastAsia" w:eastAsia="仿宋_GB2312"/>
          <w:sz w:val="32"/>
          <w:szCs w:val="32"/>
          <w:shd w:val="clear" w:color="auto" w:fill="FFFFFF"/>
          <w:lang w:val="en-US" w:eastAsia="zh-CN"/>
        </w:rPr>
        <w:t>行动的重要抓手，项目实施</w:t>
      </w:r>
      <w:r>
        <w:rPr>
          <w:rFonts w:hint="eastAsia" w:eastAsia="仿宋_GB2312"/>
          <w:color w:val="auto"/>
          <w:sz w:val="32"/>
          <w:szCs w:val="32"/>
          <w:lang w:val="en-US" w:eastAsia="zh-CN"/>
        </w:rPr>
        <w:t>各个环节均严格遵守资金申报、使用、拨付流程。从项目实施的事前、事中、事后来看，本中心对此项目的实施始终高度重视，各股室密切分工，相互配合，严格执行内控制度，严禁跨权限操作业务，始终保持敬畏之心，确保该专项资金顺利上解。</w:t>
      </w:r>
    </w:p>
    <w:p>
      <w:pPr>
        <w:spacing w:line="560" w:lineRule="exact"/>
        <w:ind w:firstLine="640" w:firstLineChars="200"/>
        <w:rPr>
          <w:rFonts w:eastAsia="黑体"/>
          <w:color w:val="auto"/>
          <w:sz w:val="32"/>
          <w:szCs w:val="32"/>
        </w:rPr>
      </w:pPr>
      <w:r>
        <w:rPr>
          <w:rFonts w:eastAsia="黑体"/>
          <w:color w:val="auto"/>
          <w:sz w:val="32"/>
          <w:szCs w:val="32"/>
        </w:rPr>
        <w:t>四、项目绩效情况</w:t>
      </w:r>
      <w:r>
        <w:rPr>
          <w:rFonts w:eastAsia="黑体"/>
          <w:color w:val="auto"/>
          <w:sz w:val="32"/>
          <w:szCs w:val="32"/>
        </w:rPr>
        <w:tab/>
      </w:r>
    </w:p>
    <w:p>
      <w:p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（一）项目完成情况。</w:t>
      </w:r>
    </w:p>
    <w:p>
      <w:pPr>
        <w:numPr>
          <w:numId w:val="0"/>
        </w:numPr>
        <w:autoSpaceDE w:val="0"/>
        <w:autoSpaceDN w:val="0"/>
        <w:adjustRightInd w:val="0"/>
        <w:spacing w:line="560" w:lineRule="exact"/>
        <w:jc w:val="left"/>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 xml:space="preserve">    </w:t>
      </w:r>
      <w:r>
        <w:rPr>
          <w:rFonts w:hint="eastAsia" w:ascii="Times New Roman" w:hAnsi="Times New Roman" w:eastAsia="楷体_GB2312"/>
          <w:color w:val="auto"/>
          <w:kern w:val="0"/>
          <w:sz w:val="32"/>
          <w:szCs w:val="32"/>
          <w:lang w:eastAsia="zh-CN"/>
        </w:rPr>
        <w:t>根据</w:t>
      </w:r>
      <w:r>
        <w:rPr>
          <w:rFonts w:hint="eastAsia" w:eastAsia="楷体_GB2312"/>
          <w:color w:val="auto"/>
          <w:kern w:val="0"/>
          <w:sz w:val="32"/>
          <w:szCs w:val="32"/>
          <w:lang w:eastAsia="zh-CN"/>
        </w:rPr>
        <w:t>各乡镇对使用金保网网络质量的反馈，全县</w:t>
      </w:r>
      <w:r>
        <w:rPr>
          <w:rFonts w:hint="eastAsia" w:eastAsia="楷体_GB2312"/>
          <w:color w:val="auto"/>
          <w:kern w:val="0"/>
          <w:sz w:val="32"/>
          <w:szCs w:val="32"/>
          <w:lang w:val="en-US" w:eastAsia="zh-CN"/>
        </w:rPr>
        <w:t>12个乡镇金保网网络使用通畅，项目实施后，乡镇社会保险业务经办较为顺利，办件量显著提升，该项目实施取得实效，</w:t>
      </w:r>
      <w:r>
        <w:rPr>
          <w:rFonts w:hint="eastAsia" w:eastAsia="仿宋_GB2312"/>
          <w:color w:val="auto"/>
          <w:kern w:val="0"/>
          <w:sz w:val="32"/>
          <w:szCs w:val="32"/>
          <w:lang w:val="en-US" w:eastAsia="zh-CN"/>
        </w:rPr>
        <w:t>截止2020年12月，根据协议约定，我中心向中国电信攀枝花分公司支付1.2</w:t>
      </w:r>
      <w:r>
        <w:rPr>
          <w:rFonts w:hint="eastAsia" w:ascii="Times New Roman" w:hAnsi="Times New Roman" w:eastAsia="仿宋_GB2312"/>
          <w:color w:val="auto"/>
          <w:kern w:val="0"/>
          <w:sz w:val="32"/>
          <w:szCs w:val="32"/>
          <w:lang w:val="en-US" w:eastAsia="zh-CN"/>
        </w:rPr>
        <w:t>万元</w:t>
      </w:r>
      <w:r>
        <w:rPr>
          <w:rFonts w:hint="eastAsia" w:eastAsia="仿宋_GB2312"/>
          <w:color w:val="auto"/>
          <w:kern w:val="0"/>
          <w:sz w:val="32"/>
          <w:szCs w:val="32"/>
          <w:lang w:val="en-US" w:eastAsia="zh-CN"/>
        </w:rPr>
        <w:t>乡镇金保网网络运行维护费。至此，本中心已全面完成该项目。</w:t>
      </w:r>
    </w:p>
    <w:p>
      <w:pPr>
        <w:numPr>
          <w:ilvl w:val="0"/>
          <w:numId w:val="8"/>
        </w:numPr>
        <w:autoSpaceDE w:val="0"/>
        <w:autoSpaceDN w:val="0"/>
        <w:adjustRightInd w:val="0"/>
        <w:spacing w:line="560" w:lineRule="exact"/>
        <w:ind w:firstLine="640" w:firstLineChars="200"/>
        <w:jc w:val="left"/>
        <w:rPr>
          <w:rFonts w:ascii="Times New Roman" w:hAnsi="Times New Roman" w:eastAsia="楷体_GB2312"/>
          <w:color w:val="auto"/>
          <w:kern w:val="0"/>
          <w:sz w:val="32"/>
          <w:szCs w:val="32"/>
        </w:rPr>
      </w:pPr>
      <w:r>
        <w:rPr>
          <w:rFonts w:ascii="Times New Roman" w:hAnsi="Times New Roman" w:eastAsia="楷体_GB2312"/>
          <w:color w:val="auto"/>
          <w:kern w:val="0"/>
          <w:sz w:val="32"/>
          <w:szCs w:val="32"/>
        </w:rPr>
        <w:t>项目效益情况。</w:t>
      </w:r>
    </w:p>
    <w:p>
      <w:pPr>
        <w:numPr>
          <w:numId w:val="0"/>
        </w:numPr>
        <w:autoSpaceDE w:val="0"/>
        <w:autoSpaceDN w:val="0"/>
        <w:adjustRightInd w:val="0"/>
        <w:spacing w:line="560" w:lineRule="exact"/>
        <w:jc w:val="left"/>
        <w:rPr>
          <w:rFonts w:hint="eastAsia" w:ascii="仿宋_GB2312" w:hAnsi="仿宋_GB2312" w:eastAsia="仿宋_GB2312" w:cs="仿宋_GB2312"/>
          <w:color w:val="auto"/>
          <w:kern w:val="0"/>
          <w:sz w:val="32"/>
          <w:szCs w:val="32"/>
        </w:rPr>
      </w:pPr>
      <w:r>
        <w:rPr>
          <w:rFonts w:hint="eastAsia" w:ascii="Times New Roman" w:hAnsi="Times New Roman" w:eastAsia="楷体_GB2312"/>
          <w:color w:val="auto"/>
          <w:kern w:val="0"/>
          <w:sz w:val="32"/>
          <w:szCs w:val="32"/>
          <w:lang w:val="en-US" w:eastAsia="zh-CN"/>
        </w:rPr>
        <w:t xml:space="preserve">    </w:t>
      </w:r>
      <w:r>
        <w:rPr>
          <w:rFonts w:hint="eastAsia" w:eastAsia="楷体_GB2312"/>
          <w:color w:val="auto"/>
          <w:kern w:val="0"/>
          <w:sz w:val="32"/>
          <w:szCs w:val="32"/>
          <w:lang w:val="en-US" w:eastAsia="zh-CN"/>
        </w:rPr>
        <w:t>维护、优化乡镇金保网网络，</w:t>
      </w:r>
      <w:r>
        <w:rPr>
          <w:rFonts w:hint="eastAsia" w:ascii="仿宋_GB2312" w:hAnsi="仿宋_GB2312" w:eastAsia="仿宋_GB2312" w:cs="仿宋_GB2312"/>
          <w:b w:val="0"/>
          <w:i w:val="0"/>
          <w:color w:val="000000"/>
          <w:sz w:val="32"/>
          <w:szCs w:val="32"/>
          <w:u w:val="none"/>
          <w:lang w:eastAsia="zh-CN"/>
        </w:rPr>
        <w:t>全年提供优质高效的网络服务，不因可控制的网络故障频繁出现而导致社会保险服务无故中断，是本项目实施的最终目的。</w:t>
      </w:r>
      <w:r>
        <w:rPr>
          <w:rFonts w:hint="eastAsia" w:ascii="仿宋_GB2312" w:hAnsi="仿宋_GB2312" w:eastAsia="仿宋_GB2312" w:cs="仿宋_GB2312"/>
          <w:b w:val="0"/>
          <w:i w:val="0"/>
          <w:color w:val="000000"/>
          <w:sz w:val="32"/>
          <w:szCs w:val="32"/>
          <w:u w:val="none"/>
          <w:lang w:val="en-US" w:eastAsia="zh-CN"/>
        </w:rPr>
        <w:t>2020年，该项目顺利实施后，网络通信得到基本保障，使各辖区群众办事少跑路、跑短路，既提高了经办效率，又节约了出行时间，群众反映有口皆碑，项目取得了良好成效。</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rPr>
          <w:rFonts w:eastAsia="仿宋_GB2312"/>
          <w:color w:val="auto"/>
          <w:sz w:val="32"/>
          <w:szCs w:val="32"/>
        </w:rPr>
      </w:pPr>
      <w:r>
        <w:rPr>
          <w:rFonts w:hint="eastAsia" w:eastAsia="仿宋_GB2312"/>
          <w:color w:val="auto"/>
          <w:sz w:val="32"/>
          <w:szCs w:val="32"/>
          <w:lang w:val="en-US" w:eastAsia="zh-CN"/>
        </w:rPr>
        <w:t xml:space="preserve">    </w:t>
      </w:r>
      <w:r>
        <w:rPr>
          <w:rFonts w:hint="eastAsia" w:eastAsia="仿宋_GB2312"/>
          <w:color w:val="auto"/>
          <w:sz w:val="32"/>
          <w:szCs w:val="32"/>
          <w:lang w:eastAsia="zh-CN"/>
        </w:rPr>
        <w:t>经初步评价，我中心重点</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eastAsia="仿宋_GB2312"/>
          <w:color w:val="auto"/>
          <w:sz w:val="32"/>
          <w:szCs w:val="32"/>
          <w:lang w:val="en-US" w:eastAsia="zh-CN"/>
        </w:rPr>
        <w:t>2020年乡镇金保网网络运行维护费</w:t>
      </w:r>
      <w:r>
        <w:rPr>
          <w:rFonts w:hint="eastAsia" w:ascii="仿宋_GB2312" w:hAnsi="仿宋" w:eastAsia="仿宋_GB2312"/>
          <w:color w:val="auto"/>
          <w:sz w:val="32"/>
          <w:szCs w:val="32"/>
          <w:lang w:eastAsia="zh-CN"/>
        </w:rPr>
        <w:t>专项资金，项目资金申报与项目实际相符；资金支出时间节点较为及时，不存在截留挪用专项资金的违规情况；资金支出按程序审批，合法、合规；资金使用目标明确，受益群体满意度较高，全面达到预期目标。</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由于各乡镇企保、居保参保群众基数大，未在受益群众中全面、全覆盖组织开展满意度调查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主要原因为：该项工作参保对象基数大，待遇覆盖人数较多，涉及地域较广，安排全覆盖满意度专项调查较为困难。</w:t>
      </w:r>
      <w:r>
        <w:rPr>
          <w:rFonts w:eastAsia="仿宋_GB2312"/>
          <w:sz w:val="32"/>
          <w:szCs w:val="32"/>
        </w:rPr>
        <w:tab/>
      </w:r>
      <w:bookmarkStart w:id="0" w:name="_GoBack"/>
      <w:bookmarkEnd w:id="0"/>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rPr>
          <w:rFonts w:hint="eastAsia" w:ascii="仿宋_GB2312" w:eastAsia="仿宋_GB2312"/>
          <w:sz w:val="32"/>
          <w:szCs w:val="32"/>
          <w:lang w:eastAsia="zh-CN"/>
        </w:rPr>
      </w:pPr>
      <w:r>
        <w:rPr>
          <w:rFonts w:hint="eastAsia" w:eastAsia="仿宋_GB2312"/>
          <w:sz w:val="32"/>
          <w:szCs w:val="32"/>
          <w:lang w:val="en-US" w:eastAsia="zh-CN"/>
        </w:rPr>
        <w:t xml:space="preserve">     </w:t>
      </w:r>
      <w:r>
        <w:rPr>
          <w:rFonts w:hint="eastAsia" w:eastAsia="仿宋_GB2312"/>
          <w:sz w:val="32"/>
          <w:szCs w:val="32"/>
          <w:lang w:eastAsia="zh-CN"/>
        </w:rPr>
        <w:t>暂无建议。</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10" w:usb3="00000000" w:csb0="00040000" w:csb1="00000000"/>
  </w:font>
  <w:font w:name="方正楷体_GBK">
    <w:altName w:val="楷体_GB2312"/>
    <w:panose1 w:val="03000509000000000000"/>
    <w:charset w:val="86"/>
    <w:family w:val="auto"/>
    <w:pitch w:val="default"/>
    <w:sig w:usb0="00000001" w:usb1="080E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中宋">
    <w:altName w:val="微软雅黑"/>
    <w:panose1 w:val="00000000000000000000"/>
    <w:charset w:val="86"/>
    <w:family w:val="auto"/>
    <w:pitch w:val="default"/>
    <w:sig w:usb0="00000287" w:usb1="080E0000" w:usb2="00000010" w:usb3="00000000" w:csb0="000400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92975548">
    <w:nsid w:val="5EF2E0BC"/>
    <w:multiLevelType w:val="singleLevel"/>
    <w:tmpl w:val="5EF2E0BC"/>
    <w:lvl w:ilvl="0" w:tentative="1">
      <w:start w:val="2"/>
      <w:numFmt w:val="decimal"/>
      <w:suff w:val="nothing"/>
      <w:lvlText w:val="%1."/>
      <w:lvlJc w:val="left"/>
    </w:lvl>
  </w:abstractNum>
  <w:abstractNum w:abstractNumId="1592973925">
    <w:nsid w:val="5EF2DA65"/>
    <w:multiLevelType w:val="singleLevel"/>
    <w:tmpl w:val="5EF2DA65"/>
    <w:lvl w:ilvl="0" w:tentative="1">
      <w:start w:val="4"/>
      <w:numFmt w:val="decimal"/>
      <w:suff w:val="nothing"/>
      <w:lvlText w:val="%1."/>
      <w:lvlJc w:val="left"/>
    </w:lvl>
  </w:abstractNum>
  <w:abstractNum w:abstractNumId="1592973911">
    <w:nsid w:val="5EF2DA57"/>
    <w:multiLevelType w:val="singleLevel"/>
    <w:tmpl w:val="5EF2DA57"/>
    <w:lvl w:ilvl="0" w:tentative="1">
      <w:start w:val="3"/>
      <w:numFmt w:val="decimal"/>
      <w:suff w:val="nothing"/>
      <w:lvlText w:val="%1."/>
      <w:lvlJc w:val="left"/>
    </w:lvl>
  </w:abstractNum>
  <w:abstractNum w:abstractNumId="1592975572">
    <w:nsid w:val="5EF2E0D4"/>
    <w:multiLevelType w:val="singleLevel"/>
    <w:tmpl w:val="5EF2E0D4"/>
    <w:lvl w:ilvl="0" w:tentative="1">
      <w:start w:val="3"/>
      <w:numFmt w:val="decimal"/>
      <w:suff w:val="nothing"/>
      <w:lvlText w:val="%1."/>
      <w:lvlJc w:val="left"/>
    </w:lvl>
  </w:abstractNum>
  <w:abstractNum w:abstractNumId="1630484557">
    <w:nsid w:val="612F384D"/>
    <w:multiLevelType w:val="singleLevel"/>
    <w:tmpl w:val="612F384D"/>
    <w:lvl w:ilvl="0" w:tentative="1">
      <w:start w:val="2"/>
      <w:numFmt w:val="chineseCounting"/>
      <w:suff w:val="nothing"/>
      <w:lvlText w:val="（%1）"/>
      <w:lvlJc w:val="left"/>
    </w:lvl>
  </w:abstractNum>
  <w:abstractNum w:abstractNumId="1592976570">
    <w:nsid w:val="5EF2E4BA"/>
    <w:multiLevelType w:val="singleLevel"/>
    <w:tmpl w:val="5EF2E4BA"/>
    <w:lvl w:ilvl="0" w:tentative="1">
      <w:start w:val="2"/>
      <w:numFmt w:val="chineseCounting"/>
      <w:suff w:val="nothing"/>
      <w:lvlText w:val="（%1）"/>
      <w:lvlJc w:val="left"/>
    </w:lvl>
  </w:abstractNum>
  <w:abstractNum w:abstractNumId="1592977923">
    <w:nsid w:val="5EF2EA03"/>
    <w:multiLevelType w:val="singleLevel"/>
    <w:tmpl w:val="5EF2EA03"/>
    <w:lvl w:ilvl="0" w:tentative="1">
      <w:start w:val="2"/>
      <w:numFmt w:val="chineseCounting"/>
      <w:suff w:val="nothing"/>
      <w:lvlText w:val="（%1）"/>
      <w:lvlJc w:val="left"/>
    </w:lvl>
  </w:abstractNum>
  <w:abstractNum w:abstractNumId="1630484663">
    <w:nsid w:val="612F38B7"/>
    <w:multiLevelType w:val="singleLevel"/>
    <w:tmpl w:val="612F38B7"/>
    <w:lvl w:ilvl="0" w:tentative="1">
      <w:start w:val="3"/>
      <w:numFmt w:val="chineseCounting"/>
      <w:suff w:val="nothing"/>
      <w:lvlText w:val="（%1）"/>
      <w:lvlJc w:val="left"/>
    </w:lvl>
  </w:abstractNum>
  <w:num w:numId="1">
    <w:abstractNumId w:val="1592973911"/>
  </w:num>
  <w:num w:numId="2">
    <w:abstractNumId w:val="1592973925"/>
  </w:num>
  <w:num w:numId="3">
    <w:abstractNumId w:val="1592975548"/>
  </w:num>
  <w:num w:numId="4">
    <w:abstractNumId w:val="1592975572"/>
  </w:num>
  <w:num w:numId="5">
    <w:abstractNumId w:val="1592976570"/>
  </w:num>
  <w:num w:numId="6">
    <w:abstractNumId w:val="1630484557"/>
  </w:num>
  <w:num w:numId="7">
    <w:abstractNumId w:val="1630484663"/>
  </w:num>
  <w:num w:numId="8">
    <w:abstractNumId w:val="15929779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rPr/>
  </w:style>
  <w:style w:type="character" w:customStyle="1" w:styleId="6">
    <w:name w:val="页眉 Char"/>
    <w:basedOn w:val="4"/>
    <w:link w:val="3"/>
    <w:uiPriority w:val="0"/>
    <w:rPr>
      <w:rFonts w:ascii="Times New Roman" w:hAnsi="Times New Roman" w:eastAsia="宋体" w:cs="Times New Roman"/>
      <w:kern w:val="2"/>
      <w:sz w:val="18"/>
      <w:szCs w:val="18"/>
    </w:rPr>
  </w:style>
  <w:style w:type="character" w:customStyle="1" w:styleId="7">
    <w:name w:val="页脚 Char"/>
    <w:basedOn w:val="4"/>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2021-09-02T03:36:36Z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9C89156186264BCB8A5A3BCA27DECCBE</vt:lpwstr>
  </property>
</Properties>
</file>