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hint="eastAsia"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96597"/>
      <w:bookmarkStart w:id="2" w:name="_Toc52180062"/>
      <w:bookmarkStart w:id="3" w:name="_Toc15377425"/>
      <w:bookmarkStart w:id="4" w:name="_Toc15396475"/>
      <w:bookmarkStart w:id="5" w:name="_Toc15378441"/>
      <w:bookmarkStart w:id="6" w:name="_Toc15377193"/>
      <w:r>
        <w:rPr>
          <w:rFonts w:ascii="黑体" w:hAnsi="黑体" w:eastAsia="黑体"/>
          <w:color w:val="000000"/>
          <w:sz w:val="72"/>
          <w:szCs w:val="72"/>
        </w:rPr>
        <w:t>201</w:t>
      </w:r>
      <w:r>
        <w:rPr>
          <w:rFonts w:hint="eastAsia" w:ascii="黑体" w:hAnsi="黑体" w:eastAsia="黑体"/>
          <w:color w:val="000000"/>
          <w:sz w:val="72"/>
          <w:szCs w:val="72"/>
        </w:rPr>
        <w:t>9</w:t>
      </w:r>
      <w:r>
        <w:rPr>
          <w:rFonts w:hint="eastAsia" w:ascii="方正小标宋简体" w:hAnsi="宋体" w:eastAsia="方正小标宋简体"/>
          <w:color w:val="000000"/>
          <w:sz w:val="72"/>
          <w:szCs w:val="72"/>
        </w:rPr>
        <w:t>年度</w:t>
      </w:r>
      <w:bookmarkEnd w:id="1"/>
      <w:bookmarkEnd w:id="2"/>
      <w:bookmarkEnd w:id="3"/>
      <w:bookmarkEnd w:id="4"/>
      <w:bookmarkEnd w:id="5"/>
      <w:bookmarkEnd w:id="6"/>
    </w:p>
    <w:p>
      <w:pPr>
        <w:adjustRightInd w:val="0"/>
        <w:snapToGrid w:val="0"/>
        <w:spacing w:line="360" w:lineRule="auto"/>
        <w:jc w:val="center"/>
        <w:outlineLvl w:val="0"/>
        <w:rPr>
          <w:rFonts w:ascii="方正小标宋简体" w:hAnsi="宋体" w:eastAsia="方正小标宋简体"/>
          <w:color w:val="000000"/>
          <w:sz w:val="72"/>
          <w:szCs w:val="72"/>
        </w:rPr>
      </w:pPr>
      <w:bookmarkStart w:id="7" w:name="_Toc15396476"/>
      <w:bookmarkStart w:id="8" w:name="_Toc15377194"/>
      <w:bookmarkStart w:id="9" w:name="_Toc15396598"/>
      <w:bookmarkStart w:id="10" w:name="_Toc52180063"/>
      <w:bookmarkStart w:id="11" w:name="_Toc15377426"/>
      <w:bookmarkStart w:id="12" w:name="_Toc15378442"/>
      <w:r>
        <w:rPr>
          <w:rFonts w:hint="eastAsia" w:ascii="方正小标宋简体" w:hAnsi="宋体" w:eastAsia="方正小标宋简体"/>
          <w:color w:val="000000"/>
          <w:sz w:val="72"/>
          <w:szCs w:val="72"/>
        </w:rPr>
        <w:t>盐边县</w:t>
      </w:r>
      <w:bookmarkEnd w:id="0"/>
      <w:bookmarkStart w:id="13" w:name="_Toc15306268"/>
      <w:r>
        <w:rPr>
          <w:rFonts w:hint="eastAsia" w:ascii="方正小标宋简体" w:hAnsi="宋体" w:eastAsia="方正小标宋简体"/>
          <w:color w:val="000000"/>
          <w:sz w:val="72"/>
          <w:szCs w:val="72"/>
        </w:rPr>
        <w:t>委宣传部部门决算</w:t>
      </w:r>
      <w:bookmarkEnd w:id="7"/>
      <w:bookmarkEnd w:id="8"/>
      <w:bookmarkEnd w:id="9"/>
      <w:bookmarkEnd w:id="10"/>
      <w:bookmarkEnd w:id="11"/>
      <w:bookmarkEnd w:id="12"/>
      <w:bookmarkEnd w:id="13"/>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widowControl/>
        <w:jc w:val="center"/>
        <w:rPr>
          <w:rFonts w:ascii="黑体" w:hAnsi="黑体" w:eastAsia="黑体" w:cstheme="minorBidi"/>
          <w:sz w:val="28"/>
          <w:szCs w:val="28"/>
        </w:rPr>
      </w:pPr>
    </w:p>
    <w:p>
      <w:pPr>
        <w:pStyle w:val="10"/>
      </w:pPr>
      <w:r>
        <w:rPr>
          <w:rFonts w:hint="eastAsia"/>
        </w:rPr>
        <w:t>公开时间：2020年10月23日</w:t>
      </w:r>
    </w:p>
    <w:sdt>
      <w:sdtPr>
        <w:rPr>
          <w:rFonts w:ascii="Times New Roman" w:hAnsi="Times New Roman" w:eastAsia="宋体" w:cs="Times New Roman"/>
          <w:b w:val="0"/>
          <w:bCs w:val="0"/>
          <w:color w:val="auto"/>
          <w:kern w:val="2"/>
          <w:sz w:val="21"/>
          <w:szCs w:val="24"/>
          <w:lang w:val="zh-CN"/>
        </w:rPr>
        <w:id w:val="864955229"/>
        <w:docPartObj>
          <w:docPartGallery w:val="Table of Contents"/>
          <w:docPartUnique/>
        </w:docPartObj>
      </w:sdtPr>
      <w:sdtEndPr>
        <w:rPr>
          <w:rFonts w:ascii="Times New Roman" w:hAnsi="Times New Roman" w:eastAsia="宋体" w:cs="Times New Roman"/>
          <w:b w:val="0"/>
          <w:bCs w:val="0"/>
          <w:color w:val="auto"/>
          <w:kern w:val="2"/>
          <w:sz w:val="21"/>
          <w:szCs w:val="24"/>
          <w:lang w:val="en-US"/>
        </w:rPr>
      </w:sdtEndPr>
      <w:sdtContent>
        <w:p>
          <w:pPr>
            <w:pStyle w:val="30"/>
            <w:spacing w:before="0" w:line="240" w:lineRule="auto"/>
          </w:pPr>
          <w:r>
            <w:fldChar w:fldCharType="begin"/>
          </w:r>
          <w:r>
            <w:instrText xml:space="preserve"> TOC \o "1-3" \h \z \u </w:instrText>
          </w:r>
          <w:r>
            <w:fldChar w:fldCharType="separate"/>
          </w:r>
        </w:p>
        <w:p>
          <w:pPr>
            <w:pStyle w:val="10"/>
            <w:rPr>
              <w:rFonts w:asciiTheme="minorHAnsi" w:hAnsiTheme="minorHAnsi" w:eastAsiaTheme="minorEastAsia" w:cstheme="minorBidi"/>
              <w:sz w:val="21"/>
              <w:szCs w:val="22"/>
            </w:rPr>
          </w:pPr>
          <w:r>
            <w:fldChar w:fldCharType="begin"/>
          </w:r>
          <w:r>
            <w:instrText xml:space="preserve"> HYPERLINK \l "_Toc52180065" </w:instrText>
          </w:r>
          <w:r>
            <w:fldChar w:fldCharType="separate"/>
          </w:r>
          <w:r>
            <w:rPr>
              <w:rStyle w:val="16"/>
              <w:rFonts w:hint="eastAsia" w:ascii="黑体" w:hAnsi="黑体" w:eastAsia="黑体"/>
            </w:rPr>
            <w:t>第一部分</w:t>
          </w:r>
          <w:r>
            <w:rPr>
              <w:rStyle w:val="16"/>
              <w:rFonts w:ascii="黑体" w:hAnsi="黑体" w:eastAsia="黑体"/>
            </w:rPr>
            <w:t xml:space="preserve"> </w:t>
          </w:r>
          <w:r>
            <w:rPr>
              <w:rStyle w:val="16"/>
              <w:rFonts w:hint="eastAsia" w:ascii="黑体" w:hAnsi="黑体" w:eastAsia="黑体"/>
            </w:rPr>
            <w:t>部门概况</w:t>
          </w:r>
          <w:r>
            <w:tab/>
          </w:r>
          <w:r>
            <w:rPr>
              <w:rFonts w:hint="eastAsia"/>
            </w:rPr>
            <w:t>4</w:t>
          </w:r>
          <w:r>
            <w:rPr>
              <w:rFonts w:hint="eastAsia"/>
            </w:rPr>
            <w:fldChar w:fldCharType="end"/>
          </w:r>
        </w:p>
        <w:p>
          <w:pPr>
            <w:pStyle w:val="11"/>
            <w:rPr>
              <w:rFonts w:asciiTheme="minorHAnsi" w:hAnsiTheme="minorHAnsi" w:eastAsiaTheme="minorEastAsia" w:cstheme="minorBidi"/>
              <w:szCs w:val="22"/>
            </w:rPr>
          </w:pPr>
          <w:r>
            <w:fldChar w:fldCharType="begin"/>
          </w:r>
          <w:r>
            <w:instrText xml:space="preserve"> HYPERLINK \l "_Toc52180066" </w:instrText>
          </w:r>
          <w:r>
            <w:fldChar w:fldCharType="separate"/>
          </w:r>
          <w:r>
            <w:rPr>
              <w:rStyle w:val="16"/>
              <w:rFonts w:hint="eastAsia" w:ascii="黑体" w:hAnsi="黑体" w:eastAsia="黑体"/>
            </w:rPr>
            <w:t>一、基本职能及主要工作</w:t>
          </w:r>
          <w:r>
            <w:tab/>
          </w:r>
          <w:r>
            <w:fldChar w:fldCharType="begin"/>
          </w:r>
          <w:r>
            <w:instrText xml:space="preserve"> PAGEREF _Toc52180066 \h </w:instrText>
          </w:r>
          <w:r>
            <w:fldChar w:fldCharType="separate"/>
          </w:r>
          <w:r>
            <w:t>4</w:t>
          </w:r>
          <w:r>
            <w:fldChar w:fldCharType="end"/>
          </w:r>
          <w:r>
            <w:fldChar w:fldCharType="end"/>
          </w:r>
        </w:p>
        <w:p>
          <w:pPr>
            <w:pStyle w:val="6"/>
            <w:rPr>
              <w:rFonts w:asciiTheme="minorHAnsi" w:hAnsiTheme="minorHAnsi" w:eastAsiaTheme="minorEastAsia" w:cstheme="minorBidi"/>
              <w:szCs w:val="22"/>
            </w:rPr>
          </w:pPr>
          <w:r>
            <w:fldChar w:fldCharType="begin"/>
          </w:r>
          <w:r>
            <w:instrText xml:space="preserve"> HYPERLINK \l "_Toc52180067" </w:instrText>
          </w:r>
          <w:r>
            <w:fldChar w:fldCharType="separate"/>
          </w:r>
          <w:r>
            <w:rPr>
              <w:rStyle w:val="16"/>
              <w:rFonts w:hint="eastAsia" w:ascii="仿宋" w:hAnsi="仿宋" w:eastAsia="仿宋"/>
              <w:bCs/>
            </w:rPr>
            <w:t>（一）主要职能。（职能参照县政府批准的三定方案）</w:t>
          </w:r>
          <w:r>
            <w:tab/>
          </w:r>
          <w:r>
            <w:rPr>
              <w:rFonts w:hint="eastAsia"/>
            </w:rPr>
            <w:t>5</w:t>
          </w:r>
          <w:r>
            <w:rPr>
              <w:rFonts w:hint="eastAsia"/>
            </w:rPr>
            <w:fldChar w:fldCharType="end"/>
          </w:r>
        </w:p>
        <w:p>
          <w:pPr>
            <w:pStyle w:val="6"/>
            <w:rPr>
              <w:rFonts w:asciiTheme="minorHAnsi" w:hAnsiTheme="minorHAnsi" w:eastAsiaTheme="minorEastAsia" w:cstheme="minorBidi"/>
              <w:szCs w:val="22"/>
            </w:rPr>
          </w:pPr>
          <w:r>
            <w:fldChar w:fldCharType="begin"/>
          </w:r>
          <w:r>
            <w:instrText xml:space="preserve"> HYPERLINK \l "_Toc52180068" </w:instrText>
          </w:r>
          <w:r>
            <w:fldChar w:fldCharType="separate"/>
          </w:r>
          <w:r>
            <w:rPr>
              <w:rStyle w:val="16"/>
              <w:rFonts w:hint="eastAsia" w:ascii="仿宋" w:hAnsi="仿宋" w:eastAsia="仿宋"/>
              <w:bCs/>
            </w:rPr>
            <w:t>（二）</w:t>
          </w:r>
          <w:r>
            <w:rPr>
              <w:rStyle w:val="16"/>
              <w:rFonts w:ascii="仿宋" w:hAnsi="仿宋" w:eastAsia="仿宋"/>
              <w:bCs/>
            </w:rPr>
            <w:t>2019</w:t>
          </w:r>
          <w:r>
            <w:rPr>
              <w:rStyle w:val="16"/>
              <w:rFonts w:hint="eastAsia" w:ascii="仿宋" w:hAnsi="仿宋" w:eastAsia="仿宋"/>
              <w:bCs/>
            </w:rPr>
            <w:t>年重点工作完成情况。</w:t>
          </w:r>
          <w:r>
            <w:tab/>
          </w:r>
          <w:r>
            <w:rPr>
              <w:rFonts w:hint="eastAsia"/>
            </w:rPr>
            <w:t>5</w:t>
          </w:r>
          <w:r>
            <w:rPr>
              <w:rFonts w:hint="eastAsia"/>
            </w:rPr>
            <w:fldChar w:fldCharType="end"/>
          </w:r>
        </w:p>
        <w:p>
          <w:pPr>
            <w:pStyle w:val="11"/>
            <w:rPr>
              <w:rFonts w:asciiTheme="minorHAnsi" w:hAnsiTheme="minorHAnsi" w:eastAsiaTheme="minorEastAsia" w:cstheme="minorBidi"/>
              <w:szCs w:val="22"/>
            </w:rPr>
          </w:pPr>
          <w:r>
            <w:fldChar w:fldCharType="begin"/>
          </w:r>
          <w:r>
            <w:instrText xml:space="preserve"> HYPERLINK \l "_Toc52180069" </w:instrText>
          </w:r>
          <w:r>
            <w:fldChar w:fldCharType="separate"/>
          </w:r>
          <w:r>
            <w:rPr>
              <w:rStyle w:val="16"/>
              <w:rFonts w:hint="eastAsia" w:ascii="黑体" w:eastAsia="黑体"/>
            </w:rPr>
            <w:t>二、</w:t>
          </w:r>
          <w:r>
            <w:rPr>
              <w:rStyle w:val="16"/>
              <w:rFonts w:hint="eastAsia" w:ascii="黑体" w:hAnsi="黑体" w:eastAsia="黑体"/>
            </w:rPr>
            <w:t>机构设置</w:t>
          </w:r>
          <w:r>
            <w:tab/>
          </w:r>
          <w:r>
            <w:rPr>
              <w:rFonts w:hint="eastAsia"/>
            </w:rPr>
            <w:t>5</w:t>
          </w:r>
          <w:r>
            <w:rPr>
              <w:rFonts w:hint="eastAsia"/>
            </w:rPr>
            <w:fldChar w:fldCharType="end"/>
          </w:r>
        </w:p>
        <w:p>
          <w:pPr>
            <w:pStyle w:val="6"/>
            <w:tabs>
              <w:tab w:val="left" w:pos="1470"/>
            </w:tabs>
            <w:rPr>
              <w:rFonts w:asciiTheme="minorHAnsi" w:hAnsiTheme="minorHAnsi" w:eastAsiaTheme="minorEastAsia" w:cstheme="minorBidi"/>
              <w:szCs w:val="22"/>
            </w:rPr>
          </w:pPr>
          <w:r>
            <w:fldChar w:fldCharType="begin"/>
          </w:r>
          <w:r>
            <w:instrText xml:space="preserve"> HYPERLINK \l "_Toc52180070" </w:instrText>
          </w:r>
          <w:r>
            <w:fldChar w:fldCharType="separate"/>
          </w:r>
          <w:r>
            <w:rPr>
              <w:rStyle w:val="16"/>
              <w:rFonts w:ascii="仿宋" w:hAnsi="仿宋" w:eastAsia="仿宋"/>
            </w:rPr>
            <w:t>1.</w:t>
          </w:r>
          <w:r>
            <w:rPr>
              <w:rFonts w:asciiTheme="minorHAnsi" w:hAnsiTheme="minorHAnsi" w:eastAsiaTheme="minorEastAsia" w:cstheme="minorBidi"/>
              <w:szCs w:val="22"/>
            </w:rPr>
            <w:tab/>
          </w:r>
          <w:r>
            <w:rPr>
              <w:rStyle w:val="16"/>
              <w:rFonts w:ascii="仿宋" w:hAnsi="仿宋" w:eastAsia="仿宋"/>
            </w:rPr>
            <w:t>***</w:t>
          </w:r>
          <w:r>
            <w:tab/>
          </w:r>
          <w:r>
            <w:fldChar w:fldCharType="begin"/>
          </w:r>
          <w:r>
            <w:instrText xml:space="preserve"> PAGEREF _Toc52180070 \h </w:instrText>
          </w:r>
          <w:r>
            <w:fldChar w:fldCharType="separate"/>
          </w:r>
          <w:r>
            <w:rPr>
              <w:rFonts w:hint="eastAsia"/>
              <w:b/>
              <w:bCs/>
            </w:rPr>
            <w:t>错误!未定义书签。</w:t>
          </w:r>
          <w:r>
            <w:fldChar w:fldCharType="end"/>
          </w:r>
          <w:r>
            <w:fldChar w:fldCharType="end"/>
          </w:r>
        </w:p>
        <w:p>
          <w:pPr>
            <w:pStyle w:val="6"/>
            <w:tabs>
              <w:tab w:val="left" w:pos="1470"/>
            </w:tabs>
            <w:rPr>
              <w:rFonts w:asciiTheme="minorHAnsi" w:hAnsiTheme="minorHAnsi" w:eastAsiaTheme="minorEastAsia" w:cstheme="minorBidi"/>
              <w:szCs w:val="22"/>
            </w:rPr>
          </w:pPr>
          <w:r>
            <w:fldChar w:fldCharType="begin"/>
          </w:r>
          <w:r>
            <w:instrText xml:space="preserve"> HYPERLINK \l "_Toc52180071" </w:instrText>
          </w:r>
          <w:r>
            <w:fldChar w:fldCharType="separate"/>
          </w:r>
          <w:r>
            <w:rPr>
              <w:rStyle w:val="16"/>
              <w:rFonts w:ascii="仿宋" w:hAnsi="仿宋" w:eastAsia="仿宋"/>
            </w:rPr>
            <w:t>2.</w:t>
          </w:r>
          <w:r>
            <w:rPr>
              <w:rFonts w:asciiTheme="minorHAnsi" w:hAnsiTheme="minorHAnsi" w:eastAsiaTheme="minorEastAsia" w:cstheme="minorBidi"/>
              <w:szCs w:val="22"/>
            </w:rPr>
            <w:tab/>
          </w:r>
          <w:r>
            <w:rPr>
              <w:rStyle w:val="16"/>
              <w:rFonts w:ascii="仿宋" w:hAnsi="仿宋" w:eastAsia="仿宋"/>
            </w:rPr>
            <w:t>***</w:t>
          </w:r>
          <w:r>
            <w:tab/>
          </w:r>
          <w:r>
            <w:fldChar w:fldCharType="begin"/>
          </w:r>
          <w:r>
            <w:instrText xml:space="preserve"> PAGEREF _Toc52180071 \h </w:instrText>
          </w:r>
          <w:r>
            <w:fldChar w:fldCharType="separate"/>
          </w:r>
          <w:r>
            <w:rPr>
              <w:rFonts w:hint="eastAsia"/>
              <w:b/>
              <w:bCs/>
            </w:rPr>
            <w:t>错误!未定义书签。</w:t>
          </w:r>
          <w:r>
            <w:fldChar w:fldCharType="end"/>
          </w:r>
          <w:r>
            <w:fldChar w:fldCharType="end"/>
          </w:r>
        </w:p>
        <w:p>
          <w:pPr>
            <w:pStyle w:val="6"/>
            <w:tabs>
              <w:tab w:val="left" w:pos="1470"/>
            </w:tabs>
            <w:rPr>
              <w:rFonts w:asciiTheme="minorHAnsi" w:hAnsiTheme="minorHAnsi" w:eastAsiaTheme="minorEastAsia" w:cstheme="minorBidi"/>
              <w:szCs w:val="22"/>
            </w:rPr>
          </w:pPr>
          <w:r>
            <w:fldChar w:fldCharType="begin"/>
          </w:r>
          <w:r>
            <w:instrText xml:space="preserve"> HYPERLINK \l "_Toc52180072" </w:instrText>
          </w:r>
          <w:r>
            <w:fldChar w:fldCharType="separate"/>
          </w:r>
          <w:r>
            <w:rPr>
              <w:rStyle w:val="16"/>
              <w:rFonts w:ascii="仿宋" w:hAnsi="仿宋" w:eastAsia="仿宋"/>
            </w:rPr>
            <w:t>3.</w:t>
          </w:r>
          <w:r>
            <w:rPr>
              <w:rFonts w:asciiTheme="minorHAnsi" w:hAnsiTheme="minorHAnsi" w:eastAsiaTheme="minorEastAsia" w:cstheme="minorBidi"/>
              <w:szCs w:val="22"/>
            </w:rPr>
            <w:tab/>
          </w:r>
          <w:r>
            <w:rPr>
              <w:rStyle w:val="16"/>
              <w:rFonts w:ascii="仿宋" w:hAnsi="仿宋" w:eastAsia="仿宋"/>
            </w:rPr>
            <w:t>***</w:t>
          </w:r>
          <w:r>
            <w:tab/>
          </w:r>
          <w:r>
            <w:fldChar w:fldCharType="begin"/>
          </w:r>
          <w:r>
            <w:instrText xml:space="preserve"> PAGEREF _Toc52180072 \h </w:instrText>
          </w:r>
          <w:r>
            <w:fldChar w:fldCharType="separate"/>
          </w:r>
          <w:r>
            <w:rPr>
              <w:rFonts w:hint="eastAsia"/>
              <w:b/>
              <w:bCs/>
            </w:rPr>
            <w:t>错误!未定义书签。</w:t>
          </w:r>
          <w:r>
            <w:fldChar w:fldCharType="end"/>
          </w:r>
          <w:r>
            <w:fldChar w:fldCharType="end"/>
          </w:r>
        </w:p>
        <w:p>
          <w:pPr>
            <w:pStyle w:val="10"/>
            <w:rPr>
              <w:rFonts w:asciiTheme="minorHAnsi" w:hAnsiTheme="minorHAnsi" w:eastAsiaTheme="minorEastAsia" w:cstheme="minorBidi"/>
              <w:sz w:val="21"/>
              <w:szCs w:val="22"/>
            </w:rPr>
          </w:pPr>
          <w:r>
            <w:fldChar w:fldCharType="begin"/>
          </w:r>
          <w:r>
            <w:instrText xml:space="preserve"> HYPERLINK \l "_Toc52180073" </w:instrText>
          </w:r>
          <w:r>
            <w:fldChar w:fldCharType="separate"/>
          </w:r>
          <w:r>
            <w:rPr>
              <w:rStyle w:val="16"/>
              <w:rFonts w:hint="eastAsia" w:ascii="黑体" w:hAnsi="黑体" w:eastAsia="黑体"/>
            </w:rPr>
            <w:t>第二部分</w:t>
          </w:r>
          <w:r>
            <w:rPr>
              <w:rStyle w:val="16"/>
              <w:rFonts w:ascii="黑体" w:hAnsi="黑体" w:eastAsia="黑体"/>
            </w:rPr>
            <w:t xml:space="preserve"> 2019</w:t>
          </w:r>
          <w:r>
            <w:rPr>
              <w:rStyle w:val="16"/>
              <w:rFonts w:hint="eastAsia" w:ascii="黑体" w:hAnsi="黑体" w:eastAsia="黑体"/>
            </w:rPr>
            <w:t>年度部门决算情况说明</w:t>
          </w:r>
          <w:r>
            <w:tab/>
          </w:r>
          <w:r>
            <w:fldChar w:fldCharType="begin"/>
          </w:r>
          <w:r>
            <w:instrText xml:space="preserve"> PAGEREF _Toc52180073 \h </w:instrText>
          </w:r>
          <w:r>
            <w:fldChar w:fldCharType="separate"/>
          </w:r>
          <w:r>
            <w:t>6</w:t>
          </w:r>
          <w:r>
            <w:fldChar w:fldCharType="end"/>
          </w:r>
          <w:r>
            <w:fldChar w:fldCharType="end"/>
          </w:r>
        </w:p>
        <w:p>
          <w:pPr>
            <w:pStyle w:val="11"/>
            <w:tabs>
              <w:tab w:val="left" w:pos="1260"/>
            </w:tabs>
            <w:rPr>
              <w:rFonts w:asciiTheme="minorHAnsi" w:hAnsiTheme="minorHAnsi" w:eastAsiaTheme="minorEastAsia" w:cstheme="minorBidi"/>
              <w:szCs w:val="22"/>
            </w:rPr>
          </w:pPr>
          <w:r>
            <w:fldChar w:fldCharType="begin"/>
          </w:r>
          <w:r>
            <w:instrText xml:space="preserve"> HYPERLINK \l "_Toc52180074" </w:instrText>
          </w:r>
          <w:r>
            <w:fldChar w:fldCharType="separate"/>
          </w:r>
          <w:r>
            <w:rPr>
              <w:rStyle w:val="16"/>
              <w:rFonts w:hint="eastAsia" w:ascii="黑体" w:hAnsi="黑体" w:eastAsia="黑体" w:cstheme="majorBidi"/>
              <w:bCs/>
            </w:rPr>
            <w:t>一、</w:t>
          </w:r>
          <w:r>
            <w:rPr>
              <w:rFonts w:asciiTheme="minorHAnsi" w:hAnsiTheme="minorHAnsi" w:eastAsiaTheme="minorEastAsia" w:cstheme="minorBidi"/>
              <w:szCs w:val="22"/>
            </w:rPr>
            <w:tab/>
          </w:r>
          <w:r>
            <w:rPr>
              <w:rStyle w:val="16"/>
              <w:rFonts w:hint="eastAsia" w:ascii="黑体" w:hAnsi="黑体" w:eastAsia="黑体"/>
            </w:rPr>
            <w:t>收</w:t>
          </w:r>
          <w:r>
            <w:rPr>
              <w:rStyle w:val="16"/>
              <w:rFonts w:hint="eastAsia" w:ascii="黑体" w:hAnsi="黑体" w:eastAsia="黑体" w:cstheme="majorBidi"/>
              <w:bCs/>
            </w:rPr>
            <w:t>入支出决算总体情况说明</w:t>
          </w:r>
          <w:r>
            <w:tab/>
          </w:r>
          <w:r>
            <w:fldChar w:fldCharType="begin"/>
          </w:r>
          <w:r>
            <w:instrText xml:space="preserve"> PAGEREF _Toc52180074 \h </w:instrText>
          </w:r>
          <w:r>
            <w:fldChar w:fldCharType="separate"/>
          </w:r>
          <w:r>
            <w:t>7</w:t>
          </w:r>
          <w:r>
            <w:fldChar w:fldCharType="end"/>
          </w:r>
          <w:r>
            <w:fldChar w:fldCharType="end"/>
          </w:r>
        </w:p>
        <w:p>
          <w:pPr>
            <w:pStyle w:val="11"/>
            <w:tabs>
              <w:tab w:val="left" w:pos="1260"/>
            </w:tabs>
            <w:rPr>
              <w:rFonts w:asciiTheme="minorHAnsi" w:hAnsiTheme="minorHAnsi" w:eastAsiaTheme="minorEastAsia" w:cstheme="minorBidi"/>
              <w:szCs w:val="22"/>
            </w:rPr>
          </w:pPr>
          <w:r>
            <w:fldChar w:fldCharType="begin"/>
          </w:r>
          <w:r>
            <w:instrText xml:space="preserve"> HYPERLINK \l "_Toc52180075" </w:instrText>
          </w:r>
          <w:r>
            <w:fldChar w:fldCharType="separate"/>
          </w:r>
          <w:r>
            <w:rPr>
              <w:rStyle w:val="16"/>
              <w:rFonts w:hint="eastAsia" w:ascii="黑体" w:hAnsi="黑体" w:eastAsia="黑体" w:cstheme="majorBidi"/>
              <w:bCs/>
            </w:rPr>
            <w:t>二、</w:t>
          </w:r>
          <w:r>
            <w:rPr>
              <w:rFonts w:asciiTheme="minorHAnsi" w:hAnsiTheme="minorHAnsi" w:eastAsiaTheme="minorEastAsia" w:cstheme="minorBidi"/>
              <w:szCs w:val="22"/>
            </w:rPr>
            <w:tab/>
          </w:r>
          <w:r>
            <w:rPr>
              <w:rStyle w:val="16"/>
              <w:rFonts w:hint="eastAsia" w:ascii="黑体" w:hAnsi="黑体" w:eastAsia="黑体"/>
            </w:rPr>
            <w:t>收</w:t>
          </w:r>
          <w:r>
            <w:rPr>
              <w:rStyle w:val="16"/>
              <w:rFonts w:hint="eastAsia" w:ascii="黑体" w:hAnsi="黑体" w:eastAsia="黑体" w:cstheme="majorBidi"/>
              <w:bCs/>
            </w:rPr>
            <w:t>入决算情况说明</w:t>
          </w:r>
          <w:r>
            <w:tab/>
          </w:r>
          <w:r>
            <w:fldChar w:fldCharType="begin"/>
          </w:r>
          <w:r>
            <w:instrText xml:space="preserve"> PAGEREF _Toc52180075 \h </w:instrText>
          </w:r>
          <w:r>
            <w:fldChar w:fldCharType="separate"/>
          </w:r>
          <w:r>
            <w:t>7</w:t>
          </w:r>
          <w:r>
            <w:fldChar w:fldCharType="end"/>
          </w:r>
          <w:r>
            <w:fldChar w:fldCharType="end"/>
          </w:r>
        </w:p>
        <w:p>
          <w:pPr>
            <w:pStyle w:val="11"/>
            <w:tabs>
              <w:tab w:val="left" w:pos="1260"/>
            </w:tabs>
            <w:rPr>
              <w:rFonts w:asciiTheme="minorHAnsi" w:hAnsiTheme="minorHAnsi" w:eastAsiaTheme="minorEastAsia" w:cstheme="minorBidi"/>
              <w:szCs w:val="22"/>
            </w:rPr>
          </w:pPr>
          <w:r>
            <w:fldChar w:fldCharType="begin"/>
          </w:r>
          <w:r>
            <w:instrText xml:space="preserve"> HYPERLINK \l "_Toc52180077" </w:instrText>
          </w:r>
          <w:r>
            <w:fldChar w:fldCharType="separate"/>
          </w:r>
          <w:r>
            <w:rPr>
              <w:rStyle w:val="16"/>
              <w:rFonts w:hint="eastAsia" w:ascii="黑体" w:hAnsi="黑体" w:eastAsia="黑体" w:cstheme="majorBidi"/>
              <w:bCs/>
            </w:rPr>
            <w:t>三、</w:t>
          </w:r>
          <w:r>
            <w:rPr>
              <w:rFonts w:asciiTheme="minorHAnsi" w:hAnsiTheme="minorHAnsi" w:eastAsiaTheme="minorEastAsia" w:cstheme="minorBidi"/>
              <w:szCs w:val="22"/>
            </w:rPr>
            <w:tab/>
          </w:r>
          <w:r>
            <w:rPr>
              <w:rStyle w:val="16"/>
              <w:rFonts w:hint="eastAsia" w:ascii="黑体" w:hAnsi="黑体" w:eastAsia="黑体"/>
            </w:rPr>
            <w:t>支</w:t>
          </w:r>
          <w:r>
            <w:rPr>
              <w:rStyle w:val="16"/>
              <w:rFonts w:hint="eastAsia" w:ascii="黑体" w:hAnsi="黑体" w:eastAsia="黑体" w:cstheme="majorBidi"/>
              <w:bCs/>
            </w:rPr>
            <w:t>出决算情况说明</w:t>
          </w:r>
          <w:r>
            <w:tab/>
          </w:r>
          <w:r>
            <w:fldChar w:fldCharType="begin"/>
          </w:r>
          <w:r>
            <w:instrText xml:space="preserve"> PAGEREF _Toc52180077 \h </w:instrText>
          </w:r>
          <w:r>
            <w:fldChar w:fldCharType="separate"/>
          </w:r>
          <w:r>
            <w:t>8</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"_Toc52180079" </w:instrText>
          </w:r>
          <w:r>
            <w:fldChar w:fldCharType="separate"/>
          </w:r>
          <w:r>
            <w:rPr>
              <w:rStyle w:val="16"/>
              <w:rFonts w:hint="eastAsia" w:ascii="黑体" w:hAnsi="黑体" w:eastAsia="黑体"/>
            </w:rPr>
            <w:t>四、财</w:t>
          </w:r>
          <w:r>
            <w:rPr>
              <w:rStyle w:val="16"/>
              <w:rFonts w:hint="eastAsia" w:ascii="黑体" w:hAnsi="黑体" w:eastAsia="黑体" w:cstheme="majorBidi"/>
              <w:bCs/>
            </w:rPr>
            <w:t>政拨款收入支出决算总体情况说明</w:t>
          </w:r>
          <w:r>
            <w:tab/>
          </w:r>
          <w:r>
            <w:fldChar w:fldCharType="begin"/>
          </w:r>
          <w:r>
            <w:instrText xml:space="preserve"> PAGEREF _Toc52180079 \h </w:instrText>
          </w:r>
          <w:r>
            <w:fldChar w:fldCharType="separate"/>
          </w:r>
          <w:r>
            <w:t>8</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"_Toc52180080" </w:instrText>
          </w:r>
          <w:r>
            <w:fldChar w:fldCharType="separate"/>
          </w:r>
          <w:r>
            <w:rPr>
              <w:rStyle w:val="16"/>
              <w:rFonts w:hint="eastAsia" w:ascii="黑体" w:hAnsi="黑体" w:eastAsia="黑体"/>
            </w:rPr>
            <w:t>五、</w:t>
          </w:r>
          <w:r>
            <w:rPr>
              <w:rStyle w:val="16"/>
              <w:rFonts w:hint="eastAsia" w:ascii="黑体" w:hAnsi="黑体" w:eastAsia="黑体"/>
              <w:b/>
            </w:rPr>
            <w:t>一</w:t>
          </w:r>
          <w:r>
            <w:rPr>
              <w:rStyle w:val="16"/>
              <w:rFonts w:hint="eastAsia" w:ascii="黑体" w:hAnsi="黑体" w:eastAsia="黑体" w:cstheme="majorBidi"/>
              <w:bCs/>
            </w:rPr>
            <w:t>般公共预算财政拨款支出决算情况说明</w:t>
          </w:r>
          <w:r>
            <w:tab/>
          </w:r>
          <w:r>
            <w:fldChar w:fldCharType="begin"/>
          </w:r>
          <w:r>
            <w:instrText xml:space="preserve"> PAGEREF _Toc52180080 \h </w:instrText>
          </w:r>
          <w:r>
            <w:fldChar w:fldCharType="separate"/>
          </w:r>
          <w:r>
            <w:t>9</w:t>
          </w:r>
          <w:r>
            <w:fldChar w:fldCharType="end"/>
          </w:r>
          <w:r>
            <w:fldChar w:fldCharType="end"/>
          </w:r>
        </w:p>
        <w:p>
          <w:pPr>
            <w:pStyle w:val="6"/>
            <w:rPr>
              <w:rFonts w:asciiTheme="minorHAnsi" w:hAnsiTheme="minorHAnsi" w:eastAsiaTheme="minorEastAsia" w:cstheme="minorBidi"/>
              <w:szCs w:val="22"/>
            </w:rPr>
          </w:pPr>
          <w:r>
            <w:fldChar w:fldCharType="begin"/>
          </w:r>
          <w:r>
            <w:instrText xml:space="preserve"> HYPERLINK \l "_Toc52180081" </w:instrText>
          </w:r>
          <w:r>
            <w:fldChar w:fldCharType="separate"/>
          </w:r>
          <w:r>
            <w:rPr>
              <w:rStyle w:val="16"/>
              <w:rFonts w:hint="eastAsia" w:ascii="仿宋" w:hAnsi="仿宋" w:eastAsia="仿宋"/>
              <w:b/>
            </w:rPr>
            <w:t>（一）一般公共预算财政拨款支出决算总体情况</w:t>
          </w:r>
          <w:r>
            <w:tab/>
          </w:r>
          <w:r>
            <w:fldChar w:fldCharType="begin"/>
          </w:r>
          <w:r>
            <w:instrText xml:space="preserve"> PAGEREF _Toc52180081 \h </w:instrText>
          </w:r>
          <w:r>
            <w:fldChar w:fldCharType="separate"/>
          </w:r>
          <w:r>
            <w:t>9</w:t>
          </w:r>
          <w:r>
            <w:fldChar w:fldCharType="end"/>
          </w:r>
          <w:r>
            <w:fldChar w:fldCharType="end"/>
          </w:r>
        </w:p>
        <w:p>
          <w:pPr>
            <w:pStyle w:val="6"/>
            <w:rPr>
              <w:rFonts w:asciiTheme="minorHAnsi" w:hAnsiTheme="minorHAnsi" w:eastAsiaTheme="minorEastAsia" w:cstheme="minorBidi"/>
              <w:szCs w:val="22"/>
            </w:rPr>
          </w:pPr>
          <w:r>
            <w:fldChar w:fldCharType="begin"/>
          </w:r>
          <w:r>
            <w:instrText xml:space="preserve"> HYPERLINK \l "_Toc52180082" </w:instrText>
          </w:r>
          <w:r>
            <w:fldChar w:fldCharType="separate"/>
          </w:r>
          <w:r>
            <w:rPr>
              <w:rStyle w:val="16"/>
              <w:rFonts w:hint="eastAsia" w:ascii="仿宋" w:hAnsi="仿宋" w:eastAsia="仿宋"/>
              <w:b/>
            </w:rPr>
            <w:t>（二）一般公共预算财政拨款支出决算结构情况</w:t>
          </w:r>
          <w:r>
            <w:tab/>
          </w:r>
          <w:r>
            <w:fldChar w:fldCharType="begin"/>
          </w:r>
          <w:r>
            <w:instrText xml:space="preserve"> PAGEREF _Toc52180082 \h </w:instrText>
          </w:r>
          <w:r>
            <w:fldChar w:fldCharType="separate"/>
          </w:r>
          <w:r>
            <w:t>9</w:t>
          </w:r>
          <w:r>
            <w:fldChar w:fldCharType="end"/>
          </w:r>
          <w:r>
            <w:fldChar w:fldCharType="end"/>
          </w:r>
        </w:p>
        <w:p>
          <w:pPr>
            <w:pStyle w:val="6"/>
            <w:rPr>
              <w:rFonts w:asciiTheme="minorHAnsi" w:hAnsiTheme="minorHAnsi" w:eastAsiaTheme="minorEastAsia" w:cstheme="minorBidi"/>
              <w:szCs w:val="22"/>
            </w:rPr>
          </w:pPr>
          <w:r>
            <w:fldChar w:fldCharType="begin"/>
          </w:r>
          <w:r>
            <w:instrText xml:space="preserve"> HYPERLINK \l "_Toc52180083" </w:instrText>
          </w:r>
          <w:r>
            <w:fldChar w:fldCharType="separate"/>
          </w:r>
          <w:r>
            <w:rPr>
              <w:rStyle w:val="16"/>
              <w:rFonts w:hint="eastAsia" w:ascii="仿宋" w:hAnsi="仿宋" w:eastAsia="仿宋"/>
              <w:b/>
            </w:rPr>
            <w:t>（三）一般公共预算财政拨款支出决算具体情况</w:t>
          </w:r>
          <w:r>
            <w:tab/>
          </w:r>
          <w:r>
            <w:fldChar w:fldCharType="begin"/>
          </w:r>
          <w:r>
            <w:instrText xml:space="preserve"> PAGEREF _Toc52180083 \h </w:instrText>
          </w:r>
          <w:r>
            <w:fldChar w:fldCharType="separate"/>
          </w:r>
          <w:r>
            <w:t>10</w:t>
          </w:r>
          <w:r>
            <w:fldChar w:fldCharType="end"/>
          </w:r>
          <w:r>
            <w:fldChar w:fldCharType="end"/>
          </w:r>
        </w:p>
        <w:p>
          <w:pPr>
            <w:pStyle w:val="6"/>
            <w:rPr>
              <w:rFonts w:asciiTheme="minorHAnsi" w:hAnsiTheme="minorHAnsi" w:eastAsiaTheme="minorEastAsia" w:cstheme="minorBidi"/>
              <w:szCs w:val="22"/>
            </w:rPr>
          </w:pPr>
          <w:r>
            <w:fldChar w:fldCharType="begin"/>
          </w:r>
          <w:r>
            <w:instrText xml:space="preserve"> HYPERLINK \l "_Toc52180084" </w:instrText>
          </w:r>
          <w:r>
            <w:fldChar w:fldCharType="separate"/>
          </w:r>
          <w:r>
            <w:rPr>
              <w:rStyle w:val="16"/>
              <w:rFonts w:ascii="仿宋" w:hAnsi="仿宋" w:eastAsia="仿宋"/>
              <w:b/>
            </w:rPr>
            <w:t>2019</w:t>
          </w:r>
          <w:r>
            <w:rPr>
              <w:rStyle w:val="16"/>
              <w:rFonts w:hint="eastAsia" w:ascii="仿宋" w:hAnsi="仿宋" w:eastAsia="仿宋"/>
              <w:b/>
            </w:rPr>
            <w:t>年般公共预算支出决算数为</w:t>
          </w:r>
          <w:r>
            <w:rPr>
              <w:rStyle w:val="16"/>
              <w:rFonts w:ascii="仿宋" w:hAnsi="仿宋" w:eastAsia="仿宋"/>
              <w:b/>
            </w:rPr>
            <w:t>**</w:t>
          </w:r>
          <w:r>
            <w:rPr>
              <w:rStyle w:val="16"/>
              <w:rFonts w:hint="eastAsia" w:ascii="仿宋" w:hAnsi="仿宋" w:eastAsia="仿宋"/>
            </w:rPr>
            <w:t>，</w:t>
          </w:r>
          <w:r>
            <w:rPr>
              <w:rStyle w:val="16"/>
              <w:rFonts w:hint="eastAsia" w:ascii="仿宋" w:hAnsi="仿宋" w:eastAsia="仿宋"/>
              <w:b/>
              <w:bCs/>
            </w:rPr>
            <w:t>完成预算</w:t>
          </w:r>
          <w:r>
            <w:rPr>
              <w:rStyle w:val="16"/>
              <w:rFonts w:ascii="仿宋" w:hAnsi="仿宋" w:eastAsia="仿宋"/>
              <w:b/>
              <w:bCs/>
            </w:rPr>
            <w:t>**%</w:t>
          </w:r>
          <w:r>
            <w:rPr>
              <w:rStyle w:val="16"/>
              <w:rFonts w:hint="eastAsia" w:ascii="仿宋" w:hAnsi="仿宋" w:eastAsia="仿宋"/>
              <w:b/>
              <w:bCs/>
            </w:rPr>
            <w:t>。其中：</w:t>
          </w:r>
          <w:r>
            <w:tab/>
          </w:r>
          <w:r>
            <w:fldChar w:fldCharType="begin"/>
          </w:r>
          <w:r>
            <w:instrText xml:space="preserve"> PAGEREF _Toc52180084 \h </w:instrText>
          </w:r>
          <w:r>
            <w:fldChar w:fldCharType="separate"/>
          </w:r>
          <w:r>
            <w:t>10</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"_Toc52180085" </w:instrText>
          </w:r>
          <w:r>
            <w:fldChar w:fldCharType="separate"/>
          </w:r>
          <w:r>
            <w:rPr>
              <w:rStyle w:val="16"/>
              <w:rFonts w:hint="eastAsia" w:ascii="黑体" w:eastAsia="黑体"/>
            </w:rPr>
            <w:t>六</w:t>
          </w:r>
          <w:r>
            <w:rPr>
              <w:rStyle w:val="16"/>
              <w:rFonts w:hint="eastAsia" w:ascii="黑体" w:eastAsia="黑体"/>
              <w:b/>
            </w:rPr>
            <w:t>、</w:t>
          </w:r>
          <w:r>
            <w:rPr>
              <w:rStyle w:val="16"/>
              <w:rFonts w:hint="eastAsia" w:ascii="黑体" w:hAnsi="黑体" w:eastAsia="黑体"/>
              <w:b/>
            </w:rPr>
            <w:t>一</w:t>
          </w:r>
          <w:r>
            <w:rPr>
              <w:rStyle w:val="16"/>
              <w:rFonts w:hint="eastAsia" w:ascii="黑体" w:hAnsi="黑体" w:eastAsia="黑体" w:cstheme="majorBidi"/>
              <w:bCs/>
            </w:rPr>
            <w:t>般公共预算财政拨款基本支出决算情况说明</w:t>
          </w:r>
          <w:r>
            <w:tab/>
          </w:r>
          <w:r>
            <w:fldChar w:fldCharType="begin"/>
          </w:r>
          <w:r>
            <w:instrText xml:space="preserve"> PAGEREF _Toc52180085 \h </w:instrText>
          </w:r>
          <w:r>
            <w:fldChar w:fldCharType="separate"/>
          </w:r>
          <w:r>
            <w:t>10</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"_Toc52180086" </w:instrText>
          </w:r>
          <w:r>
            <w:fldChar w:fldCharType="separate"/>
          </w:r>
          <w:r>
            <w:rPr>
              <w:rStyle w:val="16"/>
              <w:rFonts w:hint="eastAsia" w:ascii="黑体" w:eastAsia="黑体"/>
            </w:rPr>
            <w:t>七、</w:t>
          </w:r>
          <w:r>
            <w:rPr>
              <w:rStyle w:val="16"/>
              <w:rFonts w:ascii="黑体" w:hAnsi="黑体" w:eastAsia="黑体" w:cstheme="majorBidi"/>
              <w:b/>
              <w:bCs/>
            </w:rPr>
            <w:t>“</w:t>
          </w:r>
          <w:r>
            <w:rPr>
              <w:rStyle w:val="16"/>
              <w:rFonts w:hint="eastAsia" w:ascii="黑体" w:hAnsi="黑体" w:eastAsia="黑体" w:cstheme="majorBidi"/>
              <w:bCs/>
            </w:rPr>
            <w:t>三公”经费财政拨款支出决算情况说明</w:t>
          </w:r>
          <w:r>
            <w:tab/>
          </w:r>
          <w:r>
            <w:fldChar w:fldCharType="begin"/>
          </w:r>
          <w:r>
            <w:instrText xml:space="preserve"> PAGEREF _Toc52180086 \h </w:instrText>
          </w:r>
          <w:r>
            <w:fldChar w:fldCharType="separate"/>
          </w:r>
          <w:r>
            <w:t>11</w:t>
          </w:r>
          <w:r>
            <w:fldChar w:fldCharType="end"/>
          </w:r>
          <w:r>
            <w:fldChar w:fldCharType="end"/>
          </w:r>
        </w:p>
        <w:p>
          <w:pPr>
            <w:pStyle w:val="6"/>
            <w:rPr>
              <w:rFonts w:asciiTheme="minorHAnsi" w:hAnsiTheme="minorHAnsi" w:eastAsiaTheme="minorEastAsia" w:cstheme="minorBidi"/>
              <w:szCs w:val="22"/>
            </w:rPr>
          </w:pPr>
          <w:r>
            <w:fldChar w:fldCharType="begin"/>
          </w:r>
          <w:r>
            <w:instrText xml:space="preserve"> HYPERLINK \l "_Toc52180087" </w:instrText>
          </w:r>
          <w:r>
            <w:fldChar w:fldCharType="separate"/>
          </w:r>
          <w:r>
            <w:rPr>
              <w:rStyle w:val="16"/>
              <w:rFonts w:hint="eastAsia" w:ascii="仿宋" w:hAnsi="仿宋" w:eastAsia="仿宋"/>
              <w:b/>
            </w:rPr>
            <w:t>（一）“三公”经费财政拨款支出决算总体情况说明</w:t>
          </w:r>
          <w:r>
            <w:tab/>
          </w:r>
          <w:r>
            <w:fldChar w:fldCharType="begin"/>
          </w:r>
          <w:r>
            <w:instrText xml:space="preserve"> PAGEREF _Toc52180087 \h </w:instrText>
          </w:r>
          <w:r>
            <w:fldChar w:fldCharType="separate"/>
          </w:r>
          <w:r>
            <w:t>11</w:t>
          </w:r>
          <w:r>
            <w:fldChar w:fldCharType="end"/>
          </w:r>
          <w:r>
            <w:fldChar w:fldCharType="end"/>
          </w:r>
        </w:p>
        <w:p>
          <w:pPr>
            <w:pStyle w:val="6"/>
            <w:rPr>
              <w:rFonts w:asciiTheme="minorHAnsi" w:hAnsiTheme="minorHAnsi" w:eastAsiaTheme="minorEastAsia" w:cstheme="minorBidi"/>
              <w:szCs w:val="22"/>
            </w:rPr>
          </w:pPr>
          <w:r>
            <w:fldChar w:fldCharType="begin"/>
          </w:r>
          <w:r>
            <w:instrText xml:space="preserve"> HYPERLINK \l "_Toc52180088" </w:instrText>
          </w:r>
          <w:r>
            <w:fldChar w:fldCharType="separate"/>
          </w:r>
          <w:r>
            <w:rPr>
              <w:rStyle w:val="16"/>
              <w:rFonts w:hint="eastAsia" w:ascii="仿宋" w:hAnsi="仿宋" w:eastAsia="仿宋"/>
              <w:b/>
            </w:rPr>
            <w:t>（二）“三公”经费财政拨款支出决算具体情况说明</w:t>
          </w:r>
          <w:r>
            <w:tab/>
          </w:r>
          <w:r>
            <w:fldChar w:fldCharType="begin"/>
          </w:r>
          <w:r>
            <w:instrText xml:space="preserve"> PAGEREF _Toc52180088 \h </w:instrText>
          </w:r>
          <w:r>
            <w:fldChar w:fldCharType="separate"/>
          </w:r>
          <w:r>
            <w:t>11</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"_Toc52180089" </w:instrText>
          </w:r>
          <w:r>
            <w:fldChar w:fldCharType="separate"/>
          </w:r>
          <w:r>
            <w:rPr>
              <w:rStyle w:val="16"/>
              <w:rFonts w:hint="eastAsia" w:ascii="黑体" w:eastAsia="黑体"/>
            </w:rPr>
            <w:t>八、</w:t>
          </w:r>
          <w:r>
            <w:rPr>
              <w:rStyle w:val="16"/>
              <w:rFonts w:hint="eastAsia" w:ascii="黑体" w:hAnsi="黑体" w:eastAsia="黑体" w:cstheme="majorBidi"/>
              <w:bCs/>
            </w:rPr>
            <w:t>政府性基金预算支出决算情况说明</w:t>
          </w:r>
          <w:r>
            <w:tab/>
          </w:r>
          <w:r>
            <w:fldChar w:fldCharType="begin"/>
          </w:r>
          <w:r>
            <w:instrText xml:space="preserve"> PAGEREF _Toc52180089 \h </w:instrText>
          </w:r>
          <w:r>
            <w:fldChar w:fldCharType="separate"/>
          </w:r>
          <w:r>
            <w:t>12</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"_Toc52180090" </w:instrText>
          </w:r>
          <w:r>
            <w:fldChar w:fldCharType="separate"/>
          </w:r>
          <w:r>
            <w:rPr>
              <w:rStyle w:val="16"/>
              <w:rFonts w:hint="eastAsia" w:ascii="黑体" w:hAnsi="黑体" w:eastAsia="黑体" w:cstheme="majorBidi"/>
              <w:bCs/>
            </w:rPr>
            <w:t>九、 国有资本经营预算支出决算情况说明</w:t>
          </w:r>
          <w:r>
            <w:tab/>
          </w:r>
          <w:r>
            <w:fldChar w:fldCharType="begin"/>
          </w:r>
          <w:r>
            <w:instrText xml:space="preserve"> PAGEREF _Toc52180090 \h </w:instrText>
          </w:r>
          <w:r>
            <w:fldChar w:fldCharType="separate"/>
          </w:r>
          <w:r>
            <w:t>12</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"_Toc52180091" </w:instrText>
          </w:r>
          <w:r>
            <w:fldChar w:fldCharType="separate"/>
          </w:r>
          <w:r>
            <w:rPr>
              <w:rStyle w:val="16"/>
              <w:rFonts w:hint="eastAsia" w:ascii="黑体" w:hAnsi="黑体" w:eastAsia="黑体"/>
            </w:rPr>
            <w:t>十</w:t>
          </w:r>
          <w:r>
            <w:rPr>
              <w:rStyle w:val="16"/>
              <w:rFonts w:hint="eastAsia" w:ascii="黑体" w:hAnsi="黑体" w:eastAsia="黑体" w:cstheme="majorBidi"/>
              <w:b/>
              <w:bCs/>
            </w:rPr>
            <w:t>、</w:t>
          </w:r>
          <w:r>
            <w:rPr>
              <w:rStyle w:val="16"/>
              <w:rFonts w:hint="eastAsia" w:ascii="黑体" w:hAnsi="黑体" w:eastAsia="黑体" w:cstheme="majorBidi"/>
              <w:bCs/>
            </w:rPr>
            <w:t>其他重要事项的情况说明</w:t>
          </w:r>
          <w:r>
            <w:tab/>
          </w:r>
          <w:r>
            <w:fldChar w:fldCharType="begin"/>
          </w:r>
          <w:r>
            <w:instrText xml:space="preserve"> PAGEREF _Toc52180091 \h </w:instrText>
          </w:r>
          <w:r>
            <w:fldChar w:fldCharType="separate"/>
          </w:r>
          <w:r>
            <w:t>13</w:t>
          </w:r>
          <w:r>
            <w:fldChar w:fldCharType="end"/>
          </w:r>
          <w:r>
            <w:fldChar w:fldCharType="end"/>
          </w:r>
        </w:p>
        <w:p>
          <w:pPr>
            <w:pStyle w:val="6"/>
            <w:rPr>
              <w:rFonts w:asciiTheme="minorHAnsi" w:hAnsiTheme="minorHAnsi" w:eastAsiaTheme="minorEastAsia" w:cstheme="minorBidi"/>
              <w:szCs w:val="22"/>
            </w:rPr>
          </w:pPr>
          <w:r>
            <w:fldChar w:fldCharType="begin"/>
          </w:r>
          <w:r>
            <w:instrText xml:space="preserve"> HYPERLINK \l "_Toc52180092" </w:instrText>
          </w:r>
          <w:r>
            <w:fldChar w:fldCharType="separate"/>
          </w:r>
          <w:r>
            <w:rPr>
              <w:rStyle w:val="16"/>
              <w:rFonts w:hint="eastAsia" w:ascii="仿宋" w:hAnsi="仿宋" w:eastAsia="仿宋"/>
              <w:b/>
            </w:rPr>
            <w:t>（一）机关运行经费支出情况</w:t>
          </w:r>
          <w:r>
            <w:tab/>
          </w:r>
          <w:r>
            <w:fldChar w:fldCharType="begin"/>
          </w:r>
          <w:r>
            <w:instrText xml:space="preserve"> PAGEREF _Toc52180092 \h </w:instrText>
          </w:r>
          <w:r>
            <w:fldChar w:fldCharType="separate"/>
          </w:r>
          <w:r>
            <w:t>13</w:t>
          </w:r>
          <w:r>
            <w:fldChar w:fldCharType="end"/>
          </w:r>
          <w:r>
            <w:fldChar w:fldCharType="end"/>
          </w:r>
        </w:p>
        <w:p>
          <w:pPr>
            <w:pStyle w:val="6"/>
            <w:rPr>
              <w:rFonts w:asciiTheme="minorHAnsi" w:hAnsiTheme="minorHAnsi" w:eastAsiaTheme="minorEastAsia" w:cstheme="minorBidi"/>
              <w:szCs w:val="22"/>
            </w:rPr>
          </w:pPr>
          <w:r>
            <w:fldChar w:fldCharType="begin"/>
          </w:r>
          <w:r>
            <w:instrText xml:space="preserve"> HYPERLINK \l "_Toc52180093" </w:instrText>
          </w:r>
          <w:r>
            <w:fldChar w:fldCharType="separate"/>
          </w:r>
          <w:r>
            <w:rPr>
              <w:rStyle w:val="16"/>
              <w:rFonts w:hint="eastAsia" w:ascii="仿宋" w:hAnsi="仿宋" w:eastAsia="仿宋"/>
              <w:b/>
            </w:rPr>
            <w:t>（二）政府采购支出情况</w:t>
          </w:r>
          <w:r>
            <w:tab/>
          </w:r>
          <w:r>
            <w:fldChar w:fldCharType="begin"/>
          </w:r>
          <w:r>
            <w:instrText xml:space="preserve"> PAGEREF _Toc52180093 \h </w:instrText>
          </w:r>
          <w:r>
            <w:fldChar w:fldCharType="separate"/>
          </w:r>
          <w:r>
            <w:t>13</w:t>
          </w:r>
          <w:r>
            <w:fldChar w:fldCharType="end"/>
          </w:r>
          <w:r>
            <w:fldChar w:fldCharType="end"/>
          </w:r>
        </w:p>
        <w:p>
          <w:pPr>
            <w:pStyle w:val="6"/>
            <w:rPr>
              <w:rFonts w:asciiTheme="minorHAnsi" w:hAnsiTheme="minorHAnsi" w:eastAsiaTheme="minorEastAsia" w:cstheme="minorBidi"/>
              <w:szCs w:val="22"/>
            </w:rPr>
          </w:pPr>
          <w:r>
            <w:fldChar w:fldCharType="begin"/>
          </w:r>
          <w:r>
            <w:instrText xml:space="preserve"> HYPERLINK \l "_Toc52180094" </w:instrText>
          </w:r>
          <w:r>
            <w:fldChar w:fldCharType="separate"/>
          </w:r>
          <w:r>
            <w:rPr>
              <w:rStyle w:val="16"/>
              <w:rFonts w:hint="eastAsia" w:ascii="仿宋" w:hAnsi="仿宋" w:eastAsia="仿宋"/>
              <w:b/>
            </w:rPr>
            <w:t>（三）国有资产占有使用情况</w:t>
          </w:r>
          <w:r>
            <w:tab/>
          </w:r>
          <w:r>
            <w:fldChar w:fldCharType="begin"/>
          </w:r>
          <w:r>
            <w:instrText xml:space="preserve"> PAGEREF _Toc52180094 \h </w:instrText>
          </w:r>
          <w:r>
            <w:fldChar w:fldCharType="separate"/>
          </w:r>
          <w:r>
            <w:t>13</w:t>
          </w:r>
          <w:r>
            <w:fldChar w:fldCharType="end"/>
          </w:r>
          <w:r>
            <w:fldChar w:fldCharType="end"/>
          </w:r>
        </w:p>
        <w:p>
          <w:pPr>
            <w:pStyle w:val="6"/>
            <w:rPr>
              <w:rFonts w:asciiTheme="minorHAnsi" w:hAnsiTheme="minorHAnsi" w:eastAsiaTheme="minorEastAsia" w:cstheme="minorBidi"/>
              <w:szCs w:val="22"/>
            </w:rPr>
          </w:pPr>
          <w:r>
            <w:fldChar w:fldCharType="begin"/>
          </w:r>
          <w:r>
            <w:instrText xml:space="preserve"> HYPERLINK \l "_Toc52180095" </w:instrText>
          </w:r>
          <w:r>
            <w:fldChar w:fldCharType="separate"/>
          </w:r>
          <w:r>
            <w:rPr>
              <w:rStyle w:val="16"/>
              <w:rFonts w:hint="eastAsia" w:ascii="仿宋" w:hAnsi="仿宋" w:eastAsia="仿宋"/>
              <w:b/>
            </w:rPr>
            <w:t>（四）预算绩效管理情况。</w:t>
          </w:r>
          <w:r>
            <w:tab/>
          </w:r>
          <w:r>
            <w:fldChar w:fldCharType="begin"/>
          </w:r>
          <w:r>
            <w:instrText xml:space="preserve"> PAGEREF _Toc52180095 \h </w:instrText>
          </w:r>
          <w:r>
            <w:fldChar w:fldCharType="separate"/>
          </w:r>
          <w:r>
            <w:t>13</w:t>
          </w:r>
          <w:r>
            <w:fldChar w:fldCharType="end"/>
          </w:r>
          <w:r>
            <w:fldChar w:fldCharType="end"/>
          </w:r>
        </w:p>
        <w:p>
          <w:pPr>
            <w:pStyle w:val="10"/>
            <w:rPr>
              <w:rFonts w:asciiTheme="minorHAnsi" w:hAnsiTheme="minorHAnsi" w:eastAsiaTheme="minorEastAsia" w:cstheme="minorBidi"/>
              <w:sz w:val="21"/>
              <w:szCs w:val="22"/>
            </w:rPr>
          </w:pPr>
          <w:r>
            <w:fldChar w:fldCharType="begin"/>
          </w:r>
          <w:r>
            <w:instrText xml:space="preserve"> HYPERLINK \l "_Toc52180096" </w:instrText>
          </w:r>
          <w:r>
            <w:fldChar w:fldCharType="separate"/>
          </w:r>
          <w:r>
            <w:rPr>
              <w:rStyle w:val="16"/>
              <w:rFonts w:hint="eastAsia" w:ascii="黑体" w:hAnsi="黑体" w:eastAsia="黑体"/>
              <w:bCs/>
              <w:kern w:val="44"/>
            </w:rPr>
            <w:t>第三部分</w:t>
          </w:r>
          <w:r>
            <w:rPr>
              <w:rStyle w:val="16"/>
              <w:rFonts w:hint="eastAsia" w:ascii="黑体" w:hAnsi="黑体" w:eastAsia="黑体"/>
            </w:rPr>
            <w:t xml:space="preserve"> 名</w:t>
          </w:r>
          <w:r>
            <w:rPr>
              <w:rStyle w:val="16"/>
              <w:rFonts w:hint="eastAsia" w:ascii="黑体" w:hAnsi="黑体" w:eastAsia="黑体"/>
              <w:bCs/>
              <w:kern w:val="44"/>
            </w:rPr>
            <w:t>词解释</w:t>
          </w:r>
          <w:r>
            <w:tab/>
          </w:r>
          <w:r>
            <w:fldChar w:fldCharType="begin"/>
          </w:r>
          <w:r>
            <w:instrText xml:space="preserve"> PAGEREF _Toc52180096 \h </w:instrText>
          </w:r>
          <w:r>
            <w:fldChar w:fldCharType="separate"/>
          </w:r>
          <w:r>
            <w:t>21</w:t>
          </w:r>
          <w:r>
            <w:fldChar w:fldCharType="end"/>
          </w:r>
          <w:r>
            <w:fldChar w:fldCharType="end"/>
          </w:r>
        </w:p>
        <w:p>
          <w:pPr>
            <w:pStyle w:val="10"/>
            <w:rPr>
              <w:rFonts w:asciiTheme="minorHAnsi" w:hAnsiTheme="minorHAnsi" w:eastAsiaTheme="minorEastAsia" w:cstheme="minorBidi"/>
              <w:sz w:val="21"/>
              <w:szCs w:val="22"/>
            </w:rPr>
          </w:pPr>
          <w:r>
            <w:fldChar w:fldCharType="begin"/>
          </w:r>
          <w:r>
            <w:instrText xml:space="preserve"> HYPERLINK \l "_Toc52180097" </w:instrText>
          </w:r>
          <w:r>
            <w:fldChar w:fldCharType="separate"/>
          </w:r>
          <w:r>
            <w:rPr>
              <w:rStyle w:val="16"/>
              <w:rFonts w:hint="eastAsia" w:ascii="黑体" w:hAnsi="黑体" w:eastAsia="黑体"/>
            </w:rPr>
            <w:t>第</w:t>
          </w:r>
          <w:r>
            <w:rPr>
              <w:rStyle w:val="16"/>
              <w:rFonts w:hint="eastAsia" w:ascii="黑体" w:hAnsi="黑体" w:eastAsia="黑体"/>
              <w:bCs/>
              <w:kern w:val="44"/>
            </w:rPr>
            <w:t>四部分</w:t>
          </w:r>
          <w:r>
            <w:rPr>
              <w:rStyle w:val="16"/>
              <w:rFonts w:ascii="黑体" w:hAnsi="黑体" w:eastAsia="黑体"/>
              <w:bCs/>
              <w:kern w:val="44"/>
            </w:rPr>
            <w:t xml:space="preserve"> </w:t>
          </w:r>
          <w:r>
            <w:rPr>
              <w:rStyle w:val="16"/>
              <w:rFonts w:hint="eastAsia" w:ascii="黑体" w:hAnsi="黑体" w:eastAsia="黑体"/>
              <w:bCs/>
              <w:kern w:val="44"/>
            </w:rPr>
            <w:t>附件</w:t>
          </w:r>
          <w:r>
            <w:tab/>
          </w:r>
          <w:r>
            <w:fldChar w:fldCharType="begin"/>
          </w:r>
          <w:r>
            <w:instrText xml:space="preserve"> PAGEREF _Toc52180097 \h </w:instrText>
          </w:r>
          <w:r>
            <w:fldChar w:fldCharType="separate"/>
          </w:r>
          <w:r>
            <w:t>23</w:t>
          </w:r>
          <w:r>
            <w:fldChar w:fldCharType="end"/>
          </w:r>
          <w:r>
            <w:fldChar w:fldCharType="end"/>
          </w:r>
        </w:p>
        <w:p>
          <w:pPr>
            <w:pStyle w:val="10"/>
            <w:rPr>
              <w:rFonts w:asciiTheme="minorHAnsi" w:hAnsiTheme="minorHAnsi" w:eastAsiaTheme="minorEastAsia" w:cstheme="minorBidi"/>
              <w:sz w:val="21"/>
              <w:szCs w:val="22"/>
            </w:rPr>
          </w:pPr>
          <w:r>
            <w:fldChar w:fldCharType="begin"/>
          </w:r>
          <w:r>
            <w:instrText xml:space="preserve"> HYPERLINK \l "_Toc52180099" </w:instrText>
          </w:r>
          <w:r>
            <w:fldChar w:fldCharType="separate"/>
          </w:r>
          <w:r>
            <w:rPr>
              <w:rStyle w:val="16"/>
              <w:rFonts w:hint="eastAsia" w:ascii="黑体" w:hAnsi="黑体" w:eastAsia="黑体"/>
            </w:rPr>
            <w:t>第</w:t>
          </w:r>
          <w:r>
            <w:rPr>
              <w:rStyle w:val="16"/>
              <w:rFonts w:hint="eastAsia" w:ascii="黑体" w:hAnsi="黑体" w:eastAsia="黑体"/>
              <w:bCs/>
              <w:kern w:val="44"/>
            </w:rPr>
            <w:t>五部分</w:t>
          </w:r>
          <w:r>
            <w:rPr>
              <w:rStyle w:val="16"/>
              <w:rFonts w:ascii="黑体" w:hAnsi="黑体" w:eastAsia="黑体"/>
              <w:bCs/>
              <w:kern w:val="44"/>
            </w:rPr>
            <w:t xml:space="preserve"> </w:t>
          </w:r>
          <w:r>
            <w:rPr>
              <w:rStyle w:val="16"/>
              <w:rFonts w:hint="eastAsia" w:ascii="黑体" w:hAnsi="黑体" w:eastAsia="黑体"/>
              <w:bCs/>
              <w:kern w:val="44"/>
            </w:rPr>
            <w:t>附表</w:t>
          </w:r>
          <w:r>
            <w:tab/>
          </w:r>
          <w:r>
            <w:fldChar w:fldCharType="begin"/>
          </w:r>
          <w:r>
            <w:instrText xml:space="preserve"> PAGEREF _Toc52180099 \h </w:instrText>
          </w:r>
          <w:r>
            <w:fldChar w:fldCharType="separate"/>
          </w:r>
          <w:r>
            <w:t>31</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"_Toc52180100" </w:instrText>
          </w:r>
          <w:r>
            <w:fldChar w:fldCharType="separate"/>
          </w:r>
          <w:r>
            <w:rPr>
              <w:rStyle w:val="16"/>
              <w:rFonts w:hint="eastAsia" w:ascii="仿宋" w:hAnsi="仿宋" w:eastAsia="仿宋"/>
            </w:rPr>
            <w:t>一、收入支出决算总表</w:t>
          </w:r>
          <w:r>
            <w:tab/>
          </w:r>
          <w:r>
            <w:fldChar w:fldCharType="begin"/>
          </w:r>
          <w:r>
            <w:instrText xml:space="preserve"> PAGEREF _Toc52180100 \h </w:instrText>
          </w:r>
          <w:r>
            <w:fldChar w:fldCharType="separate"/>
          </w:r>
          <w:r>
            <w:t>31</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"_Toc52180101" </w:instrText>
          </w:r>
          <w:r>
            <w:fldChar w:fldCharType="separate"/>
          </w:r>
          <w:r>
            <w:rPr>
              <w:rStyle w:val="16"/>
              <w:rFonts w:hint="eastAsia" w:ascii="仿宋" w:hAnsi="仿宋" w:eastAsia="仿宋"/>
            </w:rPr>
            <w:t>二、收入决算表</w:t>
          </w:r>
          <w:r>
            <w:tab/>
          </w:r>
          <w:r>
            <w:fldChar w:fldCharType="begin"/>
          </w:r>
          <w:r>
            <w:instrText xml:space="preserve"> PAGEREF _Toc52180101 \h </w:instrText>
          </w:r>
          <w:r>
            <w:fldChar w:fldCharType="separate"/>
          </w:r>
          <w:r>
            <w:t>31</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"_Toc52180102" </w:instrText>
          </w:r>
          <w:r>
            <w:fldChar w:fldCharType="separate"/>
          </w:r>
          <w:r>
            <w:rPr>
              <w:rStyle w:val="16"/>
              <w:rFonts w:hint="eastAsia" w:ascii="仿宋" w:hAnsi="仿宋" w:eastAsia="仿宋"/>
            </w:rPr>
            <w:t>三、支出决算表</w:t>
          </w:r>
          <w:r>
            <w:tab/>
          </w:r>
          <w:r>
            <w:fldChar w:fldCharType="begin"/>
          </w:r>
          <w:r>
            <w:instrText xml:space="preserve"> PAGEREF _Toc52180102 \h </w:instrText>
          </w:r>
          <w:r>
            <w:fldChar w:fldCharType="separate"/>
          </w:r>
          <w:r>
            <w:t>31</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"_Toc52180103" </w:instrText>
          </w:r>
          <w:r>
            <w:fldChar w:fldCharType="separate"/>
          </w:r>
          <w:r>
            <w:rPr>
              <w:rStyle w:val="16"/>
              <w:rFonts w:hint="eastAsia" w:ascii="仿宋" w:hAnsi="仿宋" w:eastAsia="仿宋"/>
            </w:rPr>
            <w:t>四、财政拨款收入支出决算总表</w:t>
          </w:r>
          <w:r>
            <w:tab/>
          </w:r>
          <w:r>
            <w:fldChar w:fldCharType="begin"/>
          </w:r>
          <w:r>
            <w:instrText xml:space="preserve"> PAGEREF _Toc52180103 \h </w:instrText>
          </w:r>
          <w:r>
            <w:fldChar w:fldCharType="separate"/>
          </w:r>
          <w:r>
            <w:t>31</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"_Toc52180104" </w:instrText>
          </w:r>
          <w:r>
            <w:fldChar w:fldCharType="separate"/>
          </w:r>
          <w:r>
            <w:rPr>
              <w:rStyle w:val="16"/>
              <w:rFonts w:hint="eastAsia" w:ascii="仿宋" w:hAnsi="仿宋" w:eastAsia="仿宋"/>
            </w:rPr>
            <w:t>五、财政拨款支出决算明细表</w:t>
          </w:r>
          <w:r>
            <w:tab/>
          </w:r>
          <w:r>
            <w:fldChar w:fldCharType="begin"/>
          </w:r>
          <w:r>
            <w:instrText xml:space="preserve"> PAGEREF _Toc52180104 \h </w:instrText>
          </w:r>
          <w:r>
            <w:fldChar w:fldCharType="separate"/>
          </w:r>
          <w:r>
            <w:t>31</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"_Toc52180105" </w:instrText>
          </w:r>
          <w:r>
            <w:fldChar w:fldCharType="separate"/>
          </w:r>
          <w:r>
            <w:rPr>
              <w:rStyle w:val="16"/>
              <w:rFonts w:hint="eastAsia" w:ascii="仿宋" w:hAnsi="仿宋" w:eastAsia="仿宋"/>
            </w:rPr>
            <w:t>六、一般公共预算财政拨款支出决算表</w:t>
          </w:r>
          <w:r>
            <w:tab/>
          </w:r>
          <w:r>
            <w:fldChar w:fldCharType="begin"/>
          </w:r>
          <w:r>
            <w:instrText xml:space="preserve"> PAGEREF _Toc52180105 \h </w:instrText>
          </w:r>
          <w:r>
            <w:fldChar w:fldCharType="separate"/>
          </w:r>
          <w:r>
            <w:t>31</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"_Toc52180106" </w:instrText>
          </w:r>
          <w:r>
            <w:fldChar w:fldCharType="separate"/>
          </w:r>
          <w:r>
            <w:rPr>
              <w:rStyle w:val="16"/>
              <w:rFonts w:hint="eastAsia" w:ascii="仿宋" w:hAnsi="仿宋" w:eastAsia="仿宋"/>
            </w:rPr>
            <w:t>七、一般公共预算财政拨款支出决算明细表</w:t>
          </w:r>
          <w:r>
            <w:tab/>
          </w:r>
          <w:r>
            <w:fldChar w:fldCharType="begin"/>
          </w:r>
          <w:r>
            <w:instrText xml:space="preserve"> PAGEREF _Toc52180106 \h </w:instrText>
          </w:r>
          <w:r>
            <w:fldChar w:fldCharType="separate"/>
          </w:r>
          <w:r>
            <w:t>31</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"_Toc52180107" </w:instrText>
          </w:r>
          <w:r>
            <w:fldChar w:fldCharType="separate"/>
          </w:r>
          <w:r>
            <w:rPr>
              <w:rStyle w:val="16"/>
              <w:rFonts w:hint="eastAsia" w:ascii="仿宋" w:hAnsi="仿宋" w:eastAsia="仿宋"/>
            </w:rPr>
            <w:t>八、一般公共预算财政拨款基本支出决算表</w:t>
          </w:r>
          <w:r>
            <w:tab/>
          </w:r>
          <w:r>
            <w:fldChar w:fldCharType="begin"/>
          </w:r>
          <w:r>
            <w:instrText xml:space="preserve"> PAGEREF _Toc52180107 \h </w:instrText>
          </w:r>
          <w:r>
            <w:fldChar w:fldCharType="separate"/>
          </w:r>
          <w:r>
            <w:t>31</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"_Toc52180108" </w:instrText>
          </w:r>
          <w:r>
            <w:fldChar w:fldCharType="separate"/>
          </w:r>
          <w:r>
            <w:rPr>
              <w:rStyle w:val="16"/>
              <w:rFonts w:hint="eastAsia" w:ascii="仿宋" w:hAnsi="仿宋" w:eastAsia="仿宋"/>
            </w:rPr>
            <w:t>九、一般公共预算财政拨款项目支出决算表</w:t>
          </w:r>
          <w:r>
            <w:tab/>
          </w:r>
          <w:r>
            <w:fldChar w:fldCharType="begin"/>
          </w:r>
          <w:r>
            <w:instrText xml:space="preserve"> PAGEREF _Toc52180108 \h </w:instrText>
          </w:r>
          <w:r>
            <w:fldChar w:fldCharType="separate"/>
          </w:r>
          <w:r>
            <w:t>31</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"_Toc52180109" </w:instrText>
          </w:r>
          <w:r>
            <w:fldChar w:fldCharType="separate"/>
          </w:r>
          <w:r>
            <w:rPr>
              <w:rStyle w:val="16"/>
              <w:rFonts w:hint="eastAsia" w:ascii="仿宋" w:hAnsi="仿宋" w:eastAsia="仿宋"/>
            </w:rPr>
            <w:t>十、一般公共预算财政拨款“三公”经费支出决算表</w:t>
          </w:r>
          <w:r>
            <w:tab/>
          </w:r>
          <w:r>
            <w:fldChar w:fldCharType="begin"/>
          </w:r>
          <w:r>
            <w:instrText xml:space="preserve"> PAGEREF _Toc52180109 \h </w:instrText>
          </w:r>
          <w:r>
            <w:fldChar w:fldCharType="separate"/>
          </w:r>
          <w:r>
            <w:t>31</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"_Toc52180110" </w:instrText>
          </w:r>
          <w:r>
            <w:fldChar w:fldCharType="separate"/>
          </w:r>
          <w:r>
            <w:rPr>
              <w:rStyle w:val="16"/>
              <w:rFonts w:hint="eastAsia" w:ascii="仿宋" w:hAnsi="仿宋" w:eastAsia="仿宋"/>
            </w:rPr>
            <w:t>十一、政府性基金预算财政拨款收入支出决算表</w:t>
          </w:r>
          <w:r>
            <w:tab/>
          </w:r>
          <w:r>
            <w:fldChar w:fldCharType="begin"/>
          </w:r>
          <w:r>
            <w:instrText xml:space="preserve"> PAGEREF _Toc52180110 \h </w:instrText>
          </w:r>
          <w:r>
            <w:fldChar w:fldCharType="separate"/>
          </w:r>
          <w:r>
            <w:t>31</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"_Toc52180111" </w:instrText>
          </w:r>
          <w:r>
            <w:fldChar w:fldCharType="separate"/>
          </w:r>
          <w:r>
            <w:rPr>
              <w:rStyle w:val="16"/>
              <w:rFonts w:hint="eastAsia" w:ascii="仿宋" w:hAnsi="仿宋" w:eastAsia="仿宋"/>
            </w:rPr>
            <w:t>十二、政府性基金预算财政拨款“三公”经费支出决算表</w:t>
          </w:r>
          <w:r>
            <w:tab/>
          </w:r>
          <w:r>
            <w:fldChar w:fldCharType="begin"/>
          </w:r>
          <w:r>
            <w:instrText xml:space="preserve"> PAGEREF _Toc52180111 \h </w:instrText>
          </w:r>
          <w:r>
            <w:fldChar w:fldCharType="separate"/>
          </w:r>
          <w:r>
            <w:t>31</w:t>
          </w:r>
          <w:r>
            <w:fldChar w:fldCharType="end"/>
          </w:r>
          <w:r>
            <w:fldChar w:fldCharType="end"/>
          </w:r>
        </w:p>
        <w:p>
          <w:pPr>
            <w:pStyle w:val="11"/>
            <w:rPr>
              <w:rFonts w:asciiTheme="minorHAnsi" w:hAnsiTheme="minorHAnsi" w:eastAsiaTheme="minorEastAsia" w:cstheme="minorBidi"/>
              <w:szCs w:val="22"/>
            </w:rPr>
          </w:pPr>
          <w:r>
            <w:fldChar w:fldCharType="begin"/>
          </w:r>
          <w:r>
            <w:instrText xml:space="preserve"> HYPERLINK \l "_Toc52180112" </w:instrText>
          </w:r>
          <w:r>
            <w:fldChar w:fldCharType="separate"/>
          </w:r>
          <w:r>
            <w:rPr>
              <w:rStyle w:val="16"/>
              <w:rFonts w:hint="eastAsia" w:ascii="仿宋" w:hAnsi="仿宋" w:eastAsia="仿宋"/>
            </w:rPr>
            <w:t>十三、国有资本经营预算支出决算表</w:t>
          </w:r>
          <w:r>
            <w:tab/>
          </w:r>
          <w:r>
            <w:fldChar w:fldCharType="begin"/>
          </w:r>
          <w:r>
            <w:instrText xml:space="preserve"> PAGEREF _Toc52180112 \h </w:instrText>
          </w:r>
          <w:r>
            <w:fldChar w:fldCharType="separate"/>
          </w:r>
          <w:r>
            <w:t>31</w:t>
          </w:r>
          <w:r>
            <w:fldChar w:fldCharType="end"/>
          </w:r>
          <w:r>
            <w:fldChar w:fldCharType="end"/>
          </w:r>
        </w:p>
        <w:p>
          <w:r>
            <w:fldChar w:fldCharType="end"/>
          </w:r>
        </w:p>
      </w:sdtContent>
    </w:sdt>
    <w:p>
      <w:pPr>
        <w:widowControl/>
        <w:adjustRightInd w:val="0"/>
        <w:snapToGrid w:val="0"/>
        <w:spacing w:line="440" w:lineRule="exact"/>
        <w:ind w:firstLine="1320" w:firstLineChars="550"/>
        <w:jc w:val="left"/>
        <w:rPr>
          <w:rFonts w:ascii="仿宋" w:hAnsi="仿宋" w:eastAsia="仿宋"/>
          <w:color w:val="FF0000"/>
          <w:sz w:val="24"/>
        </w:rPr>
      </w:pPr>
      <w:r>
        <w:rPr>
          <w:rFonts w:ascii="仿宋" w:hAnsi="仿宋" w:eastAsia="仿宋"/>
          <w:color w:val="FF0000"/>
          <w:sz w:val="24"/>
        </w:rPr>
        <w:t xml:space="preserve"> (注：</w:t>
      </w:r>
      <w:r>
        <w:rPr>
          <w:rFonts w:hint="eastAsia" w:ascii="仿宋" w:hAnsi="仿宋" w:eastAsia="仿宋"/>
          <w:color w:val="FF0000"/>
          <w:sz w:val="24"/>
        </w:rPr>
        <w:t>请部门根据实际注明页码</w:t>
      </w:r>
      <w:r>
        <w:rPr>
          <w:rFonts w:ascii="仿宋" w:hAnsi="仿宋" w:eastAsia="仿宋"/>
          <w:color w:val="FF0000"/>
          <w:sz w:val="24"/>
        </w:rPr>
        <w:t>)</w:t>
      </w:r>
    </w:p>
    <w:p>
      <w:pPr>
        <w:widowControl/>
        <w:spacing w:line="440" w:lineRule="exact"/>
        <w:jc w:val="left"/>
        <w:rPr>
          <w:rFonts w:ascii="仿宋" w:hAnsi="仿宋" w:eastAsia="仿宋"/>
          <w:bCs/>
          <w:kern w:val="44"/>
          <w:sz w:val="24"/>
        </w:rPr>
      </w:pPr>
      <w:bookmarkStart w:id="14" w:name="_Toc15377196"/>
      <w:bookmarkStart w:id="15" w:name="_Toc15396599"/>
      <w:r>
        <w:rPr>
          <w:rFonts w:ascii="仿宋" w:hAnsi="仿宋" w:eastAsia="仿宋"/>
          <w:b/>
          <w:sz w:val="24"/>
        </w:rPr>
        <w:br w:type="page"/>
      </w:r>
    </w:p>
    <w:p>
      <w:pPr>
        <w:pStyle w:val="2"/>
        <w:jc w:val="center"/>
        <w:rPr>
          <w:rStyle w:val="25"/>
          <w:rFonts w:ascii="黑体" w:hAnsi="黑体" w:eastAsia="黑体"/>
          <w:b/>
          <w:bCs w:val="0"/>
        </w:rPr>
      </w:pPr>
      <w:bookmarkStart w:id="16" w:name="_Toc52180065"/>
      <w:r>
        <w:rPr>
          <w:rFonts w:hint="eastAsia" w:ascii="黑体" w:hAnsi="黑体" w:eastAsia="黑体"/>
          <w:b w:val="0"/>
        </w:rPr>
        <w:t xml:space="preserve">第一部分 </w:t>
      </w:r>
      <w:r>
        <w:rPr>
          <w:rStyle w:val="25"/>
          <w:rFonts w:hint="eastAsia" w:ascii="黑体" w:hAnsi="黑体" w:eastAsia="黑体"/>
          <w:b w:val="0"/>
          <w:bCs w:val="0"/>
        </w:rPr>
        <w:t>部门概况</w:t>
      </w:r>
      <w:bookmarkEnd w:id="14"/>
      <w:bookmarkEnd w:id="15"/>
      <w:bookmarkEnd w:id="16"/>
    </w:p>
    <w:p>
      <w:pPr>
        <w:widowControl/>
        <w:jc w:val="left"/>
        <w:rPr>
          <w:rFonts w:ascii="黑体" w:eastAsia="黑体"/>
          <w:color w:val="000000"/>
          <w:sz w:val="32"/>
          <w:szCs w:val="32"/>
        </w:rPr>
      </w:pPr>
    </w:p>
    <w:p>
      <w:pPr>
        <w:pStyle w:val="3"/>
        <w:rPr>
          <w:rStyle w:val="26"/>
          <w:rFonts w:ascii="仿宋" w:hAnsi="仿宋" w:eastAsia="仿宋"/>
          <w:b w:val="0"/>
          <w:bCs w:val="0"/>
        </w:rPr>
      </w:pPr>
      <w:bookmarkStart w:id="17" w:name="_Toc52180066"/>
      <w:bookmarkStart w:id="18" w:name="_Toc15377197"/>
      <w:bookmarkStart w:id="19" w:name="_Toc15396600"/>
      <w:r>
        <w:rPr>
          <w:rFonts w:hint="eastAsia" w:ascii="黑体" w:hAnsi="黑体" w:eastAsia="黑体"/>
          <w:b w:val="0"/>
          <w:color w:val="000000"/>
        </w:rPr>
        <w:t>一、基</w:t>
      </w:r>
      <w:r>
        <w:rPr>
          <w:rStyle w:val="26"/>
          <w:rFonts w:hint="eastAsia" w:ascii="黑体" w:hAnsi="黑体" w:eastAsia="黑体"/>
          <w:b w:val="0"/>
          <w:bCs w:val="0"/>
        </w:rPr>
        <w:t>本职能及主要工作</w:t>
      </w:r>
      <w:bookmarkEnd w:id="17"/>
      <w:bookmarkEnd w:id="18"/>
      <w:bookmarkEnd w:id="19"/>
    </w:p>
    <w:p>
      <w:pPr>
        <w:pStyle w:val="5"/>
        <w:adjustRightInd w:val="0"/>
        <w:snapToGrid w:val="0"/>
        <w:spacing w:before="93" w:line="600" w:lineRule="exact"/>
        <w:ind w:firstLine="672" w:firstLineChars="210"/>
        <w:outlineLvl w:val="2"/>
        <w:rPr>
          <w:rFonts w:ascii="仿宋" w:hAnsi="仿宋" w:eastAsia="仿宋"/>
          <w:bCs/>
          <w:color w:val="000000"/>
          <w:sz w:val="32"/>
          <w:szCs w:val="32"/>
        </w:rPr>
      </w:pPr>
      <w:bookmarkStart w:id="20" w:name="_Toc52180067"/>
      <w:bookmarkStart w:id="21" w:name="_Toc15377198"/>
      <w:bookmarkStart w:id="22" w:name="_Toc15378445"/>
      <w:r>
        <w:rPr>
          <w:rFonts w:hint="eastAsia" w:ascii="仿宋" w:hAnsi="仿宋" w:eastAsia="仿宋"/>
          <w:bCs/>
          <w:color w:val="000000"/>
          <w:sz w:val="32"/>
          <w:szCs w:val="32"/>
        </w:rPr>
        <w:t>（一）主要职能。</w:t>
      </w:r>
      <w:bookmarkEnd w:id="20"/>
      <w:bookmarkEnd w:id="21"/>
      <w:bookmarkEnd w:id="22"/>
    </w:p>
    <w:p>
      <w:pPr>
        <w:spacing w:line="576" w:lineRule="exact"/>
        <w:ind w:firstLine="660" w:firstLineChars="200"/>
        <w:rPr>
          <w:rFonts w:eastAsia="方正仿宋_GBK"/>
          <w:color w:val="000000" w:themeColor="text1"/>
          <w:sz w:val="33"/>
          <w:szCs w:val="33"/>
          <w:shd w:val="clear" w:color="auto" w:fill="FFFFFF"/>
          <w:lang w:val="zh-CN"/>
        </w:rPr>
      </w:pPr>
      <w:bookmarkStart w:id="23" w:name="_Toc15378446"/>
      <w:bookmarkStart w:id="24" w:name="_Toc52180068"/>
      <w:bookmarkStart w:id="25" w:name="_Toc15377199"/>
      <w:bookmarkStart w:id="26" w:name="_Toc15396601"/>
      <w:bookmarkStart w:id="27" w:name="_Toc15377200"/>
      <w:bookmarkStart w:id="28" w:name="_Toc52180069"/>
      <w:r>
        <w:rPr>
          <w:rFonts w:eastAsia="方正仿宋_GBK"/>
          <w:color w:val="000000" w:themeColor="text1"/>
          <w:sz w:val="33"/>
          <w:szCs w:val="33"/>
          <w:shd w:val="clear" w:color="auto" w:fill="FFFFFF"/>
          <w:lang w:val="zh-CN"/>
        </w:rPr>
        <w:t>拟定全县宣传思想文化工作重大政策和事业产业发展总体规划，统筹协调推进宣传思想文化领域法治建设；统筹协调全县党的意识形态工作，负责规划组织全局性思想政治工作；统筹指导协调推动精神文化产品的创作和生产和精神文明建设工作，指导协调推动群众文化建设、精神文明创建、公民思想道德建设和志愿服务工作；统筹分析研判和引导社会舆论，指导协调县级新闻单位工作，负责组织协调重大新闻宣传活动和重大突发公共事件应急新闻工作；统筹协调对外宣传工作，组织推动国际传播能力建设，组织指导重大对外宣传活动和对外文化交流工作，协调推动中华文化走出去工作，组织开展全县互联网对外交流和合作；统筹协调组织开展新闻发布工作，承担县委新闻发布有关组织协调工作；统筹指导推进文化体制改革和文化事业、文化产业及旅游业发展，会同有关单位组织研究县属国有文化资产监管重大政策；负责管理新闻出版行政事务和所涉及的行政审批工作，组织指导协调“扫黄打非”工作，中央和省市新闻媒体驻盐机构的监督管理，新闻记者证管理工作，管理电影行政事务和所涉及的行政审批工作，指导监管电影制片、发行、放映工作，组织对电影内容进行审查，指导协调和参与重大电影活动和电影对外合作交流；负责组织开展全县宣传思想文化、网络安全和信息化干部教育培训和人才工作；统筹推动网络阵地建设，会同有关部门推动媒体融合发展和地方融媒体中心建设；依法负责网络新闻业务和论坛、博客、搜索引擎等具有新闻舆论及社会动员功能业务的审批及日常监管；完成县委交办的其他任务。</w:t>
      </w:r>
    </w:p>
    <w:p>
      <w:pPr>
        <w:pStyle w:val="5"/>
        <w:adjustRightInd w:val="0"/>
        <w:snapToGrid w:val="0"/>
        <w:spacing w:before="93" w:line="600" w:lineRule="exact"/>
        <w:ind w:firstLine="693" w:firstLineChars="210"/>
        <w:outlineLvl w:val="2"/>
        <w:rPr>
          <w:rFonts w:ascii="仿宋" w:hAnsi="仿宋" w:eastAsia="仿宋"/>
          <w:bCs/>
          <w:color w:val="000000" w:themeColor="text1"/>
          <w:sz w:val="33"/>
          <w:szCs w:val="33"/>
        </w:rPr>
      </w:pPr>
      <w:r>
        <w:rPr>
          <w:rFonts w:hint="eastAsia" w:ascii="仿宋" w:hAnsi="仿宋" w:eastAsia="仿宋"/>
          <w:bCs/>
          <w:color w:val="000000" w:themeColor="text1"/>
          <w:sz w:val="33"/>
          <w:szCs w:val="33"/>
        </w:rPr>
        <w:t>（二）</w:t>
      </w:r>
      <w:r>
        <w:rPr>
          <w:rFonts w:ascii="仿宋" w:hAnsi="仿宋" w:eastAsia="仿宋"/>
          <w:bCs/>
          <w:color w:val="000000" w:themeColor="text1"/>
          <w:sz w:val="33"/>
          <w:szCs w:val="33"/>
        </w:rPr>
        <w:t>201</w:t>
      </w:r>
      <w:r>
        <w:rPr>
          <w:rFonts w:hint="eastAsia" w:ascii="仿宋" w:hAnsi="仿宋" w:eastAsia="仿宋"/>
          <w:bCs/>
          <w:color w:val="000000" w:themeColor="text1"/>
          <w:sz w:val="33"/>
          <w:szCs w:val="33"/>
        </w:rPr>
        <w:t>9年重点工作完成情况。</w:t>
      </w:r>
      <w:bookmarkEnd w:id="23"/>
      <w:bookmarkEnd w:id="24"/>
      <w:bookmarkEnd w:id="25"/>
    </w:p>
    <w:p>
      <w:pPr>
        <w:ind w:firstLine="660" w:firstLineChars="200"/>
        <w:rPr>
          <w:rFonts w:eastAsia="方正仿宋_GBK"/>
          <w:color w:val="000000" w:themeColor="text1"/>
          <w:sz w:val="33"/>
          <w:szCs w:val="33"/>
          <w:shd w:val="clear" w:color="auto" w:fill="FFFFFF"/>
          <w:lang w:val="zh-CN"/>
        </w:rPr>
      </w:pPr>
      <w:r>
        <w:rPr>
          <w:rFonts w:hint="eastAsia" w:eastAsia="方正仿宋_GBK"/>
          <w:color w:val="000000" w:themeColor="text1"/>
          <w:sz w:val="33"/>
          <w:szCs w:val="33"/>
          <w:shd w:val="clear" w:color="auto" w:fill="FFFFFF"/>
          <w:lang w:val="zh-CN"/>
        </w:rPr>
        <w:t>一是抓好学习教育，强化理论武装，以县委理论学习中心组为主阵地，积极推广“学习强国”学习平台，</w:t>
      </w:r>
      <w:r>
        <w:rPr>
          <w:rFonts w:eastAsia="方正仿宋_GBK"/>
          <w:color w:val="000000" w:themeColor="text1"/>
          <w:sz w:val="33"/>
          <w:szCs w:val="33"/>
          <w:shd w:val="clear" w:color="auto" w:fill="FFFFFF"/>
          <w:lang w:val="zh-CN"/>
        </w:rPr>
        <w:t>深入学习宣传贯彻</w:t>
      </w:r>
      <w:r>
        <w:rPr>
          <w:rFonts w:hint="eastAsia" w:eastAsia="方正仿宋_GBK"/>
          <w:color w:val="000000" w:themeColor="text1"/>
          <w:sz w:val="33"/>
          <w:szCs w:val="33"/>
          <w:shd w:val="clear" w:color="auto" w:fill="FFFFFF"/>
          <w:lang w:val="zh-CN"/>
        </w:rPr>
        <w:t>习</w:t>
      </w:r>
      <w:r>
        <w:rPr>
          <w:rFonts w:eastAsia="方正仿宋_GBK"/>
          <w:color w:val="000000" w:themeColor="text1"/>
          <w:sz w:val="33"/>
          <w:szCs w:val="33"/>
          <w:shd w:val="clear" w:color="auto" w:fill="FFFFFF"/>
          <w:lang w:val="zh-CN"/>
        </w:rPr>
        <w:t>近平新时代中国特色社会主义思想和党的十九大、十九届二中、三中、四中全会、省市全会精神。县委理论中心组学习共召开9次，累计学习</w:t>
      </w:r>
      <w:r>
        <w:rPr>
          <w:rFonts w:hint="eastAsia" w:eastAsia="方正仿宋_GBK"/>
          <w:color w:val="000000" w:themeColor="text1"/>
          <w:sz w:val="33"/>
          <w:szCs w:val="33"/>
          <w:shd w:val="clear" w:color="auto" w:fill="FFFFFF"/>
          <w:lang w:val="zh-CN"/>
        </w:rPr>
        <w:t>14</w:t>
      </w:r>
      <w:r>
        <w:rPr>
          <w:rFonts w:eastAsia="方正仿宋_GBK"/>
          <w:color w:val="000000" w:themeColor="text1"/>
          <w:sz w:val="33"/>
          <w:szCs w:val="33"/>
          <w:shd w:val="clear" w:color="auto" w:fill="FFFFFF"/>
          <w:lang w:val="zh-CN"/>
        </w:rPr>
        <w:t>天，</w:t>
      </w:r>
      <w:r>
        <w:rPr>
          <w:rFonts w:hint="eastAsia" w:eastAsia="方正仿宋_GBK"/>
          <w:color w:val="000000" w:themeColor="text1"/>
          <w:sz w:val="33"/>
          <w:szCs w:val="33"/>
          <w:shd w:val="clear" w:color="auto" w:fill="FFFFFF"/>
          <w:lang w:val="zh-CN"/>
        </w:rPr>
        <w:t>编印学习资料300余册，</w:t>
      </w:r>
      <w:r>
        <w:rPr>
          <w:rFonts w:eastAsia="方正仿宋_GBK"/>
          <w:color w:val="000000" w:themeColor="text1"/>
          <w:sz w:val="33"/>
          <w:szCs w:val="33"/>
          <w:shd w:val="clear" w:color="auto" w:fill="FFFFFF"/>
          <w:lang w:val="zh-CN"/>
        </w:rPr>
        <w:t>参学人数达</w:t>
      </w:r>
      <w:r>
        <w:rPr>
          <w:rFonts w:hint="eastAsia" w:eastAsia="方正仿宋_GBK"/>
          <w:color w:val="000000" w:themeColor="text1"/>
          <w:sz w:val="33"/>
          <w:szCs w:val="33"/>
          <w:shd w:val="clear" w:color="auto" w:fill="FFFFFF"/>
          <w:lang w:val="zh-CN"/>
        </w:rPr>
        <w:t>1400</w:t>
      </w:r>
      <w:r>
        <w:rPr>
          <w:rFonts w:eastAsia="方正仿宋_GBK"/>
          <w:color w:val="000000" w:themeColor="text1"/>
          <w:sz w:val="33"/>
          <w:szCs w:val="33"/>
          <w:shd w:val="clear" w:color="auto" w:fill="FFFFFF"/>
          <w:lang w:val="zh-CN"/>
        </w:rPr>
        <w:t>余人（次）。</w:t>
      </w:r>
      <w:r>
        <w:rPr>
          <w:rFonts w:hint="eastAsia" w:eastAsia="方正仿宋_GBK"/>
          <w:color w:val="000000" w:themeColor="text1"/>
          <w:sz w:val="33"/>
          <w:szCs w:val="33"/>
          <w:shd w:val="clear" w:color="auto" w:fill="FFFFFF"/>
          <w:lang w:val="zh-CN"/>
        </w:rPr>
        <w:t>二是抓好意识形态，落实主体责任，全年共监测到涉盐负面舆情15条，并及时妥善处置，无重大舆情事件发生。三是抓好新闻宣传，做好舆论引导。加强与上级媒体合作，积极开展系列采访报道，配合市级以上媒体完成采风、集中宣传报道7次；强化宣传阵地建设，全面建成融媒体中心；丰富宣传内容，在《盐边新闻》、“山水盐边”微信公众号开设【壮丽七十年，奋斗新时代】【扫黑除恶】【脱贫攻坚】等十余个专题；截至目前县级以上媒体刊播宣传盐边稿件1890余条（次），其中，中央级媒体刊播29条（次），为推动盐边高质量发展营造了良好舆论氛围。三是抓好文明创建，弘扬核心价值。2019年盐边县率先在全市启动新时代文明实践中心建设，并建成县乡村三级5个实践点；累计开展志愿服务3万余次，筹集慰问物品资金价值28万余元，完成志愿者注册15285人，评选市级文明单位12个，推送“四川好人”3名。四是抓好文化惠民，繁荣文艺创作。持续开展“三下乡”、文化走基层等惠民活动，开展大型文艺晚会9场，送出文艺作品8000余件，播放公益电影2100余场，进一步丰富了群众生活；推动文艺精品生产，全年创作文艺精品85个，其中，小说《老鸹》入围北京市优秀长篇小说扶持项目，玉雕作品《古韵》获省级比赛二等奖；深入开展“扫黄打非”专项治理活动，文化市场管理有序，完成作品登记600件。推进文联深化改革，顺利完成文联换届工作。顺利完成傈僳族婚礼省级专家评审，同意申报国家级非物质文化遗产。</w:t>
      </w:r>
    </w:p>
    <w:p>
      <w:pPr>
        <w:pStyle w:val="3"/>
        <w:ind w:firstLine="640" w:firstLineChars="200"/>
        <w:rPr>
          <w:rStyle w:val="26"/>
          <w:b w:val="0"/>
          <w:bCs w:val="0"/>
        </w:rPr>
      </w:pPr>
      <w:r>
        <w:rPr>
          <w:rFonts w:hint="eastAsia" w:ascii="黑体" w:eastAsia="黑体"/>
          <w:b w:val="0"/>
          <w:color w:val="000000"/>
        </w:rPr>
        <w:t>二、</w:t>
      </w:r>
      <w:r>
        <w:rPr>
          <w:rFonts w:hint="eastAsia" w:ascii="黑体" w:hAnsi="黑体" w:eastAsia="黑体"/>
          <w:b w:val="0"/>
          <w:color w:val="000000"/>
        </w:rPr>
        <w:t>机</w:t>
      </w:r>
      <w:r>
        <w:rPr>
          <w:rStyle w:val="26"/>
          <w:rFonts w:hint="eastAsia" w:ascii="黑体" w:hAnsi="黑体" w:eastAsia="黑体"/>
          <w:b w:val="0"/>
          <w:bCs w:val="0"/>
        </w:rPr>
        <w:t>构设置</w:t>
      </w:r>
      <w:bookmarkEnd w:id="26"/>
      <w:bookmarkEnd w:id="27"/>
      <w:bookmarkEnd w:id="28"/>
    </w:p>
    <w:p>
      <w:pPr>
        <w:widowControl/>
        <w:shd w:val="clear" w:color="auto" w:fill="FFFFFF"/>
        <w:spacing w:line="315" w:lineRule="atLeast"/>
        <w:ind w:firstLine="640"/>
        <w:jc w:val="left"/>
        <w:rPr>
          <w:rFonts w:ascii="仿宋_GB2312" w:hAnsi="仿宋_GB2312" w:eastAsia="仿宋_GB2312" w:cs="宋体"/>
          <w:color w:val="000000" w:themeColor="text1"/>
          <w:kern w:val="0"/>
          <w:sz w:val="33"/>
          <w:szCs w:val="33"/>
        </w:rPr>
      </w:pPr>
      <w:bookmarkStart w:id="29" w:name="_Toc15377204"/>
      <w:bookmarkStart w:id="30" w:name="_Toc15396602"/>
      <w:bookmarkStart w:id="31" w:name="_Toc52180073"/>
      <w:r>
        <w:rPr>
          <w:rFonts w:hint="eastAsia" w:ascii="仿宋_GB2312" w:hAnsi="仿宋_GB2312" w:eastAsia="仿宋_GB2312" w:cs="宋体"/>
          <w:color w:val="000000" w:themeColor="text1"/>
          <w:kern w:val="0"/>
          <w:sz w:val="33"/>
          <w:szCs w:val="33"/>
        </w:rPr>
        <w:t>宣传部内设股室4个，其中包括办公室、宣传股、文化电影出版管理股、精神文明建设股。下属二级单位2个，均为事业单位（县对外宣传服务中心、其中县文联属于群团组织参公编制。）</w:t>
      </w:r>
    </w:p>
    <w:p>
      <w:pPr>
        <w:pStyle w:val="2"/>
        <w:ind w:right="440"/>
        <w:jc w:val="right"/>
        <w:rPr>
          <w:rStyle w:val="25"/>
          <w:rFonts w:ascii="黑体" w:hAnsi="黑体" w:eastAsia="黑体"/>
          <w:b w:val="0"/>
          <w:bCs w:val="0"/>
        </w:rPr>
      </w:pPr>
      <w:r>
        <w:rPr>
          <w:rFonts w:hint="eastAsia" w:ascii="黑体" w:hAnsi="黑体" w:eastAsia="黑体"/>
          <w:b w:val="0"/>
          <w:color w:val="000000"/>
        </w:rPr>
        <w:t>第二部分</w:t>
      </w:r>
      <w:r>
        <w:rPr>
          <w:rFonts w:hint="eastAsia" w:ascii="黑体" w:hAnsi="黑体" w:eastAsia="黑体"/>
          <w:color w:val="000000"/>
        </w:rPr>
        <w:t xml:space="preserve"> </w:t>
      </w:r>
      <w:r>
        <w:rPr>
          <w:rStyle w:val="25"/>
          <w:rFonts w:hint="eastAsia" w:ascii="黑体" w:hAnsi="黑体" w:eastAsia="黑体"/>
          <w:b w:val="0"/>
          <w:bCs w:val="0"/>
        </w:rPr>
        <w:t>2019年度部门决算情况说明</w:t>
      </w:r>
      <w:bookmarkEnd w:id="29"/>
      <w:bookmarkEnd w:id="30"/>
      <w:bookmarkEnd w:id="31"/>
    </w:p>
    <w:p/>
    <w:p>
      <w:pPr>
        <w:pStyle w:val="24"/>
        <w:numPr>
          <w:ilvl w:val="0"/>
          <w:numId w:val="1"/>
        </w:numPr>
        <w:spacing w:line="600" w:lineRule="exact"/>
        <w:ind w:firstLineChars="0"/>
        <w:outlineLvl w:val="1"/>
        <w:rPr>
          <w:rStyle w:val="26"/>
          <w:rFonts w:ascii="黑体" w:hAnsi="黑体" w:eastAsia="黑体"/>
          <w:b w:val="0"/>
        </w:rPr>
      </w:pPr>
      <w:bookmarkStart w:id="32" w:name="_Toc15377205"/>
      <w:bookmarkStart w:id="33" w:name="_Toc15396603"/>
      <w:bookmarkStart w:id="34" w:name="_Toc52180074"/>
      <w:r>
        <w:rPr>
          <w:rFonts w:hint="eastAsia" w:ascii="黑体" w:hAnsi="黑体" w:eastAsia="黑体"/>
          <w:color w:val="000000"/>
          <w:sz w:val="32"/>
          <w:szCs w:val="32"/>
        </w:rPr>
        <w:t>收</w:t>
      </w:r>
      <w:r>
        <w:rPr>
          <w:rStyle w:val="26"/>
          <w:rFonts w:hint="eastAsia" w:ascii="黑体" w:hAnsi="黑体" w:eastAsia="黑体"/>
          <w:b w:val="0"/>
        </w:rPr>
        <w:t>入支出决算总体情况说明</w:t>
      </w:r>
      <w:bookmarkEnd w:id="32"/>
      <w:bookmarkEnd w:id="33"/>
      <w:bookmarkEnd w:id="34"/>
    </w:p>
    <w:p>
      <w:pPr>
        <w:widowControl/>
        <w:shd w:val="clear" w:color="auto" w:fill="FFFFFF"/>
        <w:spacing w:line="600" w:lineRule="atLeast"/>
        <w:ind w:firstLine="640" w:firstLineChars="200"/>
        <w:jc w:val="left"/>
        <w:rPr>
          <w:rFonts w:ascii="仿宋_GB2312" w:hAnsi="仿宋_GB2312" w:eastAsia="仿宋_GB2312" w:cs="宋体"/>
          <w:color w:val="333333"/>
          <w:kern w:val="0"/>
          <w:sz w:val="32"/>
          <w:szCs w:val="21"/>
        </w:rPr>
      </w:pPr>
      <w:r>
        <w:rPr>
          <w:rFonts w:hint="eastAsia" w:ascii="仿宋_GB2312" w:hAnsi="仿宋_GB2312" w:eastAsia="仿宋_GB2312" w:cs="宋体"/>
          <w:color w:val="000000"/>
          <w:kern w:val="0"/>
          <w:sz w:val="32"/>
          <w:szCs w:val="32"/>
        </w:rPr>
        <w:t>2019年收入合计429.33万元，</w:t>
      </w:r>
      <w:r>
        <w:rPr>
          <w:rFonts w:hint="eastAsia" w:ascii="仿宋" w:hAnsi="仿宋" w:eastAsia="仿宋"/>
          <w:color w:val="000000"/>
          <w:sz w:val="32"/>
          <w:szCs w:val="32"/>
        </w:rPr>
        <w:t>与2018年相比，增加210.05万元，增长</w:t>
      </w:r>
      <w:r>
        <w:rPr>
          <w:rFonts w:hint="eastAsia" w:ascii="仿宋_GB2312" w:hAnsi="仿宋_GB2312" w:eastAsia="仿宋_GB2312" w:cs="宋体"/>
          <w:color w:val="000000"/>
          <w:kern w:val="0"/>
          <w:sz w:val="32"/>
          <w:szCs w:val="32"/>
        </w:rPr>
        <w:t xml:space="preserve"> 95.79%。</w:t>
      </w:r>
    </w:p>
    <w:p>
      <w:pPr>
        <w:widowControl/>
        <w:shd w:val="clear" w:color="auto" w:fill="FFFFFF"/>
        <w:spacing w:line="600" w:lineRule="atLeast"/>
        <w:ind w:firstLine="640" w:firstLineChars="200"/>
        <w:jc w:val="left"/>
        <w:rPr>
          <w:rFonts w:ascii="仿宋_GB2312" w:hAnsi="仿宋_GB2312" w:eastAsia="仿宋_GB2312" w:cs="宋体"/>
          <w:color w:val="333333"/>
          <w:kern w:val="0"/>
          <w:sz w:val="32"/>
          <w:szCs w:val="21"/>
        </w:rPr>
      </w:pPr>
      <w:r>
        <w:rPr>
          <w:rFonts w:hint="eastAsia" w:ascii="仿宋_GB2312" w:hAnsi="仿宋_GB2312" w:eastAsia="仿宋_GB2312" w:cs="宋体"/>
          <w:color w:val="000000"/>
          <w:kern w:val="0"/>
          <w:sz w:val="32"/>
          <w:szCs w:val="32"/>
        </w:rPr>
        <w:t>2019年支出合计541.8万元，</w:t>
      </w:r>
      <w:r>
        <w:rPr>
          <w:rFonts w:hint="eastAsia" w:ascii="仿宋" w:hAnsi="仿宋" w:eastAsia="仿宋"/>
          <w:color w:val="000000"/>
          <w:sz w:val="32"/>
          <w:szCs w:val="32"/>
        </w:rPr>
        <w:t>与2018年相比，增加279.71万元，增长</w:t>
      </w:r>
      <w:r>
        <w:rPr>
          <w:rFonts w:hint="eastAsia" w:ascii="仿宋_GB2312" w:hAnsi="仿宋_GB2312" w:eastAsia="仿宋_GB2312" w:cs="宋体"/>
          <w:color w:val="000000"/>
          <w:kern w:val="0"/>
          <w:sz w:val="32"/>
          <w:szCs w:val="32"/>
        </w:rPr>
        <w:t>106.72%。</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主要变动原因是本年新增融媒体中心建设项目。</w:t>
      </w:r>
    </w:p>
    <w:p>
      <w:pPr>
        <w:spacing w:line="60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drawing>
          <wp:anchor distT="0" distB="0" distL="114300" distR="114300" simplePos="0" relativeHeight="251659264" behindDoc="0" locked="0" layoutInCell="1" allowOverlap="1">
            <wp:simplePos x="0" y="0"/>
            <wp:positionH relativeFrom="column">
              <wp:posOffset>227330</wp:posOffset>
            </wp:positionH>
            <wp:positionV relativeFrom="paragraph">
              <wp:posOffset>387350</wp:posOffset>
            </wp:positionV>
            <wp:extent cx="4763770" cy="2305685"/>
            <wp:effectExtent l="19050" t="0" r="17780" b="0"/>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r>
        <w:rPr>
          <w:rFonts w:hint="eastAsia" w:ascii="仿宋" w:hAnsi="仿宋" w:eastAsia="仿宋"/>
          <w:color w:val="000000" w:themeColor="text1"/>
          <w:sz w:val="32"/>
          <w:szCs w:val="32"/>
        </w:rPr>
        <w:t>（图</w:t>
      </w:r>
      <w:r>
        <w:rPr>
          <w:rFonts w:ascii="仿宋" w:hAnsi="仿宋" w:eastAsia="仿宋"/>
          <w:color w:val="000000" w:themeColor="text1"/>
          <w:sz w:val="32"/>
          <w:szCs w:val="32"/>
        </w:rPr>
        <w:t>1</w:t>
      </w:r>
      <w:r>
        <w:rPr>
          <w:rFonts w:hint="eastAsia" w:ascii="仿宋" w:hAnsi="仿宋" w:eastAsia="仿宋"/>
          <w:color w:val="000000" w:themeColor="text1"/>
          <w:sz w:val="32"/>
          <w:szCs w:val="32"/>
        </w:rPr>
        <w:t>：收入决算变动情况图）（柱状图）</w:t>
      </w:r>
    </w:p>
    <w:p>
      <w:pPr>
        <w:pStyle w:val="24"/>
        <w:numPr>
          <w:ilvl w:val="0"/>
          <w:numId w:val="1"/>
        </w:numPr>
        <w:spacing w:line="600" w:lineRule="exact"/>
        <w:ind w:firstLineChars="0"/>
        <w:outlineLvl w:val="1"/>
        <w:rPr>
          <w:rStyle w:val="26"/>
          <w:rFonts w:ascii="黑体" w:hAnsi="黑体" w:eastAsia="黑体"/>
          <w:b w:val="0"/>
        </w:rPr>
      </w:pPr>
      <w:bookmarkStart w:id="35" w:name="_Toc15396604"/>
      <w:bookmarkStart w:id="36" w:name="_Toc15377206"/>
      <w:bookmarkStart w:id="37" w:name="_Toc52180075"/>
      <w:r>
        <w:rPr>
          <w:rFonts w:hint="eastAsia" w:ascii="黑体" w:hAnsi="黑体" w:eastAsia="黑体"/>
          <w:color w:val="000000"/>
          <w:sz w:val="32"/>
          <w:szCs w:val="32"/>
        </w:rPr>
        <w:t>收</w:t>
      </w:r>
      <w:r>
        <w:rPr>
          <w:rStyle w:val="26"/>
          <w:rFonts w:hint="eastAsia" w:ascii="黑体" w:hAnsi="黑体" w:eastAsia="黑体"/>
          <w:b w:val="0"/>
        </w:rPr>
        <w:t>入决算情况说明</w:t>
      </w:r>
      <w:bookmarkEnd w:id="35"/>
      <w:bookmarkEnd w:id="36"/>
      <w:bookmarkEnd w:id="37"/>
    </w:p>
    <w:p>
      <w:pPr>
        <w:widowControl/>
        <w:shd w:val="clear" w:color="auto" w:fill="FFFFFF"/>
        <w:spacing w:line="600" w:lineRule="atLeast"/>
        <w:ind w:firstLine="640" w:firstLineChars="200"/>
        <w:jc w:val="left"/>
        <w:rPr>
          <w:rFonts w:ascii="仿宋_GB2312" w:hAnsi="仿宋_GB2312" w:eastAsia="仿宋_GB2312" w:cs="宋体"/>
          <w:color w:val="333333"/>
          <w:kern w:val="0"/>
          <w:sz w:val="32"/>
          <w:szCs w:val="21"/>
        </w:rPr>
      </w:pPr>
      <w:bookmarkStart w:id="38" w:name="_Toc52180076"/>
      <w:r>
        <w:rPr>
          <w:rFonts w:hint="eastAsia" w:ascii="仿宋_GB2312" w:hAnsi="仿宋_GB2312" w:eastAsia="仿宋_GB2312" w:cs="宋体"/>
          <w:color w:val="000000"/>
          <w:kern w:val="0"/>
          <w:sz w:val="32"/>
          <w:szCs w:val="32"/>
        </w:rPr>
        <w:t>2019年收入合计429.33万元，其中：</w:t>
      </w:r>
      <w:r>
        <w:rPr>
          <w:rFonts w:hint="eastAsia" w:ascii="仿宋" w:hAnsi="仿宋" w:eastAsia="仿宋"/>
          <w:color w:val="000000"/>
          <w:sz w:val="32"/>
          <w:szCs w:val="32"/>
        </w:rPr>
        <w:t>一般公共预算</w:t>
      </w:r>
      <w:r>
        <w:rPr>
          <w:rFonts w:hint="eastAsia" w:ascii="仿宋_GB2312" w:hAnsi="仿宋_GB2312" w:eastAsia="仿宋_GB2312" w:cs="宋体"/>
          <w:color w:val="000000"/>
          <w:kern w:val="0"/>
          <w:sz w:val="32"/>
          <w:szCs w:val="32"/>
        </w:rPr>
        <w:t>财政拨款收入428.32万元，占99.76%，政府性基金拨款收入1.01万元，占0.24%。</w:t>
      </w:r>
    </w:p>
    <w:bookmarkEnd w:id="38"/>
    <w:p>
      <w:pPr>
        <w:spacing w:line="60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（图2：收入决算结构图）（饼状图）</w:t>
      </w:r>
    </w:p>
    <w:p>
      <w:pPr>
        <w:spacing w:line="600" w:lineRule="exact"/>
        <w:ind w:firstLine="640" w:firstLineChars="200"/>
        <w:rPr>
          <w:rFonts w:ascii="仿宋_GB2312" w:eastAsia="仿宋_GB2312"/>
          <w:color w:val="FF0000"/>
          <w:sz w:val="32"/>
          <w:szCs w:val="32"/>
        </w:rPr>
      </w:pPr>
      <w:r>
        <w:rPr>
          <w:rFonts w:ascii="仿宋_GB2312" w:eastAsia="仿宋_GB2312"/>
          <w:color w:val="FF0000"/>
          <w:sz w:val="32"/>
          <w:szCs w:val="32"/>
        </w:rPr>
        <w:drawing>
          <wp:anchor distT="0" distB="0" distL="114300" distR="114300" simplePos="0" relativeHeight="251660288" behindDoc="0" locked="0" layoutInCell="1" allowOverlap="1">
            <wp:simplePos x="0" y="0"/>
            <wp:positionH relativeFrom="column">
              <wp:posOffset>402590</wp:posOffset>
            </wp:positionH>
            <wp:positionV relativeFrom="paragraph">
              <wp:posOffset>60960</wp:posOffset>
            </wp:positionV>
            <wp:extent cx="4292600" cy="1605915"/>
            <wp:effectExtent l="19050" t="0" r="12700" b="0"/>
            <wp:wrapTopAndBottom/>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pStyle w:val="24"/>
        <w:numPr>
          <w:ilvl w:val="0"/>
          <w:numId w:val="1"/>
        </w:numPr>
        <w:spacing w:line="600" w:lineRule="exact"/>
        <w:ind w:firstLineChars="0"/>
        <w:outlineLvl w:val="1"/>
        <w:rPr>
          <w:rStyle w:val="26"/>
          <w:rFonts w:ascii="黑体" w:hAnsi="黑体" w:eastAsia="黑体"/>
          <w:b w:val="0"/>
        </w:rPr>
      </w:pPr>
      <w:bookmarkStart w:id="39" w:name="_Toc15377207"/>
      <w:bookmarkStart w:id="40" w:name="_Toc15396605"/>
      <w:bookmarkStart w:id="41" w:name="_Toc52180077"/>
      <w:r>
        <w:rPr>
          <w:rFonts w:hint="eastAsia" w:ascii="黑体" w:hAnsi="黑体" w:eastAsia="黑体"/>
          <w:color w:val="000000"/>
          <w:sz w:val="32"/>
          <w:szCs w:val="32"/>
        </w:rPr>
        <w:drawing>
          <wp:anchor distT="0" distB="0" distL="114300" distR="114300" simplePos="0" relativeHeight="251661312" behindDoc="0" locked="0" layoutInCell="1" allowOverlap="1">
            <wp:simplePos x="0" y="0"/>
            <wp:positionH relativeFrom="column">
              <wp:posOffset>306705</wp:posOffset>
            </wp:positionH>
            <wp:positionV relativeFrom="paragraph">
              <wp:posOffset>1605915</wp:posOffset>
            </wp:positionV>
            <wp:extent cx="5267325" cy="2660015"/>
            <wp:effectExtent l="19050" t="0" r="9525" b="6985"/>
            <wp:wrapTopAndBottom/>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Pr>
          <w:rFonts w:hint="eastAsia" w:ascii="黑体" w:hAnsi="黑体" w:eastAsia="黑体"/>
          <w:color w:val="000000"/>
          <w:sz w:val="32"/>
          <w:szCs w:val="32"/>
        </w:rPr>
        <w:t>支</w:t>
      </w:r>
      <w:r>
        <w:rPr>
          <w:rStyle w:val="26"/>
          <w:rFonts w:hint="eastAsia" w:ascii="黑体" w:hAnsi="黑体" w:eastAsia="黑体"/>
          <w:b w:val="0"/>
        </w:rPr>
        <w:t>出决算情况说明</w:t>
      </w:r>
      <w:bookmarkEnd w:id="39"/>
      <w:bookmarkEnd w:id="40"/>
      <w:bookmarkEnd w:id="41"/>
    </w:p>
    <w:p>
      <w:pPr>
        <w:widowControl/>
        <w:shd w:val="clear" w:color="auto" w:fill="FFFFFF"/>
        <w:spacing w:line="600" w:lineRule="atLeast"/>
        <w:ind w:firstLine="640" w:firstLineChars="200"/>
        <w:jc w:val="left"/>
        <w:rPr>
          <w:rFonts w:ascii="仿宋_GB2312" w:hAnsi="仿宋_GB2312" w:eastAsia="仿宋_GB2312" w:cs="宋体"/>
          <w:color w:val="333333"/>
          <w:kern w:val="0"/>
          <w:sz w:val="32"/>
          <w:szCs w:val="21"/>
        </w:rPr>
      </w:pPr>
      <w:bookmarkStart w:id="42" w:name="_Toc52180078"/>
      <w:r>
        <w:rPr>
          <w:rFonts w:hint="eastAsia" w:ascii="仿宋_GB2312" w:hAnsi="仿宋_GB2312" w:eastAsia="仿宋_GB2312" w:cs="宋体"/>
          <w:color w:val="000000"/>
          <w:kern w:val="0"/>
          <w:sz w:val="32"/>
          <w:szCs w:val="32"/>
        </w:rPr>
        <w:t>2019年支出合计541.8万元，其中：基本支出282.67万元，占52%；项目支出259.14万元，48%。</w:t>
      </w:r>
    </w:p>
    <w:bookmarkEnd w:id="42"/>
    <w:p>
      <w:pPr>
        <w:spacing w:line="60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（图3：支出决算结构图）（饼状图）</w:t>
      </w:r>
    </w:p>
    <w:p>
      <w:pPr>
        <w:spacing w:line="600" w:lineRule="exact"/>
        <w:ind w:firstLine="640" w:firstLineChars="200"/>
        <w:outlineLvl w:val="1"/>
        <w:rPr>
          <w:rStyle w:val="26"/>
          <w:rFonts w:ascii="黑体" w:hAnsi="黑体" w:eastAsia="黑体"/>
          <w:b w:val="0"/>
        </w:rPr>
      </w:pPr>
      <w:bookmarkStart w:id="43" w:name="_Toc15377208"/>
      <w:bookmarkStart w:id="44" w:name="_Toc15396606"/>
      <w:bookmarkStart w:id="45" w:name="_Toc52180079"/>
      <w:r>
        <w:rPr>
          <w:rFonts w:hint="eastAsia" w:ascii="黑体" w:hAnsi="黑体" w:eastAsia="黑体"/>
          <w:color w:val="000000"/>
          <w:sz w:val="32"/>
          <w:szCs w:val="32"/>
        </w:rPr>
        <w:t>四、财</w:t>
      </w:r>
      <w:r>
        <w:rPr>
          <w:rStyle w:val="26"/>
          <w:rFonts w:hint="eastAsia" w:ascii="黑体" w:hAnsi="黑体" w:eastAsia="黑体"/>
          <w:b w:val="0"/>
        </w:rPr>
        <w:t>政拨款收入支出决算总体情况说明</w:t>
      </w:r>
      <w:bookmarkEnd w:id="43"/>
      <w:bookmarkEnd w:id="44"/>
      <w:bookmarkEnd w:id="45"/>
    </w:p>
    <w:p>
      <w:pPr>
        <w:widowControl/>
        <w:shd w:val="clear" w:color="auto" w:fill="FFFFFF"/>
        <w:spacing w:line="600" w:lineRule="atLeast"/>
        <w:ind w:firstLine="640"/>
        <w:jc w:val="left"/>
        <w:rPr>
          <w:rFonts w:ascii="仿宋_GB2312" w:hAnsi="仿宋_GB2312" w:eastAsia="仿宋_GB2312" w:cs="宋体"/>
          <w:color w:val="333333"/>
          <w:kern w:val="0"/>
          <w:sz w:val="32"/>
          <w:szCs w:val="21"/>
        </w:rPr>
      </w:pPr>
      <w:r>
        <w:rPr>
          <w:rFonts w:hint="eastAsia" w:ascii="仿宋_GB2312" w:hAnsi="仿宋_GB2312" w:eastAsia="仿宋_GB2312" w:cs="宋体"/>
          <w:color w:val="333333"/>
          <w:kern w:val="0"/>
          <w:sz w:val="32"/>
          <w:szCs w:val="32"/>
        </w:rPr>
        <w:t>2019年度财政拨款收入总决算</w:t>
      </w:r>
      <w:r>
        <w:rPr>
          <w:rFonts w:hint="eastAsia" w:ascii="仿宋_GB2312" w:hAnsi="仿宋_GB2312" w:eastAsia="仿宋_GB2312" w:cs="宋体"/>
          <w:color w:val="000000"/>
          <w:kern w:val="0"/>
          <w:sz w:val="32"/>
          <w:szCs w:val="32"/>
        </w:rPr>
        <w:t>429.33</w:t>
      </w:r>
      <w:r>
        <w:rPr>
          <w:rFonts w:hint="eastAsia" w:ascii="仿宋_GB2312" w:hAnsi="仿宋_GB2312" w:eastAsia="仿宋_GB2312" w:cs="宋体"/>
          <w:color w:val="333333"/>
          <w:kern w:val="0"/>
          <w:sz w:val="32"/>
          <w:szCs w:val="32"/>
        </w:rPr>
        <w:t>万元。</w:t>
      </w:r>
      <w:r>
        <w:rPr>
          <w:rFonts w:hint="eastAsia" w:ascii="仿宋_GB2312" w:hAnsi="仿宋_GB2312" w:eastAsia="仿宋_GB2312" w:cs="仿宋"/>
          <w:color w:val="000000"/>
          <w:sz w:val="32"/>
          <w:szCs w:val="32"/>
        </w:rPr>
        <w:t>比上年增加210.05元，增长95.79%，</w:t>
      </w:r>
      <w:r>
        <w:rPr>
          <w:rFonts w:hint="eastAsia" w:ascii="仿宋_GB2312" w:hAnsi="仿宋_GB2312" w:eastAsia="仿宋_GB2312" w:cs="宋体"/>
          <w:color w:val="333333"/>
          <w:kern w:val="0"/>
          <w:sz w:val="32"/>
          <w:szCs w:val="32"/>
        </w:rPr>
        <w:t>2019年度财政拨款支出总决算</w:t>
      </w:r>
      <w:r>
        <w:rPr>
          <w:rFonts w:hint="eastAsia" w:ascii="仿宋_GB2312" w:hAnsi="仿宋_GB2312" w:eastAsia="仿宋_GB2312" w:cs="宋体"/>
          <w:color w:val="000000"/>
          <w:kern w:val="0"/>
          <w:sz w:val="32"/>
          <w:szCs w:val="32"/>
        </w:rPr>
        <w:t>541.8</w:t>
      </w:r>
      <w:r>
        <w:rPr>
          <w:rFonts w:hint="eastAsia" w:ascii="仿宋_GB2312" w:hAnsi="仿宋_GB2312" w:eastAsia="仿宋_GB2312" w:cs="宋体"/>
          <w:color w:val="333333"/>
          <w:kern w:val="0"/>
          <w:sz w:val="32"/>
          <w:szCs w:val="32"/>
        </w:rPr>
        <w:t>万元，</w:t>
      </w:r>
      <w:r>
        <w:rPr>
          <w:rFonts w:hint="eastAsia" w:ascii="仿宋_GB2312" w:hAnsi="仿宋_GB2312" w:eastAsia="仿宋_GB2312" w:cs="仿宋"/>
          <w:color w:val="000000"/>
          <w:sz w:val="32"/>
          <w:szCs w:val="32"/>
        </w:rPr>
        <w:t>比上年增加279.71元，增长106.72%</w:t>
      </w:r>
      <w:r>
        <w:rPr>
          <w:rFonts w:hint="eastAsia" w:ascii="仿宋_GB2312" w:hAnsi="仿宋_GB2312" w:eastAsia="仿宋_GB2312" w:cs="宋体"/>
          <w:color w:val="333333"/>
          <w:kern w:val="0"/>
          <w:sz w:val="32"/>
          <w:szCs w:val="32"/>
        </w:rPr>
        <w:t>。</w:t>
      </w:r>
      <w:r>
        <w:rPr>
          <w:rFonts w:hint="eastAsia" w:ascii="仿宋" w:hAnsi="仿宋" w:eastAsia="仿宋"/>
          <w:color w:val="000000"/>
          <w:sz w:val="32"/>
          <w:szCs w:val="32"/>
        </w:rPr>
        <w:t>主要变动原因是本年增加融媒体中心建设项目。</w:t>
      </w:r>
    </w:p>
    <w:p>
      <w:pPr>
        <w:spacing w:line="600" w:lineRule="exact"/>
        <w:ind w:firstLine="640" w:firstLineChars="200"/>
        <w:outlineLvl w:val="1"/>
        <w:rPr>
          <w:rStyle w:val="26"/>
          <w:rFonts w:ascii="黑体" w:hAnsi="黑体" w:eastAsia="黑体"/>
          <w:b w:val="0"/>
        </w:rPr>
      </w:pPr>
      <w:bookmarkStart w:id="46" w:name="_Toc52180080"/>
      <w:bookmarkStart w:id="47" w:name="_Toc15377209"/>
      <w:bookmarkStart w:id="48" w:name="_Toc15396607"/>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6"/>
          <w:rFonts w:hint="eastAsia" w:ascii="黑体" w:hAnsi="黑体" w:eastAsia="黑体"/>
          <w:b w:val="0"/>
        </w:rPr>
        <w:t>般公共预算财政拨款支出决算情况说明</w:t>
      </w:r>
      <w:bookmarkEnd w:id="46"/>
      <w:bookmarkEnd w:id="47"/>
      <w:bookmarkEnd w:id="48"/>
    </w:p>
    <w:p>
      <w:pPr>
        <w:spacing w:line="600" w:lineRule="exact"/>
        <w:ind w:firstLine="643" w:firstLineChars="200"/>
        <w:outlineLvl w:val="2"/>
        <w:rPr>
          <w:rFonts w:ascii="仿宋" w:hAnsi="仿宋" w:eastAsia="仿宋"/>
          <w:b/>
          <w:color w:val="000000"/>
          <w:sz w:val="32"/>
          <w:szCs w:val="32"/>
        </w:rPr>
      </w:pPr>
      <w:bookmarkStart w:id="49" w:name="_Toc15377210"/>
      <w:bookmarkStart w:id="50" w:name="_Toc52180081"/>
      <w:r>
        <w:rPr>
          <w:rFonts w:hint="eastAsia" w:ascii="仿宋" w:hAnsi="仿宋" w:eastAsia="仿宋"/>
          <w:b/>
          <w:color w:val="000000"/>
          <w:sz w:val="32"/>
          <w:szCs w:val="32"/>
        </w:rPr>
        <w:t>（一）一般公共预算财政拨款支出决算总体情况</w:t>
      </w:r>
      <w:bookmarkEnd w:id="49"/>
      <w:bookmarkEnd w:id="50"/>
    </w:p>
    <w:p>
      <w:pPr>
        <w:widowControl/>
        <w:shd w:val="clear" w:color="auto" w:fill="FFFFFF"/>
        <w:spacing w:line="600" w:lineRule="atLeast"/>
        <w:ind w:firstLine="640"/>
        <w:jc w:val="left"/>
        <w:rPr>
          <w:rFonts w:ascii="仿宋" w:hAnsi="仿宋" w:eastAsia="仿宋"/>
          <w:color w:val="000000"/>
          <w:sz w:val="32"/>
          <w:szCs w:val="32"/>
        </w:rPr>
      </w:pPr>
      <w:r>
        <w:rPr>
          <w:rFonts w:hint="eastAsia" w:ascii="仿宋_GB2312" w:hAnsi="仿宋_GB2312" w:eastAsia="仿宋_GB2312" w:cs="宋体"/>
          <w:color w:val="333333"/>
          <w:kern w:val="0"/>
          <w:sz w:val="32"/>
          <w:szCs w:val="32"/>
        </w:rPr>
        <w:t>2019年度一般公共预算财政拨款收入总决算</w:t>
      </w:r>
      <w:r>
        <w:rPr>
          <w:rFonts w:hint="eastAsia" w:ascii="仿宋_GB2312" w:hAnsi="仿宋_GB2312" w:eastAsia="仿宋_GB2312" w:cs="宋体"/>
          <w:color w:val="000000"/>
          <w:kern w:val="0"/>
          <w:sz w:val="32"/>
          <w:szCs w:val="32"/>
        </w:rPr>
        <w:t>428.32</w:t>
      </w:r>
      <w:r>
        <w:rPr>
          <w:rFonts w:hint="eastAsia" w:ascii="仿宋_GB2312" w:hAnsi="仿宋_GB2312" w:eastAsia="仿宋_GB2312" w:cs="宋体"/>
          <w:color w:val="333333"/>
          <w:kern w:val="0"/>
          <w:sz w:val="32"/>
          <w:szCs w:val="32"/>
        </w:rPr>
        <w:t>万元。</w:t>
      </w:r>
      <w:r>
        <w:rPr>
          <w:rFonts w:hint="eastAsia" w:ascii="仿宋_GB2312" w:hAnsi="仿宋_GB2312" w:eastAsia="仿宋_GB2312" w:cs="仿宋"/>
          <w:color w:val="000000"/>
          <w:sz w:val="32"/>
          <w:szCs w:val="32"/>
        </w:rPr>
        <w:t>比上年增加210.05元，增长95.79%，</w:t>
      </w:r>
      <w:r>
        <w:rPr>
          <w:rFonts w:hint="eastAsia" w:ascii="仿宋_GB2312" w:hAnsi="仿宋_GB2312" w:eastAsia="仿宋_GB2312" w:cs="宋体"/>
          <w:color w:val="333333"/>
          <w:kern w:val="0"/>
          <w:sz w:val="32"/>
          <w:szCs w:val="32"/>
        </w:rPr>
        <w:t>2019年度财政拨款支出总决算</w:t>
      </w:r>
      <w:r>
        <w:rPr>
          <w:rFonts w:hint="eastAsia" w:ascii="仿宋_GB2312" w:hAnsi="仿宋_GB2312" w:eastAsia="仿宋_GB2312" w:cs="宋体"/>
          <w:color w:val="000000"/>
          <w:kern w:val="0"/>
          <w:sz w:val="32"/>
          <w:szCs w:val="32"/>
        </w:rPr>
        <w:t>541.8</w:t>
      </w:r>
      <w:r>
        <w:rPr>
          <w:rFonts w:hint="eastAsia" w:ascii="仿宋_GB2312" w:hAnsi="仿宋_GB2312" w:eastAsia="仿宋_GB2312" w:cs="宋体"/>
          <w:color w:val="333333"/>
          <w:kern w:val="0"/>
          <w:sz w:val="32"/>
          <w:szCs w:val="32"/>
        </w:rPr>
        <w:t>万元，</w:t>
      </w:r>
      <w:r>
        <w:rPr>
          <w:rFonts w:hint="eastAsia" w:ascii="仿宋_GB2312" w:hAnsi="仿宋_GB2312" w:eastAsia="仿宋_GB2312" w:cs="仿宋"/>
          <w:color w:val="000000"/>
          <w:sz w:val="32"/>
          <w:szCs w:val="32"/>
        </w:rPr>
        <w:t>比上年增加279.71元，增长106.72%</w:t>
      </w:r>
      <w:r>
        <w:rPr>
          <w:rFonts w:hint="eastAsia" w:ascii="仿宋_GB2312" w:hAnsi="仿宋_GB2312" w:eastAsia="仿宋_GB2312" w:cs="宋体"/>
          <w:color w:val="333333"/>
          <w:kern w:val="0"/>
          <w:sz w:val="32"/>
          <w:szCs w:val="32"/>
        </w:rPr>
        <w:t>。</w:t>
      </w:r>
      <w:r>
        <w:rPr>
          <w:rFonts w:hint="eastAsia" w:ascii="仿宋" w:hAnsi="仿宋" w:eastAsia="仿宋"/>
          <w:color w:val="000000"/>
          <w:sz w:val="32"/>
          <w:szCs w:val="32"/>
        </w:rPr>
        <w:t>主要变动原因是本年增加融媒体中心建设项目。</w:t>
      </w:r>
    </w:p>
    <w:p>
      <w:pPr>
        <w:spacing w:line="60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drawing>
          <wp:anchor distT="0" distB="0" distL="114300" distR="114300" simplePos="0" relativeHeight="251662336" behindDoc="0" locked="0" layoutInCell="1" allowOverlap="1">
            <wp:simplePos x="0" y="0"/>
            <wp:positionH relativeFrom="column">
              <wp:posOffset>116205</wp:posOffset>
            </wp:positionH>
            <wp:positionV relativeFrom="paragraph">
              <wp:posOffset>834390</wp:posOffset>
            </wp:positionV>
            <wp:extent cx="5266055" cy="2694940"/>
            <wp:effectExtent l="19050" t="0" r="10795" b="0"/>
            <wp:wrapTopAndBottom/>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hint="eastAsia" w:ascii="仿宋" w:hAnsi="仿宋" w:eastAsia="仿宋"/>
          <w:color w:val="000000" w:themeColor="text1"/>
          <w:sz w:val="32"/>
          <w:szCs w:val="32"/>
        </w:rPr>
        <w:t>（图5：一般公共预算财政拨款支出决算变动情况）（柱状图）</w:t>
      </w:r>
    </w:p>
    <w:p>
      <w:pPr>
        <w:spacing w:line="600" w:lineRule="exact"/>
        <w:ind w:firstLine="643" w:firstLineChars="200"/>
        <w:outlineLvl w:val="2"/>
        <w:rPr>
          <w:rFonts w:ascii="仿宋" w:hAnsi="仿宋" w:eastAsia="仿宋"/>
          <w:b/>
          <w:color w:val="000000"/>
          <w:sz w:val="32"/>
          <w:szCs w:val="32"/>
        </w:rPr>
      </w:pPr>
      <w:bookmarkStart w:id="51" w:name="_Toc52180082"/>
      <w:bookmarkStart w:id="52" w:name="_Toc15377211"/>
      <w:r>
        <w:rPr>
          <w:rFonts w:hint="eastAsia" w:ascii="仿宋" w:hAnsi="仿宋" w:eastAsia="仿宋"/>
          <w:b/>
          <w:color w:val="000000"/>
          <w:sz w:val="32"/>
          <w:szCs w:val="32"/>
        </w:rPr>
        <w:t>（二）一般公共预算财政拨款支出决算结构情况</w:t>
      </w:r>
      <w:bookmarkEnd w:id="51"/>
      <w:bookmarkEnd w:id="52"/>
    </w:p>
    <w:p>
      <w:pPr>
        <w:widowControl/>
        <w:shd w:val="clear" w:color="auto" w:fill="FFFFFF"/>
        <w:spacing w:line="600" w:lineRule="atLeast"/>
        <w:ind w:firstLine="640"/>
        <w:jc w:val="left"/>
        <w:rPr>
          <w:rFonts w:ascii="仿宋_GB2312" w:hAnsi="仿宋_GB2312" w:eastAsia="仿宋_GB2312" w:cs="宋体"/>
          <w:color w:val="333333"/>
          <w:kern w:val="0"/>
          <w:sz w:val="32"/>
          <w:szCs w:val="21"/>
        </w:rPr>
      </w:pPr>
      <w:r>
        <w:rPr>
          <w:rFonts w:hint="eastAsia" w:ascii="仿宋_GB2312" w:hAnsi="仿宋_GB2312" w:eastAsia="仿宋_GB2312" w:cs="宋体"/>
          <w:color w:val="000000"/>
          <w:kern w:val="0"/>
          <w:sz w:val="32"/>
          <w:szCs w:val="32"/>
        </w:rPr>
        <w:t>2019年一般公共预算财政拨款支出541.8万元，主要用于以下方面:一般公共服务支出439.08万元；文化旅游体育与传媒支出48万元；社会保障和就业支出28.86万元；住房保障支出25.86万元。</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drawing>
          <wp:anchor distT="0" distB="0" distL="114300" distR="114300" simplePos="0" relativeHeight="251663360" behindDoc="0" locked="0" layoutInCell="1" allowOverlap="1">
            <wp:simplePos x="0" y="0"/>
            <wp:positionH relativeFrom="column">
              <wp:posOffset>394335</wp:posOffset>
            </wp:positionH>
            <wp:positionV relativeFrom="paragraph">
              <wp:posOffset>459740</wp:posOffset>
            </wp:positionV>
            <wp:extent cx="4791075" cy="2576195"/>
            <wp:effectExtent l="19050" t="0" r="9525" b="0"/>
            <wp:wrapTopAndBottom/>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hint="eastAsia" w:ascii="仿宋" w:hAnsi="仿宋" w:eastAsia="仿宋"/>
          <w:color w:val="000000"/>
          <w:sz w:val="32"/>
          <w:szCs w:val="32"/>
        </w:rPr>
        <w:t>（图6：一般公共预算财政拨款支出决算结构）（饼状图）</w:t>
      </w:r>
    </w:p>
    <w:p>
      <w:pPr>
        <w:spacing w:line="600" w:lineRule="exact"/>
        <w:ind w:firstLine="643" w:firstLineChars="200"/>
        <w:outlineLvl w:val="2"/>
        <w:rPr>
          <w:rFonts w:ascii="仿宋" w:hAnsi="仿宋" w:eastAsia="仿宋"/>
          <w:b/>
          <w:color w:val="000000"/>
          <w:sz w:val="32"/>
          <w:szCs w:val="32"/>
        </w:rPr>
      </w:pPr>
      <w:bookmarkStart w:id="53" w:name="_Toc52180083"/>
      <w:bookmarkStart w:id="54" w:name="_Toc15377212"/>
      <w:r>
        <w:rPr>
          <w:rFonts w:hint="eastAsia" w:ascii="仿宋" w:hAnsi="仿宋" w:eastAsia="仿宋"/>
          <w:b/>
          <w:color w:val="000000"/>
          <w:sz w:val="32"/>
          <w:szCs w:val="32"/>
        </w:rPr>
        <w:t>（三）一般公共预算财政拨款支出决算具体情况</w:t>
      </w:r>
      <w:bookmarkEnd w:id="53"/>
      <w:bookmarkEnd w:id="54"/>
    </w:p>
    <w:p>
      <w:pPr>
        <w:spacing w:line="600" w:lineRule="exact"/>
        <w:ind w:firstLine="643" w:firstLineChars="200"/>
        <w:outlineLvl w:val="2"/>
        <w:rPr>
          <w:rFonts w:ascii="仿宋" w:hAnsi="仿宋" w:eastAsia="仿宋"/>
          <w:color w:val="FF0000"/>
          <w:sz w:val="32"/>
          <w:szCs w:val="32"/>
        </w:rPr>
      </w:pPr>
      <w:bookmarkStart w:id="55" w:name="_Toc15377213"/>
      <w:bookmarkStart w:id="56" w:name="_Toc15378460"/>
      <w:bookmarkStart w:id="57" w:name="_Toc15377444"/>
      <w:bookmarkStart w:id="58" w:name="_Toc52180084"/>
      <w:r>
        <w:rPr>
          <w:rFonts w:hint="eastAsia" w:ascii="仿宋" w:hAnsi="仿宋" w:eastAsia="仿宋"/>
          <w:b/>
          <w:color w:val="000000" w:themeColor="text1"/>
          <w:sz w:val="32"/>
          <w:szCs w:val="32"/>
        </w:rPr>
        <w:t>2019年一般公共预算支出决算数为</w:t>
      </w:r>
      <w:r>
        <w:rPr>
          <w:rFonts w:hint="eastAsia" w:ascii="仿宋_GB2312" w:hAnsi="仿宋_GB2312" w:eastAsia="仿宋_GB2312" w:cs="宋体"/>
          <w:color w:val="000000"/>
          <w:kern w:val="0"/>
          <w:sz w:val="32"/>
          <w:szCs w:val="32"/>
        </w:rPr>
        <w:t>541.8万元</w:t>
      </w:r>
      <w:r>
        <w:rPr>
          <w:rFonts w:hint="eastAsia" w:ascii="仿宋" w:hAnsi="仿宋" w:eastAsia="仿宋"/>
          <w:color w:val="000000" w:themeColor="text1"/>
          <w:sz w:val="32"/>
          <w:szCs w:val="32"/>
        </w:rPr>
        <w:t>，</w:t>
      </w:r>
      <w:r>
        <w:rPr>
          <w:rStyle w:val="15"/>
          <w:rFonts w:hint="eastAsia" w:ascii="仿宋" w:hAnsi="仿宋" w:eastAsia="仿宋"/>
          <w:bCs/>
          <w:color w:val="000000" w:themeColor="text1"/>
          <w:sz w:val="32"/>
          <w:szCs w:val="32"/>
        </w:rPr>
        <w:t>完成</w:t>
      </w:r>
      <w:r>
        <w:rPr>
          <w:rStyle w:val="15"/>
          <w:rFonts w:hint="eastAsia" w:ascii="仿宋" w:hAnsi="仿宋" w:eastAsia="仿宋"/>
          <w:bCs/>
          <w:color w:val="000000"/>
          <w:sz w:val="32"/>
          <w:szCs w:val="32"/>
        </w:rPr>
        <w:t>预算100</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。其中：</w:t>
      </w:r>
      <w:bookmarkEnd w:id="55"/>
      <w:bookmarkEnd w:id="56"/>
      <w:bookmarkEnd w:id="57"/>
      <w:bookmarkEnd w:id="58"/>
    </w:p>
    <w:p>
      <w:pPr>
        <w:widowControl/>
        <w:shd w:val="clear" w:color="auto" w:fill="FFFFFF"/>
        <w:spacing w:line="600" w:lineRule="atLeast"/>
        <w:ind w:firstLine="643"/>
        <w:jc w:val="left"/>
        <w:rPr>
          <w:rFonts w:ascii="仿宋_GB2312" w:hAnsi="仿宋_GB2312" w:eastAsia="仿宋_GB2312" w:cs="宋体"/>
          <w:color w:val="333333"/>
          <w:kern w:val="0"/>
          <w:sz w:val="32"/>
          <w:szCs w:val="21"/>
        </w:rPr>
      </w:pPr>
      <w:r>
        <w:rPr>
          <w:rFonts w:hint="eastAsia" w:ascii="仿宋_GB2312" w:hAnsi="仿宋_GB2312" w:eastAsia="仿宋_GB2312" w:cs="宋体"/>
          <w:color w:val="000000"/>
          <w:kern w:val="0"/>
          <w:sz w:val="32"/>
        </w:rPr>
        <w:t>1.一般公共服务20133宣传事务:</w:t>
      </w:r>
      <w:r>
        <w:rPr>
          <w:rFonts w:hint="eastAsia" w:ascii="仿宋_GB2312" w:hAnsi="仿宋_GB2312" w:eastAsia="仿宋_GB2312" w:cs="宋体"/>
          <w:color w:val="000000"/>
          <w:kern w:val="0"/>
          <w:sz w:val="32"/>
          <w:szCs w:val="32"/>
        </w:rPr>
        <w:t>2018年决算数为439.08万元，</w:t>
      </w:r>
      <w:r>
        <w:rPr>
          <w:rStyle w:val="15"/>
          <w:rFonts w:hint="eastAsia" w:ascii="仿宋" w:hAnsi="仿宋" w:eastAsia="仿宋"/>
          <w:b w:val="0"/>
          <w:bCs/>
          <w:color w:val="000000"/>
          <w:sz w:val="32"/>
          <w:szCs w:val="32"/>
        </w:rPr>
        <w:t>完成预算100</w:t>
      </w:r>
      <w:r>
        <w:rPr>
          <w:rStyle w:val="15"/>
          <w:rFonts w:ascii="仿宋" w:hAnsi="仿宋" w:eastAsia="仿宋"/>
          <w:b w:val="0"/>
          <w:bCs/>
          <w:color w:val="000000"/>
          <w:sz w:val="32"/>
          <w:szCs w:val="32"/>
        </w:rPr>
        <w:t>%</w:t>
      </w:r>
      <w:r>
        <w:rPr>
          <w:rFonts w:hint="eastAsia" w:ascii="仿宋_GB2312" w:hAnsi="仿宋_GB2312" w:eastAsia="仿宋_GB2312" w:cs="宋体"/>
          <w:color w:val="000000"/>
          <w:kern w:val="0"/>
          <w:sz w:val="32"/>
          <w:szCs w:val="32"/>
        </w:rPr>
        <w:t>。</w:t>
      </w:r>
      <w:r>
        <w:rPr>
          <w:rFonts w:hint="eastAsia" w:ascii="仿宋_GB2312" w:hAnsi="仿宋_GB2312" w:eastAsia="仿宋_GB2312" w:cs="宋体"/>
          <w:color w:val="333333"/>
          <w:kern w:val="0"/>
          <w:sz w:val="32"/>
          <w:szCs w:val="30"/>
        </w:rPr>
        <w:t>主要用于：机关人员工资、津贴补贴、日常公用经费支出及</w:t>
      </w:r>
      <w:r>
        <w:rPr>
          <w:rFonts w:hint="eastAsia" w:ascii="仿宋_GB2312" w:hAnsi="仿宋_GB2312" w:eastAsia="仿宋_GB2312" w:cs="宋体"/>
          <w:color w:val="000000"/>
          <w:kern w:val="0"/>
          <w:sz w:val="32"/>
        </w:rPr>
        <w:t>融媒体中心建设经费、宣传专项经费、文联第四次代表大会经费等</w:t>
      </w:r>
      <w:r>
        <w:rPr>
          <w:rFonts w:hint="eastAsia" w:ascii="仿宋_GB2312" w:hAnsi="仿宋_GB2312" w:eastAsia="仿宋_GB2312" w:cs="宋体"/>
          <w:color w:val="333333"/>
          <w:kern w:val="0"/>
          <w:sz w:val="32"/>
          <w:szCs w:val="30"/>
        </w:rPr>
        <w:t>专项业务工作支出。</w:t>
      </w:r>
    </w:p>
    <w:p>
      <w:pPr>
        <w:widowControl/>
        <w:shd w:val="clear" w:color="auto" w:fill="FFFFFF"/>
        <w:spacing w:line="600" w:lineRule="atLeast"/>
        <w:ind w:firstLine="640"/>
        <w:jc w:val="left"/>
        <w:rPr>
          <w:rFonts w:ascii="仿宋_GB2312" w:hAnsi="仿宋_GB2312" w:eastAsia="仿宋_GB2312" w:cs="宋体"/>
          <w:color w:val="333333"/>
          <w:kern w:val="0"/>
          <w:sz w:val="32"/>
          <w:szCs w:val="21"/>
        </w:rPr>
      </w:pPr>
      <w:r>
        <w:rPr>
          <w:rFonts w:hint="eastAsia" w:ascii="仿宋_GB2312" w:hAnsi="仿宋_GB2312" w:eastAsia="仿宋_GB2312" w:cs="宋体"/>
          <w:color w:val="000000"/>
          <w:kern w:val="0"/>
          <w:sz w:val="32"/>
        </w:rPr>
        <w:t>2.</w:t>
      </w:r>
      <w:r>
        <w:rPr>
          <w:rFonts w:hint="eastAsia" w:ascii="仿宋_GB2312" w:hAnsi="仿宋_GB2312" w:eastAsia="仿宋_GB2312" w:cs="宋体"/>
          <w:color w:val="000000"/>
          <w:kern w:val="0"/>
          <w:sz w:val="32"/>
          <w:szCs w:val="32"/>
        </w:rPr>
        <w:t xml:space="preserve"> 文化旅游体育与传媒支出</w:t>
      </w:r>
      <w:r>
        <w:rPr>
          <w:rFonts w:hint="eastAsia" w:ascii="仿宋_GB2312" w:hAnsi="仿宋_GB2312" w:eastAsia="仿宋_GB2312" w:cs="宋体"/>
          <w:color w:val="000000"/>
          <w:kern w:val="0"/>
          <w:sz w:val="32"/>
        </w:rPr>
        <w:t>20799其他文化体育与传媒支出48</w:t>
      </w:r>
      <w:r>
        <w:rPr>
          <w:rFonts w:hint="eastAsia" w:ascii="仿宋_GB2312" w:hAnsi="仿宋_GB2312" w:eastAsia="仿宋_GB2312" w:cs="宋体"/>
          <w:color w:val="000000"/>
          <w:kern w:val="0"/>
          <w:sz w:val="32"/>
          <w:szCs w:val="32"/>
        </w:rPr>
        <w:t>万元。主要用</w:t>
      </w:r>
      <w:r>
        <w:rPr>
          <w:rFonts w:hint="eastAsia" w:ascii="仿宋_GB2312" w:hAnsi="仿宋_GB2312" w:eastAsia="仿宋_GB2312" w:cs="宋体"/>
          <w:color w:val="000000"/>
          <w:kern w:val="0"/>
          <w:sz w:val="32"/>
        </w:rPr>
        <w:t>于：宣传文化事业发展支出。</w:t>
      </w:r>
    </w:p>
    <w:p>
      <w:pPr>
        <w:spacing w:line="600" w:lineRule="exact"/>
        <w:ind w:firstLine="640"/>
        <w:rPr>
          <w:rFonts w:ascii="仿宋_GB2312" w:hAnsi="仿宋_GB2312" w:eastAsia="仿宋_GB2312" w:cs="宋体"/>
          <w:color w:val="333333"/>
          <w:kern w:val="0"/>
          <w:sz w:val="32"/>
          <w:szCs w:val="30"/>
        </w:rPr>
      </w:pPr>
      <w:r>
        <w:rPr>
          <w:rFonts w:hint="eastAsia" w:ascii="仿宋_GB2312" w:hAnsi="仿宋_GB2312" w:eastAsia="仿宋_GB2312" w:cs="宋体"/>
          <w:color w:val="000000"/>
          <w:kern w:val="0"/>
          <w:sz w:val="32"/>
        </w:rPr>
        <w:t>3.社会保障和就业20805行政事业单位离退休:</w:t>
      </w:r>
      <w:r>
        <w:rPr>
          <w:rFonts w:hint="eastAsia" w:ascii="仿宋_GB2312" w:hAnsi="仿宋_GB2312" w:eastAsia="仿宋_GB2312" w:cs="宋体"/>
          <w:color w:val="000000"/>
          <w:kern w:val="0"/>
          <w:sz w:val="32"/>
          <w:szCs w:val="32"/>
        </w:rPr>
        <w:t>2019年决算数为28.86万元。</w:t>
      </w:r>
      <w:r>
        <w:rPr>
          <w:rFonts w:hint="eastAsia" w:ascii="仿宋_GB2312" w:hAnsi="仿宋_GB2312" w:eastAsia="仿宋_GB2312" w:cs="宋体"/>
          <w:color w:val="333333"/>
          <w:kern w:val="0"/>
          <w:sz w:val="32"/>
          <w:szCs w:val="30"/>
        </w:rPr>
        <w:t>主要用于：行政退休人员奖金支出及单位职工养老保险缴费支出等。</w:t>
      </w:r>
      <w:r>
        <w:rPr>
          <w:rFonts w:hint="eastAsia" w:ascii="仿宋_GB2312" w:hAnsi="仿宋_GB2312" w:eastAsia="仿宋_GB2312" w:cs="宋体"/>
          <w:color w:val="000000"/>
          <w:kern w:val="0"/>
          <w:sz w:val="32"/>
          <w:szCs w:val="32"/>
        </w:rPr>
        <w:br w:type="textWrapping"/>
      </w:r>
      <w:r>
        <w:rPr>
          <w:rFonts w:hint="eastAsia" w:ascii="仿宋_GB2312" w:hAnsi="仿宋_GB2312" w:eastAsia="仿宋_GB2312" w:cs="宋体"/>
          <w:color w:val="000000"/>
          <w:kern w:val="0"/>
          <w:sz w:val="32"/>
          <w:szCs w:val="32"/>
        </w:rPr>
        <w:t>　　</w:t>
      </w:r>
      <w:r>
        <w:rPr>
          <w:rFonts w:hint="eastAsia" w:ascii="仿宋_GB2312" w:hAnsi="仿宋_GB2312" w:eastAsia="仿宋_GB2312" w:cs="宋体"/>
          <w:color w:val="000000"/>
          <w:kern w:val="0"/>
          <w:sz w:val="32"/>
        </w:rPr>
        <w:t>4.住房保障支出22102住房改革支出：</w:t>
      </w:r>
      <w:r>
        <w:rPr>
          <w:rFonts w:hint="eastAsia" w:ascii="仿宋_GB2312" w:hAnsi="仿宋_GB2312" w:eastAsia="仿宋_GB2312" w:cs="宋体"/>
          <w:color w:val="000000"/>
          <w:kern w:val="0"/>
          <w:sz w:val="32"/>
          <w:szCs w:val="32"/>
        </w:rPr>
        <w:t>2019年决算数为25.86万元。</w:t>
      </w:r>
      <w:r>
        <w:rPr>
          <w:rFonts w:hint="eastAsia" w:ascii="仿宋_GB2312" w:hAnsi="仿宋_GB2312" w:eastAsia="仿宋_GB2312" w:cs="宋体"/>
          <w:color w:val="333333"/>
          <w:kern w:val="0"/>
          <w:sz w:val="32"/>
          <w:szCs w:val="30"/>
        </w:rPr>
        <w:t>主要用于：住房公积金支出。</w:t>
      </w:r>
    </w:p>
    <w:p>
      <w:pPr>
        <w:tabs>
          <w:tab w:val="right" w:pos="8306"/>
        </w:tabs>
        <w:spacing w:line="600" w:lineRule="exact"/>
        <w:ind w:firstLine="640"/>
        <w:outlineLvl w:val="1"/>
        <w:rPr>
          <w:rStyle w:val="26"/>
        </w:rPr>
      </w:pPr>
      <w:bookmarkStart w:id="59" w:name="_Toc15396608"/>
      <w:bookmarkStart w:id="60" w:name="_Toc52180085"/>
      <w:bookmarkStart w:id="61" w:name="_Toc15377214"/>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6"/>
          <w:rFonts w:hint="eastAsia" w:ascii="黑体" w:hAnsi="黑体" w:eastAsia="黑体"/>
          <w:b w:val="0"/>
        </w:rPr>
        <w:t>般公共预算财政拨款基本支出决算情况说明</w:t>
      </w:r>
      <w:bookmarkEnd w:id="59"/>
      <w:bookmarkEnd w:id="60"/>
      <w:bookmarkEnd w:id="61"/>
      <w:r>
        <w:rPr>
          <w:rStyle w:val="26"/>
          <w:rFonts w:ascii="黑体" w:hAnsi="黑体" w:eastAsia="黑体"/>
          <w:b w:val="0"/>
        </w:rPr>
        <w:tab/>
      </w:r>
    </w:p>
    <w:p>
      <w:pPr>
        <w:widowControl/>
        <w:shd w:val="clear" w:color="auto" w:fill="FFFFFF"/>
        <w:spacing w:line="600" w:lineRule="atLeast"/>
        <w:ind w:firstLine="645"/>
        <w:jc w:val="left"/>
        <w:rPr>
          <w:rFonts w:ascii="仿宋_GB2312" w:hAnsi="仿宋_GB2312" w:eastAsia="仿宋_GB2312" w:cs="宋体"/>
          <w:color w:val="333333"/>
          <w:kern w:val="0"/>
          <w:sz w:val="32"/>
          <w:szCs w:val="21"/>
        </w:rPr>
      </w:pPr>
      <w:bookmarkStart w:id="62" w:name="_Toc15396609"/>
      <w:bookmarkStart w:id="63" w:name="_Toc15377215"/>
      <w:bookmarkStart w:id="64" w:name="_Toc52180086"/>
      <w:r>
        <w:rPr>
          <w:rFonts w:hint="eastAsia" w:ascii="仿宋_GB2312" w:hAnsi="仿宋_GB2312" w:eastAsia="仿宋_GB2312" w:cs="宋体"/>
          <w:color w:val="000000"/>
          <w:kern w:val="0"/>
          <w:sz w:val="32"/>
          <w:szCs w:val="32"/>
        </w:rPr>
        <w:t>2019年一般公共预算财政拨款基本支出282.67万元，其中：</w:t>
      </w:r>
    </w:p>
    <w:p>
      <w:pPr>
        <w:widowControl/>
        <w:shd w:val="clear" w:color="auto" w:fill="FFFFFF"/>
        <w:spacing w:line="600" w:lineRule="atLeast"/>
        <w:ind w:firstLine="645"/>
        <w:jc w:val="left"/>
        <w:rPr>
          <w:rFonts w:ascii="仿宋_GB2312" w:hAnsi="仿宋_GB2312" w:eastAsia="仿宋_GB2312" w:cs="宋体"/>
          <w:color w:val="000000"/>
          <w:kern w:val="0"/>
          <w:sz w:val="32"/>
          <w:szCs w:val="32"/>
        </w:rPr>
      </w:pPr>
      <w:r>
        <w:rPr>
          <w:rFonts w:hint="eastAsia" w:ascii="仿宋_GB2312" w:hAnsi="仿宋_GB2312" w:eastAsia="仿宋_GB2312" w:cs="宋体"/>
          <w:color w:val="000000"/>
          <w:kern w:val="0"/>
          <w:sz w:val="32"/>
          <w:szCs w:val="32"/>
        </w:rPr>
        <w:t>人员经费265.05万元，主要包括：基本工资、津贴补贴、奖金、其他社会保障缴费、绩效工资、机关事业单位基本养老保险缴费、其他工资福利支出、退休费、医疗费、奖励金、住房公积金。</w:t>
      </w:r>
    </w:p>
    <w:p>
      <w:pPr>
        <w:widowControl/>
        <w:shd w:val="clear" w:color="auto" w:fill="FFFFFF"/>
        <w:spacing w:line="600" w:lineRule="atLeast"/>
        <w:ind w:firstLine="645"/>
        <w:jc w:val="left"/>
        <w:rPr>
          <w:rFonts w:ascii="仿宋_GB2312" w:hAnsi="仿宋_GB2312" w:eastAsia="仿宋_GB2312" w:cs="宋体"/>
          <w:color w:val="333333"/>
          <w:kern w:val="0"/>
          <w:sz w:val="32"/>
          <w:szCs w:val="21"/>
        </w:rPr>
      </w:pPr>
      <w:r>
        <w:rPr>
          <w:rFonts w:hint="eastAsia" w:ascii="仿宋_GB2312" w:hAnsi="仿宋_GB2312" w:eastAsia="仿宋_GB2312" w:cs="宋体"/>
          <w:color w:val="000000"/>
          <w:kern w:val="0"/>
          <w:sz w:val="32"/>
          <w:szCs w:val="32"/>
        </w:rPr>
        <w:t>公用经费17.62万元，主要包括：办公费、水费、邮电费、差旅费、维修费、培训费、公务接待费、劳务费、工会经费、福利费、公务用车运行维护费、其他交通费。</w:t>
      </w:r>
    </w:p>
    <w:p>
      <w:pPr>
        <w:spacing w:line="600" w:lineRule="exact"/>
        <w:ind w:firstLine="640"/>
        <w:outlineLvl w:val="1"/>
        <w:rPr>
          <w:rStyle w:val="26"/>
          <w:rFonts w:ascii="黑体" w:hAnsi="黑体" w:eastAsia="黑体"/>
          <w:b w:val="0"/>
        </w:rPr>
      </w:pPr>
      <w:r>
        <w:rPr>
          <w:rFonts w:hint="eastAsia" w:ascii="黑体" w:eastAsia="黑体"/>
          <w:color w:val="000000"/>
          <w:sz w:val="32"/>
          <w:szCs w:val="32"/>
        </w:rPr>
        <w:t>七、</w:t>
      </w:r>
      <w:r>
        <w:rPr>
          <w:rStyle w:val="26"/>
          <w:rFonts w:hint="eastAsia" w:ascii="黑体" w:hAnsi="黑体" w:eastAsia="黑体"/>
        </w:rPr>
        <w:t>“</w:t>
      </w:r>
      <w:r>
        <w:rPr>
          <w:rStyle w:val="26"/>
          <w:rFonts w:hint="eastAsia" w:ascii="黑体" w:hAnsi="黑体" w:eastAsia="黑体"/>
          <w:b w:val="0"/>
        </w:rPr>
        <w:t>三公”经费财政拨款支出决算情况说明</w:t>
      </w:r>
      <w:bookmarkEnd w:id="62"/>
      <w:bookmarkEnd w:id="63"/>
      <w:bookmarkEnd w:id="64"/>
    </w:p>
    <w:p>
      <w:pPr>
        <w:spacing w:line="600" w:lineRule="exact"/>
        <w:ind w:firstLine="640"/>
        <w:outlineLvl w:val="2"/>
        <w:rPr>
          <w:rFonts w:ascii="仿宋" w:hAnsi="仿宋" w:eastAsia="仿宋"/>
          <w:b/>
          <w:color w:val="000000"/>
          <w:sz w:val="32"/>
          <w:szCs w:val="32"/>
        </w:rPr>
      </w:pPr>
      <w:bookmarkStart w:id="65" w:name="_Toc15377216"/>
      <w:bookmarkStart w:id="66" w:name="_Toc52180087"/>
      <w:r>
        <w:rPr>
          <w:rFonts w:hint="eastAsia" w:ascii="仿宋" w:hAnsi="仿宋" w:eastAsia="仿宋"/>
          <w:b/>
          <w:color w:val="000000"/>
          <w:sz w:val="32"/>
          <w:szCs w:val="32"/>
        </w:rPr>
        <w:t>（一）“三公”经费财政拨款支出决算总体情况说明</w:t>
      </w:r>
      <w:bookmarkEnd w:id="65"/>
      <w:bookmarkEnd w:id="66"/>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9年“三公”经费财政拨款支出决算为0.14万元，完成预算100</w:t>
      </w:r>
      <w:r>
        <w:rPr>
          <w:rFonts w:ascii="仿宋" w:hAnsi="仿宋" w:eastAsia="仿宋"/>
          <w:color w:val="000000"/>
          <w:sz w:val="32"/>
          <w:szCs w:val="32"/>
        </w:rPr>
        <w:t>%</w:t>
      </w:r>
      <w:r>
        <w:rPr>
          <w:rFonts w:hint="eastAsia" w:ascii="仿宋" w:hAnsi="仿宋" w:eastAsia="仿宋"/>
          <w:color w:val="000000"/>
          <w:sz w:val="32"/>
          <w:szCs w:val="32"/>
        </w:rPr>
        <w:t>，决算数与预算数持平。</w:t>
      </w:r>
    </w:p>
    <w:p>
      <w:pPr>
        <w:spacing w:line="600" w:lineRule="exact"/>
        <w:ind w:firstLine="640"/>
        <w:outlineLvl w:val="2"/>
        <w:rPr>
          <w:rFonts w:ascii="仿宋" w:hAnsi="仿宋" w:eastAsia="仿宋"/>
          <w:b/>
          <w:color w:val="000000"/>
          <w:sz w:val="32"/>
          <w:szCs w:val="32"/>
        </w:rPr>
      </w:pPr>
      <w:bookmarkStart w:id="67" w:name="_Toc15377217"/>
      <w:bookmarkStart w:id="68" w:name="_Toc52180088"/>
      <w:r>
        <w:rPr>
          <w:rFonts w:hint="eastAsia" w:ascii="仿宋" w:hAnsi="仿宋" w:eastAsia="仿宋"/>
          <w:b/>
          <w:color w:val="000000"/>
          <w:sz w:val="32"/>
          <w:szCs w:val="32"/>
        </w:rPr>
        <w:t>（二）“三公”经费财政拨款支出决算具体情况说明</w:t>
      </w:r>
      <w:bookmarkEnd w:id="67"/>
      <w:bookmarkEnd w:id="68"/>
    </w:p>
    <w:p>
      <w:pPr>
        <w:spacing w:line="600" w:lineRule="exact"/>
        <w:ind w:firstLine="640"/>
        <w:rPr>
          <w:rFonts w:ascii="仿宋" w:hAnsi="仿宋" w:eastAsia="仿宋"/>
          <w:color w:val="000000"/>
          <w:sz w:val="32"/>
          <w:szCs w:val="32"/>
        </w:rPr>
      </w:pPr>
      <w:r>
        <w:rPr>
          <w:rFonts w:ascii="仿宋" w:hAnsi="仿宋" w:eastAsia="仿宋"/>
          <w:color w:val="000000"/>
          <w:sz w:val="32"/>
          <w:szCs w:val="32"/>
        </w:rPr>
        <w:drawing>
          <wp:anchor distT="0" distB="0" distL="114300" distR="114300" simplePos="0" relativeHeight="251664384" behindDoc="0" locked="0" layoutInCell="1" allowOverlap="1">
            <wp:simplePos x="0" y="0"/>
            <wp:positionH relativeFrom="column">
              <wp:posOffset>156210</wp:posOffset>
            </wp:positionH>
            <wp:positionV relativeFrom="paragraph">
              <wp:posOffset>2080895</wp:posOffset>
            </wp:positionV>
            <wp:extent cx="5266055" cy="2743200"/>
            <wp:effectExtent l="19050" t="0" r="10795" b="0"/>
            <wp:wrapTopAndBottom/>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ascii="仿宋" w:hAnsi="仿宋" w:eastAsia="仿宋"/>
          <w:color w:val="000000"/>
          <w:sz w:val="32"/>
          <w:szCs w:val="32"/>
        </w:rPr>
        <w:t>201</w:t>
      </w:r>
      <w:r>
        <w:rPr>
          <w:rFonts w:hint="eastAsia" w:ascii="仿宋" w:hAnsi="仿宋" w:eastAsia="仿宋"/>
          <w:color w:val="000000"/>
          <w:sz w:val="32"/>
          <w:szCs w:val="32"/>
        </w:rPr>
        <w:t>9年“三公”经费财政拨款支出决算中，因公出国（境）费支出决算0万元，占0</w:t>
      </w:r>
      <w:r>
        <w:rPr>
          <w:rFonts w:ascii="仿宋" w:hAnsi="仿宋" w:eastAsia="仿宋"/>
          <w:color w:val="000000"/>
          <w:sz w:val="32"/>
          <w:szCs w:val="32"/>
        </w:rPr>
        <w:t>%</w:t>
      </w:r>
      <w:r>
        <w:rPr>
          <w:rFonts w:hint="eastAsia" w:ascii="仿宋" w:hAnsi="仿宋" w:eastAsia="仿宋"/>
          <w:color w:val="000000"/>
          <w:sz w:val="32"/>
          <w:szCs w:val="32"/>
        </w:rPr>
        <w:t>；公务用车购置及运行维护费支出决算00万元，占0</w:t>
      </w:r>
      <w:r>
        <w:rPr>
          <w:rFonts w:ascii="仿宋" w:hAnsi="仿宋" w:eastAsia="仿宋"/>
          <w:color w:val="000000"/>
          <w:sz w:val="32"/>
          <w:szCs w:val="32"/>
        </w:rPr>
        <w:t>%</w:t>
      </w:r>
      <w:r>
        <w:rPr>
          <w:rFonts w:hint="eastAsia" w:ascii="仿宋" w:hAnsi="仿宋" w:eastAsia="仿宋"/>
          <w:color w:val="000000"/>
          <w:sz w:val="32"/>
          <w:szCs w:val="32"/>
        </w:rPr>
        <w:t>；公务接待费支出决算0.14万元，占100</w:t>
      </w:r>
      <w:r>
        <w:rPr>
          <w:rFonts w:ascii="仿宋" w:hAnsi="仿宋" w:eastAsia="仿宋"/>
          <w:color w:val="000000"/>
          <w:sz w:val="32"/>
          <w:szCs w:val="32"/>
        </w:rPr>
        <w:t>%</w:t>
      </w:r>
      <w:r>
        <w:rPr>
          <w:rFonts w:hint="eastAsia" w:ascii="仿宋" w:hAnsi="仿宋" w:eastAsia="仿宋"/>
          <w:color w:val="000000"/>
          <w:sz w:val="32"/>
          <w:szCs w:val="32"/>
        </w:rPr>
        <w:t>。具体情况如下：</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（图7：“三公”经费财政拨款支出结构）（饼状图）</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hint="eastAsia" w:ascii="仿宋_GB2312" w:eastAsia="仿宋_GB2312"/>
          <w:color w:val="000000"/>
          <w:sz w:val="32"/>
          <w:szCs w:val="32"/>
        </w:rPr>
        <w:t>0万元，</w:t>
      </w:r>
      <w:r>
        <w:rPr>
          <w:rStyle w:val="15"/>
          <w:rFonts w:hint="eastAsia" w:ascii="仿宋" w:hAnsi="仿宋" w:eastAsia="仿宋"/>
          <w:b w:val="0"/>
          <w:bCs/>
          <w:color w:val="000000"/>
          <w:sz w:val="32"/>
          <w:szCs w:val="32"/>
        </w:rPr>
        <w:t>完成预算0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rPr>
        <w:t>0万元,</w:t>
      </w:r>
      <w:r>
        <w:rPr>
          <w:rStyle w:val="15"/>
          <w:rFonts w:hint="eastAsia" w:ascii="仿宋" w:hAnsi="仿宋" w:eastAsia="仿宋"/>
          <w:b w:val="0"/>
          <w:bCs/>
          <w:color w:val="000000"/>
          <w:sz w:val="32"/>
          <w:szCs w:val="32"/>
        </w:rPr>
        <w:t>完成预算0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w:t>
      </w:r>
      <w:r>
        <w:rPr>
          <w:rFonts w:hint="eastAsia" w:ascii="仿宋_GB2312" w:eastAsia="仿宋_GB2312"/>
          <w:color w:val="000000"/>
          <w:sz w:val="32"/>
          <w:szCs w:val="32"/>
        </w:rPr>
        <w:t>8年减少0.78万元，下降100</w:t>
      </w:r>
      <w:r>
        <w:rPr>
          <w:rFonts w:ascii="仿宋_GB2312" w:eastAsia="仿宋_GB2312"/>
          <w:color w:val="000000"/>
          <w:sz w:val="32"/>
          <w:szCs w:val="32"/>
        </w:rPr>
        <w:t>%</w:t>
      </w:r>
      <w:r>
        <w:rPr>
          <w:rFonts w:hint="eastAsia" w:ascii="仿宋_GB2312" w:eastAsia="仿宋_GB2312"/>
          <w:color w:val="000000"/>
          <w:sz w:val="32"/>
          <w:szCs w:val="32"/>
        </w:rPr>
        <w:t>。主要原因是公务用车全部交由机关服务中心统一进行管理。</w:t>
      </w:r>
    </w:p>
    <w:p>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hint="eastAsia" w:ascii="仿宋_GB2312" w:eastAsia="仿宋_GB2312"/>
          <w:color w:val="000000"/>
          <w:sz w:val="32"/>
          <w:szCs w:val="32"/>
        </w:rPr>
        <w:t>0万元。截至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月底，单位无公务用车</w:t>
      </w:r>
    </w:p>
    <w:p>
      <w:pPr>
        <w:spacing w:line="600" w:lineRule="exact"/>
        <w:ind w:firstLine="640"/>
        <w:rPr>
          <w:rFonts w:ascii="仿宋_GB2312" w:hAnsi="仿宋_GB2312" w:eastAsia="仿宋_GB2312" w:cs="宋体"/>
          <w:color w:val="000000"/>
          <w:kern w:val="0"/>
          <w:sz w:val="32"/>
          <w:szCs w:val="32"/>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rPr>
        <w:t>0万元。</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rPr>
        <w:t>0.14万元，</w:t>
      </w:r>
      <w:r>
        <w:rPr>
          <w:rStyle w:val="15"/>
          <w:rFonts w:hint="eastAsia" w:ascii="仿宋" w:hAnsi="仿宋" w:eastAsia="仿宋"/>
          <w:b w:val="0"/>
          <w:bCs/>
          <w:color w:val="000000"/>
          <w:sz w:val="32"/>
          <w:szCs w:val="32"/>
        </w:rPr>
        <w:t>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w:t>
      </w:r>
      <w:r>
        <w:rPr>
          <w:rFonts w:hint="eastAsia" w:ascii="仿宋_GB2312" w:eastAsia="仿宋_GB2312"/>
          <w:color w:val="000000"/>
          <w:sz w:val="32"/>
          <w:szCs w:val="32"/>
        </w:rPr>
        <w:t>8年减少0.9万元，下降40</w:t>
      </w:r>
      <w:r>
        <w:rPr>
          <w:rFonts w:ascii="仿宋_GB2312" w:eastAsia="仿宋_GB2312"/>
          <w:color w:val="000000"/>
          <w:sz w:val="32"/>
          <w:szCs w:val="32"/>
        </w:rPr>
        <w:t>%</w:t>
      </w:r>
      <w:r>
        <w:rPr>
          <w:rFonts w:hint="eastAsia" w:ascii="仿宋_GB2312" w:eastAsia="仿宋_GB2312"/>
          <w:color w:val="000000"/>
          <w:sz w:val="32"/>
          <w:szCs w:val="32"/>
        </w:rPr>
        <w:t>。主要原因是厉行节约，减少不必要的支出。</w:t>
      </w:r>
    </w:p>
    <w:p>
      <w:pPr>
        <w:spacing w:line="600" w:lineRule="exact"/>
        <w:ind w:firstLine="640"/>
        <w:rPr>
          <w:rFonts w:ascii="仿宋_GB2312" w:hAnsi="仿宋_GB2312" w:eastAsia="仿宋_GB2312"/>
          <w:color w:val="FF0000"/>
          <w:sz w:val="32"/>
          <w:szCs w:val="32"/>
        </w:rPr>
      </w:pPr>
      <w:r>
        <w:rPr>
          <w:rFonts w:hint="eastAsia" w:ascii="仿宋" w:hAnsi="仿宋" w:eastAsia="仿宋"/>
          <w:b/>
          <w:color w:val="000000"/>
          <w:sz w:val="32"/>
          <w:szCs w:val="32"/>
        </w:rPr>
        <w:t>国内公务接待支出</w:t>
      </w:r>
      <w:r>
        <w:rPr>
          <w:rFonts w:hint="eastAsia" w:ascii="仿宋" w:hAnsi="仿宋" w:eastAsia="仿宋"/>
          <w:color w:val="000000"/>
          <w:sz w:val="32"/>
          <w:szCs w:val="32"/>
        </w:rPr>
        <w:t>0.14</w:t>
      </w:r>
      <w:r>
        <w:rPr>
          <w:rFonts w:hint="eastAsia" w:ascii="仿宋_GB2312" w:eastAsia="仿宋_GB2312"/>
          <w:color w:val="000000"/>
          <w:sz w:val="32"/>
          <w:szCs w:val="32"/>
        </w:rPr>
        <w:t>万元，</w:t>
      </w:r>
      <w:r>
        <w:rPr>
          <w:rFonts w:hint="eastAsia" w:ascii="仿宋_GB2312" w:hAnsi="仿宋_GB2312" w:eastAsia="仿宋_GB2312"/>
          <w:color w:val="000000"/>
          <w:sz w:val="32"/>
          <w:szCs w:val="32"/>
        </w:rPr>
        <w:t>主要用于执行公务、开展业务活动开支的用餐费等。国内公务接待3批次，18人，共计支出0.14万元，用于全市康养宣传片拍摄工作4人290元；接待市级媒体记者5人310元；接待蓬安县委宣传部9人750元</w:t>
      </w:r>
      <w:r>
        <w:rPr>
          <w:rFonts w:hint="eastAsia" w:ascii="仿宋_GB2312" w:eastAsia="仿宋_GB2312"/>
          <w:sz w:val="32"/>
          <w:szCs w:val="32"/>
        </w:rPr>
        <w:t>。</w:t>
      </w:r>
    </w:p>
    <w:p>
      <w:pPr>
        <w:spacing w:line="600" w:lineRule="exact"/>
        <w:ind w:firstLine="640"/>
        <w:outlineLvl w:val="1"/>
        <w:rPr>
          <w:rStyle w:val="26"/>
          <w:rFonts w:ascii="黑体" w:hAnsi="黑体" w:eastAsia="黑体"/>
        </w:rPr>
      </w:pPr>
      <w:bookmarkStart w:id="69" w:name="_Toc15396610"/>
      <w:bookmarkStart w:id="70" w:name="_Toc15377218"/>
      <w:bookmarkStart w:id="71" w:name="_Toc52180089"/>
      <w:r>
        <w:rPr>
          <w:rFonts w:hint="eastAsia" w:ascii="黑体" w:eastAsia="黑体"/>
          <w:color w:val="000000"/>
          <w:sz w:val="32"/>
          <w:szCs w:val="32"/>
        </w:rPr>
        <w:t>八、</w:t>
      </w:r>
      <w:r>
        <w:rPr>
          <w:rStyle w:val="26"/>
          <w:rFonts w:hint="eastAsia" w:ascii="黑体" w:hAnsi="黑体" w:eastAsia="黑体"/>
          <w:b w:val="0"/>
        </w:rPr>
        <w:t>政府性基金预算支出决算情况说明</w:t>
      </w:r>
      <w:bookmarkEnd w:id="69"/>
      <w:bookmarkEnd w:id="70"/>
      <w:bookmarkEnd w:id="71"/>
    </w:p>
    <w:p>
      <w:pPr>
        <w:spacing w:line="600" w:lineRule="exact"/>
        <w:ind w:firstLine="640"/>
        <w:rPr>
          <w:rFonts w:ascii="仿宋_GB2312" w:hAnsi="仿宋_GB2312" w:eastAsia="仿宋_GB2312"/>
          <w:color w:val="000000"/>
          <w:sz w:val="32"/>
          <w:szCs w:val="32"/>
        </w:rPr>
      </w:pPr>
      <w:r>
        <w:rPr>
          <w:rFonts w:hint="eastAsia" w:ascii="仿宋_GB2312" w:hAnsi="仿宋_GB2312" w:eastAsia="仿宋_GB2312"/>
          <w:color w:val="000000"/>
          <w:sz w:val="32"/>
          <w:szCs w:val="32"/>
        </w:rPr>
        <w:t>2019年政府性基金预算财政拨款收入1.01万元，支出0万元，结转1.01万元，是根据川财教[2019]205号下达2019年省级国家电影事业发展专项资金。</w:t>
      </w:r>
    </w:p>
    <w:p>
      <w:pPr>
        <w:numPr>
          <w:ilvl w:val="0"/>
          <w:numId w:val="2"/>
        </w:numPr>
        <w:spacing w:line="600" w:lineRule="exact"/>
        <w:ind w:firstLine="640"/>
        <w:outlineLvl w:val="1"/>
        <w:rPr>
          <w:rStyle w:val="26"/>
          <w:rFonts w:ascii="黑体" w:hAnsi="黑体" w:eastAsia="黑体"/>
          <w:b w:val="0"/>
        </w:rPr>
      </w:pPr>
      <w:bookmarkStart w:id="72" w:name="_Toc15377219"/>
      <w:bookmarkStart w:id="73" w:name="_Toc15396611"/>
      <w:bookmarkStart w:id="74" w:name="_Toc52180090"/>
      <w:r>
        <w:rPr>
          <w:rStyle w:val="26"/>
          <w:rFonts w:hint="eastAsia" w:ascii="黑体" w:hAnsi="黑体" w:eastAsia="黑体"/>
          <w:b w:val="0"/>
        </w:rPr>
        <w:t>国有资本经营预算支出决算情况说明</w:t>
      </w:r>
      <w:bookmarkEnd w:id="72"/>
      <w:bookmarkEnd w:id="73"/>
      <w:bookmarkEnd w:id="74"/>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9年国有资本经营预算拨款支出0万元。</w:t>
      </w:r>
    </w:p>
    <w:p>
      <w:pPr>
        <w:spacing w:line="600" w:lineRule="exact"/>
        <w:ind w:firstLine="800" w:firstLineChars="250"/>
        <w:outlineLvl w:val="1"/>
        <w:rPr>
          <w:rStyle w:val="26"/>
          <w:rFonts w:ascii="黑体" w:hAnsi="黑体" w:eastAsia="黑体"/>
        </w:rPr>
      </w:pPr>
      <w:bookmarkStart w:id="75" w:name="_Toc15396612"/>
      <w:bookmarkStart w:id="76" w:name="_Toc15377221"/>
      <w:bookmarkStart w:id="77" w:name="_Toc52180091"/>
      <w:r>
        <w:rPr>
          <w:rFonts w:hint="eastAsia" w:ascii="黑体" w:hAnsi="黑体" w:eastAsia="黑体"/>
          <w:color w:val="000000"/>
          <w:sz w:val="32"/>
          <w:szCs w:val="32"/>
        </w:rPr>
        <w:t>十</w:t>
      </w:r>
      <w:r>
        <w:rPr>
          <w:rStyle w:val="26"/>
          <w:rFonts w:hint="eastAsia" w:ascii="黑体" w:hAnsi="黑体" w:eastAsia="黑体"/>
        </w:rPr>
        <w:t>、</w:t>
      </w:r>
      <w:r>
        <w:rPr>
          <w:rStyle w:val="26"/>
          <w:rFonts w:hint="eastAsia" w:ascii="黑体" w:hAnsi="黑体" w:eastAsia="黑体"/>
          <w:b w:val="0"/>
        </w:rPr>
        <w:t>其他重要事项的情况说明</w:t>
      </w:r>
      <w:bookmarkEnd w:id="75"/>
      <w:bookmarkEnd w:id="76"/>
      <w:bookmarkEnd w:id="77"/>
    </w:p>
    <w:p>
      <w:pPr>
        <w:spacing w:line="600" w:lineRule="exact"/>
        <w:ind w:firstLine="643" w:firstLineChars="200"/>
        <w:outlineLvl w:val="2"/>
        <w:rPr>
          <w:rFonts w:ascii="仿宋" w:hAnsi="仿宋" w:eastAsia="仿宋"/>
          <w:color w:val="000000"/>
          <w:sz w:val="32"/>
          <w:szCs w:val="32"/>
        </w:rPr>
      </w:pPr>
      <w:bookmarkStart w:id="78" w:name="_Toc15377222"/>
      <w:bookmarkStart w:id="79" w:name="_Toc52180092"/>
      <w:r>
        <w:rPr>
          <w:rFonts w:hint="eastAsia" w:ascii="仿宋" w:hAnsi="仿宋" w:eastAsia="仿宋"/>
          <w:b/>
          <w:color w:val="000000"/>
          <w:sz w:val="32"/>
          <w:szCs w:val="32"/>
        </w:rPr>
        <w:t>（一）机关运行经费支出情况</w:t>
      </w:r>
      <w:bookmarkEnd w:id="78"/>
      <w:bookmarkEnd w:id="79"/>
    </w:p>
    <w:p>
      <w:pPr>
        <w:spacing w:line="600" w:lineRule="exact"/>
        <w:ind w:firstLine="640" w:firstLineChars="200"/>
        <w:rPr>
          <w:rFonts w:ascii="仿宋_GB2312" w:eastAsia="仿宋_GB2312"/>
          <w:color w:val="000000" w:themeColor="text1"/>
          <w:sz w:val="32"/>
          <w:szCs w:val="32"/>
        </w:rPr>
      </w:pPr>
      <w:r>
        <w:rPr>
          <w:rFonts w:ascii="仿宋_GB2312" w:eastAsia="仿宋_GB2312"/>
          <w:color w:val="000000"/>
          <w:sz w:val="32"/>
          <w:szCs w:val="32"/>
        </w:rPr>
        <w:t>201</w:t>
      </w:r>
      <w:r>
        <w:rPr>
          <w:rFonts w:hint="eastAsia" w:ascii="仿宋_GB2312" w:eastAsia="仿宋_GB2312"/>
          <w:color w:val="000000"/>
          <w:sz w:val="32"/>
          <w:szCs w:val="32"/>
        </w:rPr>
        <w:t>9年，盐边县委宣传部机关运行经费支出17.62万元，与2018年基本持平。</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80" w:name="_Toc15377223"/>
      <w:bookmarkStart w:id="81" w:name="_Toc52180093"/>
      <w:r>
        <w:rPr>
          <w:rFonts w:hint="eastAsia" w:ascii="仿宋" w:hAnsi="仿宋" w:eastAsia="仿宋"/>
          <w:b/>
          <w:color w:val="000000"/>
          <w:sz w:val="32"/>
          <w:szCs w:val="32"/>
        </w:rPr>
        <w:t>（二）政府采购支出情况</w:t>
      </w:r>
      <w:bookmarkEnd w:id="80"/>
      <w:bookmarkEnd w:id="81"/>
    </w:p>
    <w:p>
      <w:pPr>
        <w:spacing w:line="600" w:lineRule="exact"/>
        <w:ind w:firstLine="640" w:firstLineChars="200"/>
        <w:rPr>
          <w:rFonts w:ascii="仿宋_GB2312" w:eastAsia="仿宋_GB2312"/>
          <w:color w:val="FF0000"/>
          <w:sz w:val="32"/>
          <w:szCs w:val="32"/>
        </w:rPr>
      </w:pPr>
      <w:r>
        <w:rPr>
          <w:rFonts w:ascii="仿宋_GB2312" w:eastAsia="仿宋_GB2312"/>
          <w:sz w:val="32"/>
          <w:szCs w:val="32"/>
        </w:rPr>
        <w:t>201</w:t>
      </w:r>
      <w:r>
        <w:rPr>
          <w:rFonts w:hint="eastAsia" w:ascii="仿宋_GB2312" w:eastAsia="仿宋_GB2312"/>
          <w:sz w:val="32"/>
          <w:szCs w:val="32"/>
        </w:rPr>
        <w:t>9年，盐边县委宣传部政府采购支出总额306.76万元，其中：政府采购货物支出68.46万元、政府采购服务支出238.3万元。</w:t>
      </w:r>
      <w:r>
        <w:rPr>
          <w:rFonts w:hint="eastAsia" w:ascii="仿宋_GB2312" w:eastAsia="仿宋_GB2312"/>
          <w:sz w:val="33"/>
          <w:szCs w:val="33"/>
        </w:rPr>
        <w:t>主</w:t>
      </w:r>
      <w:r>
        <w:rPr>
          <w:rFonts w:hint="eastAsia" w:ascii="仿宋_GB2312" w:eastAsia="仿宋_GB2312"/>
          <w:color w:val="000000" w:themeColor="text1"/>
          <w:sz w:val="33"/>
          <w:szCs w:val="33"/>
        </w:rPr>
        <w:t>要用于融媒体中心建设，推动县级媒体转型升级。</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82" w:name="_Toc15377224"/>
      <w:bookmarkStart w:id="83" w:name="_Toc52180094"/>
      <w:r>
        <w:rPr>
          <w:rFonts w:hint="eastAsia" w:ascii="仿宋" w:hAnsi="仿宋" w:eastAsia="仿宋"/>
          <w:b/>
          <w:color w:val="000000"/>
          <w:sz w:val="32"/>
          <w:szCs w:val="32"/>
        </w:rPr>
        <w:t>（三）国有资产占有使用情况</w:t>
      </w:r>
      <w:bookmarkEnd w:id="82"/>
      <w:bookmarkEnd w:id="83"/>
    </w:p>
    <w:p>
      <w:pPr>
        <w:autoSpaceDE w:val="0"/>
        <w:autoSpaceDN w:val="0"/>
        <w:adjustRightInd w:val="0"/>
        <w:spacing w:line="600" w:lineRule="exact"/>
        <w:ind w:firstLine="640" w:firstLineChars="200"/>
        <w:jc w:val="left"/>
        <w:rPr>
          <w:rFonts w:ascii="仿宋" w:hAnsi="仿宋" w:eastAsia="仿宋"/>
          <w:b/>
          <w:color w:val="FF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日，共有车辆0辆，</w:t>
      </w:r>
      <w:r>
        <w:rPr>
          <w:rFonts w:hint="eastAsia" w:ascii="仿宋_GB2312" w:eastAsia="仿宋_GB2312"/>
          <w:color w:val="000000" w:themeColor="text1"/>
          <w:sz w:val="32"/>
          <w:szCs w:val="32"/>
        </w:rPr>
        <w:t>单价</w:t>
      </w:r>
      <w:r>
        <w:rPr>
          <w:rFonts w:ascii="仿宋_GB2312" w:eastAsia="仿宋_GB2312"/>
          <w:color w:val="000000" w:themeColor="text1"/>
          <w:sz w:val="32"/>
          <w:szCs w:val="32"/>
        </w:rPr>
        <w:t>50</w:t>
      </w:r>
      <w:r>
        <w:rPr>
          <w:rFonts w:hint="eastAsia" w:ascii="仿宋_GB2312" w:eastAsia="仿宋_GB2312"/>
          <w:color w:val="000000" w:themeColor="text1"/>
          <w:sz w:val="32"/>
          <w:szCs w:val="32"/>
        </w:rPr>
        <w:t>万元以上通用设备0台（套），单价</w:t>
      </w:r>
      <w:r>
        <w:rPr>
          <w:rFonts w:ascii="仿宋_GB2312" w:eastAsia="仿宋_GB2312"/>
          <w:color w:val="000000" w:themeColor="text1"/>
          <w:sz w:val="32"/>
          <w:szCs w:val="32"/>
        </w:rPr>
        <w:t>100</w:t>
      </w:r>
      <w:r>
        <w:rPr>
          <w:rFonts w:hint="eastAsia" w:ascii="仿宋_GB2312" w:eastAsia="仿宋_GB2312"/>
          <w:color w:val="000000"/>
          <w:sz w:val="32"/>
          <w:szCs w:val="32"/>
        </w:rPr>
        <w:t>万元以上专用设备0台（套）。</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84" w:name="_Toc52180095"/>
      <w:r>
        <w:rPr>
          <w:rFonts w:hint="eastAsia" w:ascii="仿宋" w:hAnsi="仿宋" w:eastAsia="仿宋"/>
          <w:b/>
          <w:color w:val="000000"/>
          <w:sz w:val="32"/>
          <w:szCs w:val="32"/>
        </w:rPr>
        <w:t>（四）预算绩效管理情况。</w:t>
      </w:r>
      <w:bookmarkEnd w:id="84"/>
    </w:p>
    <w:p>
      <w:pPr>
        <w:spacing w:line="580" w:lineRule="exact"/>
        <w:ind w:firstLine="660" w:firstLineChars="200"/>
        <w:rPr>
          <w:rFonts w:ascii="仿宋_GB2312" w:hAnsi="仿宋_GB2312" w:eastAsia="仿宋_GB2312" w:cs="仿宋_GB2312"/>
          <w:color w:val="000000" w:themeColor="text1"/>
          <w:sz w:val="33"/>
          <w:szCs w:val="33"/>
        </w:rPr>
      </w:pPr>
      <w:r>
        <w:rPr>
          <w:rFonts w:hint="eastAsia" w:ascii="仿宋_GB2312" w:hAnsi="仿宋_GB2312" w:eastAsia="仿宋_GB2312" w:cs="仿宋_GB2312"/>
          <w:color w:val="000000" w:themeColor="text1"/>
          <w:sz w:val="33"/>
          <w:szCs w:val="33"/>
        </w:rPr>
        <w:t>根据预算绩效管理要求，本部门（单位）在年初预算编制阶段，组织“文联第四次代表大会经费</w:t>
      </w:r>
      <w:r>
        <w:rPr>
          <w:rFonts w:ascii="仿宋_GB2312" w:hAnsi="仿宋_GB2312" w:eastAsia="仿宋_GB2312" w:cs="仿宋_GB2312"/>
          <w:color w:val="000000" w:themeColor="text1"/>
          <w:sz w:val="33"/>
          <w:szCs w:val="33"/>
        </w:rPr>
        <w:t>”</w:t>
      </w:r>
      <w:r>
        <w:rPr>
          <w:rFonts w:hint="eastAsia" w:ascii="仿宋_GB2312" w:hAnsi="仿宋_GB2312" w:eastAsia="仿宋_GB2312" w:cs="仿宋_GB2312"/>
          <w:color w:val="000000" w:themeColor="text1"/>
          <w:sz w:val="33"/>
          <w:szCs w:val="33"/>
        </w:rPr>
        <w:t>、“</w:t>
      </w:r>
      <w:r>
        <w:rPr>
          <w:rFonts w:hint="eastAsia"/>
          <w:color w:val="000000" w:themeColor="text1"/>
          <w:sz w:val="33"/>
          <w:szCs w:val="33"/>
        </w:rPr>
        <w:t xml:space="preserve"> </w:t>
      </w:r>
      <w:r>
        <w:rPr>
          <w:rFonts w:hint="eastAsia" w:ascii="仿宋_GB2312" w:hAnsi="仿宋_GB2312" w:eastAsia="仿宋_GB2312" w:cs="仿宋_GB2312"/>
          <w:color w:val="000000" w:themeColor="text1"/>
          <w:sz w:val="33"/>
          <w:szCs w:val="33"/>
        </w:rPr>
        <w:t>2019年宣传专项经费</w:t>
      </w:r>
      <w:r>
        <w:rPr>
          <w:rFonts w:ascii="仿宋_GB2312" w:hAnsi="仿宋_GB2312" w:eastAsia="仿宋_GB2312" w:cs="仿宋_GB2312"/>
          <w:color w:val="000000" w:themeColor="text1"/>
          <w:sz w:val="33"/>
          <w:szCs w:val="33"/>
        </w:rPr>
        <w:t>”</w:t>
      </w:r>
      <w:r>
        <w:rPr>
          <w:rFonts w:hint="eastAsia" w:ascii="仿宋_GB2312" w:hAnsi="仿宋_GB2312" w:eastAsia="仿宋_GB2312" w:cs="仿宋_GB2312"/>
          <w:color w:val="000000" w:themeColor="text1"/>
          <w:sz w:val="33"/>
          <w:szCs w:val="33"/>
        </w:rPr>
        <w:t>、“</w:t>
      </w:r>
      <w:r>
        <w:rPr>
          <w:rFonts w:hint="eastAsia"/>
          <w:color w:val="000000" w:themeColor="text1"/>
          <w:sz w:val="33"/>
          <w:szCs w:val="33"/>
        </w:rPr>
        <w:t xml:space="preserve"> </w:t>
      </w:r>
      <w:r>
        <w:rPr>
          <w:rFonts w:hint="eastAsia" w:ascii="仿宋_GB2312" w:hAnsi="仿宋_GB2312" w:eastAsia="仿宋_GB2312" w:cs="仿宋_GB2312"/>
          <w:color w:val="000000" w:themeColor="text1"/>
          <w:sz w:val="33"/>
          <w:szCs w:val="33"/>
        </w:rPr>
        <w:t>融媒体中心建设经费（其中包含中央补助地方公共文化服务体系建设专项资金</w:t>
      </w:r>
      <w:r>
        <w:rPr>
          <w:rFonts w:ascii="仿宋_GB2312" w:hAnsi="仿宋_GB2312" w:eastAsia="仿宋_GB2312" w:cs="仿宋_GB2312"/>
          <w:color w:val="000000" w:themeColor="text1"/>
          <w:sz w:val="33"/>
          <w:szCs w:val="33"/>
        </w:rPr>
        <w:t>）</w:t>
      </w:r>
      <w:r>
        <w:rPr>
          <w:rFonts w:hint="eastAsia" w:ascii="仿宋_GB2312" w:hAnsi="仿宋_GB2312" w:eastAsia="仿宋_GB2312" w:cs="仿宋_GB2312"/>
          <w:color w:val="000000" w:themeColor="text1"/>
          <w:sz w:val="33"/>
          <w:szCs w:val="33"/>
        </w:rPr>
        <w:t xml:space="preserve">” </w:t>
      </w:r>
      <w:r>
        <w:rPr>
          <w:rFonts w:ascii="仿宋_GB2312" w:hAnsi="仿宋_GB2312" w:eastAsia="仿宋_GB2312" w:cs="仿宋_GB2312"/>
          <w:color w:val="000000" w:themeColor="text1"/>
          <w:sz w:val="33"/>
          <w:szCs w:val="33"/>
        </w:rPr>
        <w:t>“</w:t>
      </w:r>
      <w:r>
        <w:rPr>
          <w:rFonts w:hint="eastAsia" w:ascii="仿宋_GB2312" w:hAnsi="仿宋_GB2312" w:eastAsia="仿宋_GB2312" w:cs="仿宋_GB2312"/>
          <w:color w:val="000000" w:themeColor="text1"/>
          <w:sz w:val="33"/>
          <w:szCs w:val="33"/>
        </w:rPr>
        <w:t>结转上年宣传文化事业发展专项资金”等4个项目编制了绩效目标，预算执行过程中，选取4个项目开展绩效监控，年终执行完毕后，对1个项目开展了绩效目标完成情况自评。</w:t>
      </w:r>
    </w:p>
    <w:p>
      <w:pPr>
        <w:spacing w:line="580" w:lineRule="exact"/>
        <w:ind w:firstLine="660" w:firstLineChars="200"/>
        <w:rPr>
          <w:rFonts w:ascii="仿宋_GB2312" w:hAnsi="仿宋_GB2312" w:eastAsia="仿宋_GB2312"/>
          <w:sz w:val="32"/>
          <w:szCs w:val="32"/>
        </w:rPr>
      </w:pPr>
      <w:r>
        <w:rPr>
          <w:rFonts w:hint="eastAsia" w:ascii="仿宋_GB2312" w:hAnsi="仿宋_GB2312" w:eastAsia="仿宋_GB2312" w:cs="仿宋_GB2312"/>
          <w:color w:val="000000" w:themeColor="text1"/>
          <w:sz w:val="33"/>
          <w:szCs w:val="33"/>
        </w:rPr>
        <w:t>本部门按要求对2019年部门整体支出开展绩效自评，从评价情况来看：</w:t>
      </w:r>
      <w:r>
        <w:rPr>
          <w:rFonts w:hint="eastAsia" w:ascii="仿宋_GB2312" w:eastAsia="仿宋_GB2312"/>
          <w:spacing w:val="6"/>
          <w:sz w:val="32"/>
          <w:szCs w:val="32"/>
        </w:rPr>
        <w:t>经自查，县委宣传部（县文联、 县对外宣传服务中心）绩效目标要素完整，指标量化，部门绩效目标实际实现程度与预期目标相符。</w:t>
      </w:r>
      <w:r>
        <w:rPr>
          <w:rFonts w:hint="eastAsia" w:ascii="仿宋_GB2312" w:hAnsi="仿宋_GB2312" w:eastAsia="仿宋_GB2312" w:cs="仿宋_GB2312"/>
          <w:color w:val="000000" w:themeColor="text1"/>
          <w:sz w:val="33"/>
          <w:szCs w:val="33"/>
        </w:rPr>
        <w:t>2</w:t>
      </w:r>
      <w:r>
        <w:rPr>
          <w:rFonts w:ascii="仿宋" w:hAnsi="仿宋" w:eastAsia="仿宋" w:cs="仿宋"/>
          <w:color w:val="000000" w:themeColor="text1"/>
          <w:sz w:val="33"/>
          <w:szCs w:val="33"/>
        </w:rPr>
        <w:t>019</w:t>
      </w:r>
      <w:r>
        <w:rPr>
          <w:rFonts w:hint="eastAsia" w:ascii="仿宋" w:hAnsi="仿宋" w:eastAsia="仿宋" w:cs="仿宋"/>
          <w:color w:val="000000" w:themeColor="text1"/>
          <w:sz w:val="33"/>
          <w:szCs w:val="33"/>
        </w:rPr>
        <w:t>年我单位按年初部门整体绩效评价的要求和整体支出绩效评价指标进行分析，人员经费和办公经费有效的保证了办公的日常需要，完成了各项工作目标任务，项目经费达到了预期的社会效益。</w:t>
      </w:r>
      <w:r>
        <w:rPr>
          <w:rFonts w:hint="eastAsia" w:ascii="仿宋_GB2312" w:eastAsia="仿宋_GB2312"/>
          <w:spacing w:val="6"/>
          <w:sz w:val="32"/>
          <w:szCs w:val="32"/>
        </w:rPr>
        <w:t>部门年初预算编制较为准确，基本支出与项目支出预算控制情况良好</w:t>
      </w:r>
      <w:r>
        <w:rPr>
          <w:rFonts w:hint="eastAsia" w:ascii="仿宋_GB2312" w:eastAsia="仿宋_GB2312"/>
          <w:color w:val="000000"/>
          <w:sz w:val="32"/>
          <w:szCs w:val="32"/>
        </w:rPr>
        <w:t>。</w:t>
      </w:r>
      <w:r>
        <w:rPr>
          <w:rFonts w:hint="eastAsia" w:ascii="仿宋_GB2312" w:hAnsi="仿宋_GB2312" w:eastAsia="仿宋_GB2312" w:cs="仿宋_GB2312"/>
          <w:sz w:val="32"/>
          <w:szCs w:val="32"/>
        </w:rPr>
        <w:t>2019年县委宣传部实施绩效管理的4个预算资金总额为</w:t>
      </w:r>
      <w:r>
        <w:rPr>
          <w:rFonts w:hint="eastAsia" w:ascii="仿宋_GB2312" w:hAnsi="仿宋_GB2312" w:eastAsia="仿宋_GB2312" w:cs="仿宋_GB2312"/>
          <w:color w:val="000000" w:themeColor="text1"/>
          <w:sz w:val="32"/>
          <w:szCs w:val="32"/>
        </w:rPr>
        <w:t>256.135万元，实际执行256.135万元，预算执行率为100 %，</w:t>
      </w:r>
      <w:r>
        <w:rPr>
          <w:rFonts w:hint="eastAsia" w:ascii="仿宋_GB2312" w:hAnsi="仿宋_GB2312" w:eastAsia="仿宋_GB2312" w:cs="仿宋_GB2312"/>
          <w:sz w:val="32"/>
          <w:szCs w:val="32"/>
        </w:rPr>
        <w:t>较好地完成了年度绩效目标管理工作。</w:t>
      </w:r>
    </w:p>
    <w:p>
      <w:pPr>
        <w:spacing w:line="560" w:lineRule="exact"/>
        <w:ind w:firstLine="640" w:firstLineChars="200"/>
        <w:rPr>
          <w:rFonts w:ascii="仿宋_GB2312" w:hAnsi="仿宋_GB2312" w:eastAsia="仿宋_GB2312" w:cs="仿宋_GB2312"/>
          <w:color w:val="000000" w:themeColor="text1"/>
          <w:sz w:val="33"/>
          <w:szCs w:val="33"/>
        </w:rPr>
      </w:pPr>
      <w:r>
        <w:rPr>
          <w:rFonts w:hint="eastAsia" w:ascii="楷体_GB2312" w:hAnsi="楷体_GB2312" w:eastAsia="楷体_GB2312" w:cs="楷体_GB2312"/>
          <w:sz w:val="32"/>
          <w:szCs w:val="32"/>
        </w:rPr>
        <w:t>1.项目绩效目标完成情况。</w:t>
      </w:r>
      <w:r>
        <w:rPr>
          <w:rFonts w:hint="eastAsia" w:ascii="楷体_GB2312" w:hAnsi="楷体_GB2312" w:eastAsia="楷体_GB2312" w:cs="楷体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color w:val="000000" w:themeColor="text1"/>
          <w:sz w:val="33"/>
          <w:szCs w:val="33"/>
        </w:rPr>
        <w:t>本部门在2019年度部门决算中反映“文联第四次代表大会经费</w:t>
      </w:r>
      <w:r>
        <w:rPr>
          <w:rFonts w:ascii="仿宋_GB2312" w:hAnsi="仿宋_GB2312" w:eastAsia="仿宋_GB2312" w:cs="仿宋_GB2312"/>
          <w:color w:val="000000" w:themeColor="text1"/>
          <w:sz w:val="33"/>
          <w:szCs w:val="33"/>
        </w:rPr>
        <w:t>”</w:t>
      </w:r>
      <w:r>
        <w:rPr>
          <w:rFonts w:hint="eastAsia" w:ascii="仿宋_GB2312" w:hAnsi="仿宋_GB2312" w:eastAsia="仿宋_GB2312" w:cs="仿宋_GB2312"/>
          <w:color w:val="000000" w:themeColor="text1"/>
          <w:sz w:val="33"/>
          <w:szCs w:val="33"/>
        </w:rPr>
        <w:t>、“</w:t>
      </w:r>
      <w:r>
        <w:rPr>
          <w:rFonts w:hint="eastAsia"/>
          <w:color w:val="000000" w:themeColor="text1"/>
          <w:sz w:val="33"/>
          <w:szCs w:val="33"/>
        </w:rPr>
        <w:t xml:space="preserve"> </w:t>
      </w:r>
      <w:r>
        <w:rPr>
          <w:rFonts w:hint="eastAsia" w:ascii="仿宋_GB2312" w:hAnsi="仿宋_GB2312" w:eastAsia="仿宋_GB2312" w:cs="仿宋_GB2312"/>
          <w:color w:val="000000" w:themeColor="text1"/>
          <w:sz w:val="33"/>
          <w:szCs w:val="33"/>
        </w:rPr>
        <w:t>2019年宣传专项经费</w:t>
      </w:r>
      <w:r>
        <w:rPr>
          <w:rFonts w:ascii="仿宋_GB2312" w:hAnsi="仿宋_GB2312" w:eastAsia="仿宋_GB2312" w:cs="仿宋_GB2312"/>
          <w:color w:val="000000" w:themeColor="text1"/>
          <w:sz w:val="33"/>
          <w:szCs w:val="33"/>
        </w:rPr>
        <w:t>”</w:t>
      </w:r>
      <w:r>
        <w:rPr>
          <w:rFonts w:hint="eastAsia" w:ascii="仿宋_GB2312" w:hAnsi="仿宋_GB2312" w:eastAsia="仿宋_GB2312" w:cs="仿宋_GB2312"/>
          <w:color w:val="000000" w:themeColor="text1"/>
          <w:sz w:val="33"/>
          <w:szCs w:val="33"/>
        </w:rPr>
        <w:t>、 “</w:t>
      </w:r>
      <w:r>
        <w:rPr>
          <w:rFonts w:hint="eastAsia"/>
          <w:color w:val="000000" w:themeColor="text1"/>
          <w:sz w:val="33"/>
          <w:szCs w:val="33"/>
        </w:rPr>
        <w:t xml:space="preserve"> </w:t>
      </w:r>
      <w:r>
        <w:rPr>
          <w:rFonts w:hint="eastAsia" w:ascii="仿宋_GB2312" w:hAnsi="仿宋_GB2312" w:eastAsia="仿宋_GB2312" w:cs="仿宋_GB2312"/>
          <w:color w:val="000000" w:themeColor="text1"/>
          <w:sz w:val="33"/>
          <w:szCs w:val="33"/>
        </w:rPr>
        <w:t>融媒体中心建设经费（其中包含中央补助地方公共文化服务体系建设专项资金</w:t>
      </w:r>
      <w:r>
        <w:rPr>
          <w:rFonts w:ascii="仿宋_GB2312" w:hAnsi="仿宋_GB2312" w:eastAsia="仿宋_GB2312" w:cs="仿宋_GB2312"/>
          <w:color w:val="000000" w:themeColor="text1"/>
          <w:sz w:val="33"/>
          <w:szCs w:val="33"/>
        </w:rPr>
        <w:t>）</w:t>
      </w:r>
      <w:r>
        <w:rPr>
          <w:rFonts w:hint="eastAsia" w:ascii="仿宋_GB2312" w:hAnsi="仿宋_GB2312" w:eastAsia="仿宋_GB2312" w:cs="仿宋_GB2312"/>
          <w:color w:val="000000" w:themeColor="text1"/>
          <w:sz w:val="33"/>
          <w:szCs w:val="33"/>
        </w:rPr>
        <w:t xml:space="preserve">” </w:t>
      </w:r>
      <w:r>
        <w:rPr>
          <w:rFonts w:ascii="仿宋_GB2312" w:hAnsi="仿宋_GB2312" w:eastAsia="仿宋_GB2312" w:cs="仿宋_GB2312"/>
          <w:color w:val="000000" w:themeColor="text1"/>
          <w:sz w:val="33"/>
          <w:szCs w:val="33"/>
        </w:rPr>
        <w:t>“</w:t>
      </w:r>
      <w:r>
        <w:rPr>
          <w:rFonts w:hint="eastAsia" w:ascii="仿宋_GB2312" w:hAnsi="仿宋_GB2312" w:eastAsia="仿宋_GB2312" w:cs="仿宋_GB2312"/>
          <w:color w:val="000000" w:themeColor="text1"/>
          <w:sz w:val="33"/>
          <w:szCs w:val="33"/>
        </w:rPr>
        <w:t>结转上年宣传文化事业发展专项资金”等4个项目绩效目标实际完成情况。</w:t>
      </w:r>
    </w:p>
    <w:p>
      <w:pPr>
        <w:spacing w:line="580" w:lineRule="exact"/>
        <w:ind w:firstLine="660" w:firstLineChars="200"/>
        <w:rPr>
          <w:rFonts w:ascii="仿宋_GB2312" w:hAnsi="仿宋_GB2312" w:eastAsia="仿宋_GB2312" w:cs="仿宋_GB2312"/>
          <w:color w:val="000000" w:themeColor="text1"/>
          <w:sz w:val="33"/>
          <w:szCs w:val="33"/>
        </w:rPr>
      </w:pPr>
      <w:r>
        <w:rPr>
          <w:rFonts w:hint="eastAsia" w:ascii="仿宋_GB2312" w:hAnsi="仿宋_GB2312" w:eastAsia="仿宋_GB2312" w:cs="仿宋_GB2312"/>
          <w:color w:val="000000" w:themeColor="text1"/>
          <w:sz w:val="33"/>
          <w:szCs w:val="33"/>
        </w:rPr>
        <w:t>（1）文联第四次代表大会经费项目绩效目标完成情况综述。项目全年预算数5.48万元，执行数为5.48万元，完成预算的100%。通过项目实施，创作了一大批脍炙人口、深入人心的优秀作品，弘扬了中国精神，凝聚了中国力量。为我们党团结带领人民实现民族独立、人民解放、国家富强、人民幸福做出了十分重要的贡献。保障促进文化建设与经济、政治、社会建设协调发展。</w:t>
      </w:r>
    </w:p>
    <w:tbl>
      <w:tblPr>
        <w:tblStyle w:val="13"/>
        <w:tblpPr w:leftFromText="180" w:rightFromText="180" w:vertAnchor="text" w:horzAnchor="page" w:tblpXSpec="center" w:tblpY="423"/>
        <w:tblOverlap w:val="never"/>
        <w:tblW w:w="10229" w:type="dxa"/>
        <w:jc w:val="center"/>
        <w:tblLayout w:type="fixed"/>
        <w:tblCellMar>
          <w:top w:w="0" w:type="dxa"/>
          <w:left w:w="0" w:type="dxa"/>
          <w:bottom w:w="0" w:type="dxa"/>
          <w:right w:w="0" w:type="dxa"/>
        </w:tblCellMar>
      </w:tblPr>
      <w:tblGrid>
        <w:gridCol w:w="659"/>
        <w:gridCol w:w="618"/>
        <w:gridCol w:w="749"/>
        <w:gridCol w:w="966"/>
        <w:gridCol w:w="59"/>
        <w:gridCol w:w="2392"/>
        <w:gridCol w:w="2394"/>
        <w:gridCol w:w="2392"/>
      </w:tblGrid>
      <w:tr>
        <w:tblPrEx>
          <w:tblCellMar>
            <w:top w:w="0" w:type="dxa"/>
            <w:left w:w="0" w:type="dxa"/>
            <w:bottom w:w="0" w:type="dxa"/>
            <w:right w:w="0" w:type="dxa"/>
          </w:tblCellMar>
        </w:tblPrEx>
        <w:trPr>
          <w:trHeight w:val="1034" w:hRule="atLeast"/>
          <w:jc w:val="center"/>
        </w:trPr>
        <w:tc>
          <w:tcPr>
            <w:tcW w:w="10229" w:type="dxa"/>
            <w:gridSpan w:val="8"/>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b/>
                <w:bCs/>
                <w:color w:val="000000"/>
                <w:kern w:val="0"/>
                <w:szCs w:val="21"/>
              </w:rPr>
              <w:t>项目绩效目标完成情况表</w:t>
            </w:r>
            <w:r>
              <w:rPr>
                <w:rFonts w:hint="eastAsia" w:ascii="宋体" w:hAnsi="宋体" w:cs="宋体"/>
                <w:b/>
                <w:bCs/>
                <w:color w:val="000000"/>
                <w:kern w:val="0"/>
                <w:szCs w:val="21"/>
              </w:rPr>
              <w:br w:type="textWrapping"/>
            </w:r>
            <w:r>
              <w:rPr>
                <w:rFonts w:hint="eastAsia" w:ascii="宋体" w:hAnsi="宋体" w:cs="宋体"/>
                <w:color w:val="000000"/>
                <w:kern w:val="0"/>
                <w:szCs w:val="21"/>
              </w:rPr>
              <w:t>(2019 年度)</w:t>
            </w:r>
          </w:p>
        </w:tc>
      </w:tr>
      <w:tr>
        <w:tblPrEx>
          <w:tblCellMar>
            <w:top w:w="0" w:type="dxa"/>
            <w:left w:w="0" w:type="dxa"/>
            <w:bottom w:w="0" w:type="dxa"/>
            <w:right w:w="0" w:type="dxa"/>
          </w:tblCellMar>
        </w:tblPrEx>
        <w:trPr>
          <w:trHeight w:val="276" w:hRule="atLeast"/>
          <w:jc w:val="center"/>
        </w:trPr>
        <w:tc>
          <w:tcPr>
            <w:tcW w:w="3051"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仿宋_GB2312" w:hAnsi="仿宋_GB2312" w:eastAsia="仿宋_GB2312" w:cs="仿宋_GB2312"/>
                <w:color w:val="000000"/>
                <w:szCs w:val="21"/>
              </w:rPr>
              <w:t>文联第四次代表大会经费</w:t>
            </w:r>
          </w:p>
        </w:tc>
      </w:tr>
      <w:tr>
        <w:tblPrEx>
          <w:tblCellMar>
            <w:top w:w="0" w:type="dxa"/>
            <w:left w:w="0" w:type="dxa"/>
            <w:bottom w:w="0" w:type="dxa"/>
            <w:right w:w="0" w:type="dxa"/>
          </w:tblCellMar>
        </w:tblPrEx>
        <w:trPr>
          <w:trHeight w:val="276" w:hRule="atLeast"/>
          <w:jc w:val="center"/>
        </w:trPr>
        <w:tc>
          <w:tcPr>
            <w:tcW w:w="3051"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盐边县委宣传部</w:t>
            </w:r>
          </w:p>
        </w:tc>
      </w:tr>
      <w:tr>
        <w:tblPrEx>
          <w:tblCellMar>
            <w:top w:w="0" w:type="dxa"/>
            <w:left w:w="0" w:type="dxa"/>
            <w:bottom w:w="0" w:type="dxa"/>
            <w:right w:w="0" w:type="dxa"/>
          </w:tblCellMar>
        </w:tblPrEx>
        <w:trPr>
          <w:trHeight w:val="276" w:hRule="atLeast"/>
          <w:jc w:val="center"/>
        </w:trPr>
        <w:tc>
          <w:tcPr>
            <w:tcW w:w="1277"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预算执行情况(万元)</w:t>
            </w:r>
          </w:p>
        </w:tc>
        <w:tc>
          <w:tcPr>
            <w:tcW w:w="177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5.48万元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5.7532万元</w:t>
            </w:r>
          </w:p>
        </w:tc>
      </w:tr>
      <w:tr>
        <w:tblPrEx>
          <w:tblCellMar>
            <w:top w:w="0" w:type="dxa"/>
            <w:left w:w="0" w:type="dxa"/>
            <w:bottom w:w="0" w:type="dxa"/>
            <w:right w:w="0" w:type="dxa"/>
          </w:tblCellMar>
        </w:tblPrEx>
        <w:trPr>
          <w:trHeight w:val="276" w:hRule="atLeast"/>
          <w:jc w:val="center"/>
        </w:trPr>
        <w:tc>
          <w:tcPr>
            <w:tcW w:w="1277"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77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5.48万元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5.7532万元</w:t>
            </w:r>
          </w:p>
        </w:tc>
      </w:tr>
      <w:tr>
        <w:tblPrEx>
          <w:tblCellMar>
            <w:top w:w="0" w:type="dxa"/>
            <w:left w:w="0" w:type="dxa"/>
            <w:bottom w:w="0" w:type="dxa"/>
            <w:right w:w="0" w:type="dxa"/>
          </w:tblCellMar>
        </w:tblPrEx>
        <w:trPr>
          <w:trHeight w:val="1583" w:hRule="atLeast"/>
          <w:jc w:val="center"/>
        </w:trPr>
        <w:tc>
          <w:tcPr>
            <w:tcW w:w="1277"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77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CellMar>
            <w:top w:w="0" w:type="dxa"/>
            <w:left w:w="0" w:type="dxa"/>
            <w:bottom w:w="0" w:type="dxa"/>
            <w:right w:w="0" w:type="dxa"/>
          </w:tblCellMar>
        </w:tblPrEx>
        <w:trPr>
          <w:trHeight w:val="276" w:hRule="atLeast"/>
          <w:jc w:val="center"/>
        </w:trPr>
        <w:tc>
          <w:tcPr>
            <w:tcW w:w="1277"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年度目标完成情况</w:t>
            </w:r>
          </w:p>
        </w:tc>
        <w:tc>
          <w:tcPr>
            <w:tcW w:w="4166"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实际完成目标</w:t>
            </w:r>
          </w:p>
        </w:tc>
      </w:tr>
      <w:tr>
        <w:tblPrEx>
          <w:tblCellMar>
            <w:top w:w="0" w:type="dxa"/>
            <w:left w:w="0" w:type="dxa"/>
            <w:bottom w:w="0" w:type="dxa"/>
            <w:right w:w="0" w:type="dxa"/>
          </w:tblCellMar>
        </w:tblPrEx>
        <w:trPr>
          <w:trHeight w:val="1159" w:hRule="atLeast"/>
          <w:jc w:val="center"/>
        </w:trPr>
        <w:tc>
          <w:tcPr>
            <w:tcW w:w="1277"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4166"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根据《盐边县文学艺术界联合会章程》规定，结合工作实际，县文联拟于今年9月召开盐边县文学艺术界联合第四次代表大会。</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宋体" w:hAnsi="宋体" w:cs="宋体"/>
                <w:color w:val="000000"/>
                <w:szCs w:val="21"/>
              </w:rPr>
            </w:pPr>
            <w:r>
              <w:rPr>
                <w:rFonts w:hint="eastAsia" w:ascii="宋体" w:hAnsi="宋体" w:cs="宋体"/>
                <w:color w:val="000000"/>
                <w:szCs w:val="21"/>
              </w:rPr>
              <w:t>10月28日召开盐边县文学艺术界联合第四次代表大会。</w:t>
            </w:r>
          </w:p>
        </w:tc>
      </w:tr>
      <w:tr>
        <w:tblPrEx>
          <w:tblCellMar>
            <w:top w:w="0" w:type="dxa"/>
            <w:left w:w="0" w:type="dxa"/>
            <w:bottom w:w="0" w:type="dxa"/>
            <w:right w:w="0" w:type="dxa"/>
          </w:tblCellMar>
        </w:tblPrEx>
        <w:trPr>
          <w:trHeight w:val="535" w:hRule="atLeast"/>
          <w:jc w:val="center"/>
        </w:trPr>
        <w:tc>
          <w:tcPr>
            <w:tcW w:w="1277" w:type="dxa"/>
            <w:gridSpan w:val="2"/>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绩效指标完成情况</w:t>
            </w:r>
          </w:p>
        </w:tc>
        <w:tc>
          <w:tcPr>
            <w:tcW w:w="7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一级指标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实际完成指标值(包含数字及文字描述)</w:t>
            </w:r>
          </w:p>
        </w:tc>
      </w:tr>
      <w:tr>
        <w:tblPrEx>
          <w:tblCellMar>
            <w:top w:w="0" w:type="dxa"/>
            <w:left w:w="0" w:type="dxa"/>
            <w:bottom w:w="0" w:type="dxa"/>
            <w:right w:w="0" w:type="dxa"/>
          </w:tblCellMar>
        </w:tblPrEx>
        <w:trPr>
          <w:trHeight w:val="607" w:hRule="atLeast"/>
          <w:jc w:val="center"/>
        </w:trPr>
        <w:tc>
          <w:tcPr>
            <w:tcW w:w="1277" w:type="dxa"/>
            <w:gridSpan w:val="2"/>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7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项目完成指标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盐边县文联第四次代表大会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会务费</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会务费</w:t>
            </w:r>
          </w:p>
        </w:tc>
      </w:tr>
      <w:tr>
        <w:tblPrEx>
          <w:tblCellMar>
            <w:top w:w="0" w:type="dxa"/>
            <w:left w:w="0" w:type="dxa"/>
            <w:bottom w:w="0" w:type="dxa"/>
            <w:right w:w="0" w:type="dxa"/>
          </w:tblCellMar>
        </w:tblPrEx>
        <w:trPr>
          <w:trHeight w:val="621" w:hRule="atLeast"/>
          <w:jc w:val="center"/>
        </w:trPr>
        <w:tc>
          <w:tcPr>
            <w:tcW w:w="1277" w:type="dxa"/>
            <w:gridSpan w:val="2"/>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7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项目完成指标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质量指票</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盐边县文联第四次代表大会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全天共200余人参加</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按照会议标准要求筹备</w:t>
            </w:r>
          </w:p>
        </w:tc>
      </w:tr>
      <w:tr>
        <w:tblPrEx>
          <w:tblCellMar>
            <w:top w:w="0" w:type="dxa"/>
            <w:left w:w="0" w:type="dxa"/>
            <w:bottom w:w="0" w:type="dxa"/>
            <w:right w:w="0" w:type="dxa"/>
          </w:tblCellMar>
        </w:tblPrEx>
        <w:trPr>
          <w:trHeight w:val="725" w:hRule="atLeast"/>
          <w:jc w:val="center"/>
        </w:trPr>
        <w:tc>
          <w:tcPr>
            <w:tcW w:w="1277" w:type="dxa"/>
            <w:gridSpan w:val="2"/>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7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项目完成指标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盐边县文联第四次代表大会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1天</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2019年10月28日早上8：00-下午6：00</w:t>
            </w:r>
          </w:p>
        </w:tc>
      </w:tr>
      <w:tr>
        <w:tblPrEx>
          <w:tblCellMar>
            <w:top w:w="0" w:type="dxa"/>
            <w:left w:w="0" w:type="dxa"/>
            <w:bottom w:w="0" w:type="dxa"/>
            <w:right w:w="0" w:type="dxa"/>
          </w:tblCellMar>
        </w:tblPrEx>
        <w:trPr>
          <w:trHeight w:val="783" w:hRule="atLeast"/>
          <w:jc w:val="center"/>
        </w:trPr>
        <w:tc>
          <w:tcPr>
            <w:tcW w:w="1277" w:type="dxa"/>
            <w:gridSpan w:val="2"/>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7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项目完成指标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会务费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9200元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9200元</w:t>
            </w:r>
          </w:p>
        </w:tc>
      </w:tr>
      <w:tr>
        <w:tblPrEx>
          <w:tblCellMar>
            <w:top w:w="0" w:type="dxa"/>
            <w:left w:w="0" w:type="dxa"/>
            <w:bottom w:w="0" w:type="dxa"/>
            <w:right w:w="0" w:type="dxa"/>
          </w:tblCellMar>
        </w:tblPrEx>
        <w:trPr>
          <w:trHeight w:val="713" w:hRule="atLeast"/>
          <w:jc w:val="center"/>
        </w:trPr>
        <w:tc>
          <w:tcPr>
            <w:tcW w:w="1277" w:type="dxa"/>
            <w:gridSpan w:val="2"/>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7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项目完成指标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误餐补助</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20000元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20000元</w:t>
            </w:r>
          </w:p>
        </w:tc>
      </w:tr>
      <w:tr>
        <w:tblPrEx>
          <w:tblCellMar>
            <w:top w:w="0" w:type="dxa"/>
            <w:left w:w="0" w:type="dxa"/>
            <w:bottom w:w="0" w:type="dxa"/>
            <w:right w:w="0" w:type="dxa"/>
          </w:tblCellMar>
        </w:tblPrEx>
        <w:trPr>
          <w:trHeight w:val="694" w:hRule="atLeast"/>
          <w:jc w:val="center"/>
        </w:trPr>
        <w:tc>
          <w:tcPr>
            <w:tcW w:w="1277" w:type="dxa"/>
            <w:gridSpan w:val="2"/>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7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项目完成指标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材料印刷费、奖状制作费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5000元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5000元</w:t>
            </w:r>
          </w:p>
        </w:tc>
      </w:tr>
      <w:tr>
        <w:tblPrEx>
          <w:tblCellMar>
            <w:top w:w="0" w:type="dxa"/>
            <w:left w:w="0" w:type="dxa"/>
            <w:bottom w:w="0" w:type="dxa"/>
            <w:right w:w="0" w:type="dxa"/>
          </w:tblCellMar>
        </w:tblPrEx>
        <w:trPr>
          <w:trHeight w:val="691" w:hRule="atLeast"/>
          <w:jc w:val="center"/>
        </w:trPr>
        <w:tc>
          <w:tcPr>
            <w:tcW w:w="1277" w:type="dxa"/>
            <w:gridSpan w:val="2"/>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7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项目完成指标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文化志愿服装费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6000元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6000元</w:t>
            </w:r>
          </w:p>
        </w:tc>
      </w:tr>
      <w:tr>
        <w:tblPrEx>
          <w:tblCellMar>
            <w:top w:w="0" w:type="dxa"/>
            <w:left w:w="0" w:type="dxa"/>
            <w:bottom w:w="0" w:type="dxa"/>
            <w:right w:w="0" w:type="dxa"/>
          </w:tblCellMar>
        </w:tblPrEx>
        <w:trPr>
          <w:trHeight w:val="673" w:hRule="atLeast"/>
          <w:jc w:val="center"/>
        </w:trPr>
        <w:tc>
          <w:tcPr>
            <w:tcW w:w="1277" w:type="dxa"/>
            <w:gridSpan w:val="2"/>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7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效益指标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社会效益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社会主义先进文化</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促进文化建设与经济、政治、社会建设协调发展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促进文化建设与经济、政治、社会建设协调发展</w:t>
            </w:r>
          </w:p>
        </w:tc>
      </w:tr>
      <w:tr>
        <w:tblPrEx>
          <w:tblCellMar>
            <w:top w:w="0" w:type="dxa"/>
            <w:left w:w="0" w:type="dxa"/>
            <w:bottom w:w="0" w:type="dxa"/>
            <w:right w:w="0" w:type="dxa"/>
          </w:tblCellMar>
        </w:tblPrEx>
        <w:trPr>
          <w:trHeight w:val="682" w:hRule="atLeast"/>
          <w:jc w:val="center"/>
        </w:trPr>
        <w:tc>
          <w:tcPr>
            <w:tcW w:w="1277" w:type="dxa"/>
            <w:gridSpan w:val="2"/>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7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满意度指标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themeColor="text1"/>
                <w:szCs w:val="21"/>
              </w:rPr>
            </w:pPr>
            <w:r>
              <w:rPr>
                <w:rFonts w:hint="eastAsia" w:ascii="宋体" w:hAnsi="宋体" w:cs="宋体"/>
                <w:color w:val="000000" w:themeColor="text1"/>
                <w:szCs w:val="21"/>
              </w:rPr>
              <w:t>参会代表满意度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themeColor="text1"/>
                <w:szCs w:val="21"/>
              </w:rPr>
            </w:pPr>
            <w:r>
              <w:rPr>
                <w:rFonts w:hint="eastAsia" w:ascii="宋体" w:hAnsi="宋体" w:cs="宋体"/>
                <w:color w:val="000000" w:themeColor="text1"/>
                <w:szCs w:val="21"/>
              </w:rPr>
              <w:t>90%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themeColor="text1"/>
                <w:szCs w:val="21"/>
              </w:rPr>
            </w:pPr>
            <w:r>
              <w:rPr>
                <w:rFonts w:hint="eastAsia" w:ascii="宋体" w:hAnsi="宋体" w:cs="宋体"/>
                <w:color w:val="000000" w:themeColor="text1"/>
                <w:szCs w:val="21"/>
              </w:rPr>
              <w:t>90%</w:t>
            </w:r>
          </w:p>
        </w:tc>
      </w:tr>
      <w:tr>
        <w:tblPrEx>
          <w:tblCellMar>
            <w:top w:w="0" w:type="dxa"/>
            <w:left w:w="0" w:type="dxa"/>
            <w:bottom w:w="0" w:type="dxa"/>
            <w:right w:w="0" w:type="dxa"/>
          </w:tblCellMar>
        </w:tblPrEx>
        <w:trPr>
          <w:trHeight w:val="1034" w:hRule="atLeast"/>
          <w:jc w:val="center"/>
        </w:trPr>
        <w:tc>
          <w:tcPr>
            <w:tcW w:w="10229" w:type="dxa"/>
            <w:gridSpan w:val="8"/>
            <w:tcBorders>
              <w:top w:val="nil"/>
              <w:left w:val="nil"/>
              <w:bottom w:val="nil"/>
              <w:right w:val="nil"/>
            </w:tcBorders>
            <w:tcMar>
              <w:top w:w="15" w:type="dxa"/>
              <w:left w:w="15" w:type="dxa"/>
              <w:right w:w="15" w:type="dxa"/>
            </w:tcMar>
            <w:vAlign w:val="center"/>
          </w:tcPr>
          <w:p>
            <w:pPr>
              <w:spacing w:line="580" w:lineRule="exact"/>
              <w:ind w:firstLine="660" w:firstLineChars="200"/>
              <w:rPr>
                <w:rFonts w:ascii="仿宋_GB2312" w:hAnsi="仿宋_GB2312" w:eastAsia="仿宋_GB2312" w:cs="仿宋_GB2312"/>
                <w:color w:val="000000" w:themeColor="text1"/>
                <w:sz w:val="33"/>
                <w:szCs w:val="33"/>
              </w:rPr>
            </w:pPr>
            <w:r>
              <w:rPr>
                <w:rFonts w:hint="eastAsia" w:ascii="仿宋_GB2312" w:hAnsi="仿宋_GB2312" w:eastAsia="仿宋_GB2312" w:cs="仿宋_GB2312"/>
                <w:color w:val="000000" w:themeColor="text1"/>
                <w:sz w:val="33"/>
                <w:szCs w:val="33"/>
              </w:rPr>
              <w:t>（2）2019年宣传专项经费项目绩效目标完成情况综述。项目全年预算数98万元，执行数为98万元，完成预算的100%。通过项目实施加强媒体合作，推动全县宣传文化、精神文明建设和意识形态责任制落实等工作，充分发挥宣传喉舌、凝聚民心的作用，助推全县各项中心工作的开展。</w:t>
            </w:r>
          </w:p>
          <w:p>
            <w:pPr>
              <w:widowControl/>
              <w:jc w:val="center"/>
              <w:textAlignment w:val="center"/>
              <w:rPr>
                <w:rFonts w:ascii="宋体" w:hAnsi="宋体" w:cs="宋体"/>
                <w:b/>
                <w:bCs/>
                <w:color w:val="000000"/>
                <w:kern w:val="0"/>
                <w:szCs w:val="21"/>
              </w:rPr>
            </w:pPr>
          </w:p>
          <w:p>
            <w:pPr>
              <w:widowControl/>
              <w:jc w:val="center"/>
              <w:textAlignment w:val="center"/>
              <w:rPr>
                <w:rFonts w:ascii="宋体" w:hAnsi="宋体" w:cs="宋体"/>
                <w:color w:val="000000"/>
                <w:szCs w:val="21"/>
              </w:rPr>
            </w:pPr>
            <w:r>
              <w:rPr>
                <w:rFonts w:hint="eastAsia" w:ascii="宋体" w:hAnsi="宋体" w:cs="宋体"/>
                <w:b/>
                <w:bCs/>
                <w:color w:val="000000"/>
                <w:kern w:val="0"/>
                <w:sz w:val="32"/>
                <w:szCs w:val="32"/>
              </w:rPr>
              <w:t>项目绩效目标完成情况表</w:t>
            </w:r>
            <w:r>
              <w:rPr>
                <w:rFonts w:hint="eastAsia" w:ascii="宋体" w:hAnsi="宋体" w:cs="宋体"/>
                <w:b/>
                <w:bCs/>
                <w:color w:val="000000"/>
                <w:kern w:val="0"/>
                <w:sz w:val="32"/>
                <w:szCs w:val="32"/>
              </w:rPr>
              <w:br w:type="textWrapping"/>
            </w:r>
            <w:r>
              <w:rPr>
                <w:rFonts w:hint="eastAsia" w:ascii="宋体" w:hAnsi="宋体" w:cs="宋体"/>
                <w:color w:val="000000"/>
                <w:kern w:val="0"/>
                <w:szCs w:val="21"/>
              </w:rPr>
              <w:t>(2019 年度)</w:t>
            </w:r>
          </w:p>
        </w:tc>
      </w:tr>
      <w:tr>
        <w:tblPrEx>
          <w:tblCellMar>
            <w:top w:w="0" w:type="dxa"/>
            <w:left w:w="0" w:type="dxa"/>
            <w:bottom w:w="0" w:type="dxa"/>
            <w:right w:w="0" w:type="dxa"/>
          </w:tblCellMar>
        </w:tblPrEx>
        <w:trPr>
          <w:trHeight w:val="276" w:hRule="atLeast"/>
          <w:jc w:val="center"/>
        </w:trPr>
        <w:tc>
          <w:tcPr>
            <w:tcW w:w="3051"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仿宋_GB2312" w:hAnsi="仿宋_GB2312" w:eastAsia="仿宋_GB2312" w:cs="仿宋_GB2312"/>
                <w:color w:val="000000"/>
                <w:szCs w:val="21"/>
              </w:rPr>
              <w:t>2019年宣传专项经费</w:t>
            </w:r>
          </w:p>
        </w:tc>
      </w:tr>
      <w:tr>
        <w:tblPrEx>
          <w:tblCellMar>
            <w:top w:w="0" w:type="dxa"/>
            <w:left w:w="0" w:type="dxa"/>
            <w:bottom w:w="0" w:type="dxa"/>
            <w:right w:w="0" w:type="dxa"/>
          </w:tblCellMar>
        </w:tblPrEx>
        <w:trPr>
          <w:trHeight w:val="276" w:hRule="atLeast"/>
          <w:jc w:val="center"/>
        </w:trPr>
        <w:tc>
          <w:tcPr>
            <w:tcW w:w="3051"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盐边县委宣传部</w:t>
            </w:r>
          </w:p>
        </w:tc>
      </w:tr>
      <w:tr>
        <w:tblPrEx>
          <w:tblCellMar>
            <w:top w:w="0" w:type="dxa"/>
            <w:left w:w="0" w:type="dxa"/>
            <w:bottom w:w="0" w:type="dxa"/>
            <w:right w:w="0" w:type="dxa"/>
          </w:tblCellMar>
        </w:tblPrEx>
        <w:trPr>
          <w:trHeight w:val="276" w:hRule="atLeast"/>
          <w:jc w:val="center"/>
        </w:trPr>
        <w:tc>
          <w:tcPr>
            <w:tcW w:w="65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预算执行情况(万元)</w:t>
            </w:r>
          </w:p>
        </w:tc>
        <w:tc>
          <w:tcPr>
            <w:tcW w:w="2392"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98万元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98万元</w:t>
            </w:r>
          </w:p>
        </w:tc>
      </w:tr>
      <w:tr>
        <w:tblPrEx>
          <w:tblCellMar>
            <w:top w:w="0" w:type="dxa"/>
            <w:left w:w="0" w:type="dxa"/>
            <w:bottom w:w="0" w:type="dxa"/>
            <w:right w:w="0" w:type="dxa"/>
          </w:tblCellMar>
        </w:tblPrEx>
        <w:trPr>
          <w:trHeight w:val="276" w:hRule="atLeast"/>
          <w:jc w:val="center"/>
        </w:trPr>
        <w:tc>
          <w:tcPr>
            <w:tcW w:w="65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2392"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98万元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98万元</w:t>
            </w:r>
          </w:p>
        </w:tc>
      </w:tr>
      <w:tr>
        <w:tblPrEx>
          <w:tblCellMar>
            <w:top w:w="0" w:type="dxa"/>
            <w:left w:w="0" w:type="dxa"/>
            <w:bottom w:w="0" w:type="dxa"/>
            <w:right w:w="0" w:type="dxa"/>
          </w:tblCellMar>
        </w:tblPrEx>
        <w:trPr>
          <w:trHeight w:val="1511" w:hRule="atLeast"/>
          <w:jc w:val="center"/>
        </w:trPr>
        <w:tc>
          <w:tcPr>
            <w:tcW w:w="65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2392"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CellMar>
            <w:top w:w="0" w:type="dxa"/>
            <w:left w:w="0" w:type="dxa"/>
            <w:bottom w:w="0" w:type="dxa"/>
            <w:right w:w="0" w:type="dxa"/>
          </w:tblCellMar>
        </w:tblPrEx>
        <w:trPr>
          <w:trHeight w:val="276" w:hRule="atLeast"/>
          <w:jc w:val="center"/>
        </w:trPr>
        <w:tc>
          <w:tcPr>
            <w:tcW w:w="65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年度目标完成情况</w:t>
            </w:r>
          </w:p>
        </w:tc>
        <w:tc>
          <w:tcPr>
            <w:tcW w:w="4784"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实际完成目标</w:t>
            </w:r>
          </w:p>
        </w:tc>
      </w:tr>
      <w:tr>
        <w:tblPrEx>
          <w:tblCellMar>
            <w:top w:w="0" w:type="dxa"/>
            <w:left w:w="0" w:type="dxa"/>
            <w:bottom w:w="0" w:type="dxa"/>
            <w:right w:w="0" w:type="dxa"/>
          </w:tblCellMar>
        </w:tblPrEx>
        <w:trPr>
          <w:trHeight w:val="1159" w:hRule="atLeast"/>
          <w:jc w:val="center"/>
        </w:trPr>
        <w:tc>
          <w:tcPr>
            <w:tcW w:w="65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4784"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加强媒体合作，与四川日报、攀枝花广播电视台开展合作。2、开展对外宣传专版报道，在与四川日报、攀枝花日报常规合作的基础上，在重大事件和重要时段开展专版报道。3、狠抓全县宣传文化、精神文明建设和意识形态责任制落实等工作，充分发挥宣传喉舌、凝聚民心的作用，助推全县各项中心工作的开展。</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与四川日报、攀枝花广播电视台开展合作。2、开展对外宣传专版报道，在与四川日报、攀枝花日报常规合作的基础上，在重大事件和重要时段开展专版报道。3、狠抓全县宣传文化、精神文明建设和意识形态责任制落实等工作，充分发挥宣传喉舌、凝聚民心的作用，助推全县各项中心工作的开展。</w:t>
            </w:r>
          </w:p>
        </w:tc>
      </w:tr>
      <w:tr>
        <w:tblPrEx>
          <w:tblCellMar>
            <w:top w:w="0" w:type="dxa"/>
            <w:left w:w="0" w:type="dxa"/>
            <w:bottom w:w="0" w:type="dxa"/>
            <w:right w:w="0" w:type="dxa"/>
          </w:tblCellMar>
        </w:tblPrEx>
        <w:trPr>
          <w:trHeight w:val="1042" w:hRule="atLeast"/>
          <w:jc w:val="center"/>
        </w:trPr>
        <w:tc>
          <w:tcPr>
            <w:tcW w:w="659"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绩效指标完成情况</w:t>
            </w: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一级指标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实际完成指标值(包含数字及文字描述)</w:t>
            </w:r>
          </w:p>
        </w:tc>
      </w:tr>
      <w:tr>
        <w:tblPrEx>
          <w:tblCellMar>
            <w:top w:w="0" w:type="dxa"/>
            <w:left w:w="0" w:type="dxa"/>
            <w:bottom w:w="0" w:type="dxa"/>
            <w:right w:w="0" w:type="dxa"/>
          </w:tblCellMar>
        </w:tblPrEx>
        <w:trPr>
          <w:trHeight w:val="953"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项目完成指标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媒体协作费、公益广告费、“不负国家使命”大型展出，制作盐边宣传</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themeColor="text1"/>
                <w:szCs w:val="21"/>
              </w:rPr>
            </w:pPr>
            <w:r>
              <w:rPr>
                <w:rFonts w:hint="eastAsia" w:ascii="宋体" w:hAnsi="宋体" w:cs="宋体"/>
                <w:color w:val="000000" w:themeColor="text1"/>
                <w:szCs w:val="21"/>
              </w:rPr>
              <w:t>与《四川日报》、攀枝花广播电视台媒体协作，公益广告制作，盐边宣传制作，“不负国家使命”大型展出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themeColor="text1"/>
                <w:szCs w:val="21"/>
              </w:rPr>
            </w:pPr>
            <w:r>
              <w:rPr>
                <w:rFonts w:hint="eastAsia" w:ascii="宋体" w:hAnsi="宋体" w:cs="宋体"/>
                <w:color w:val="000000" w:themeColor="text1"/>
                <w:szCs w:val="21"/>
              </w:rPr>
              <w:t>与《四川日报》、攀枝花广播电视台媒体协作，公益广告制作，盐边宣传制作，“不负国家使命”大型展出</w:t>
            </w:r>
          </w:p>
        </w:tc>
      </w:tr>
      <w:tr>
        <w:tblPrEx>
          <w:tblCellMar>
            <w:top w:w="0" w:type="dxa"/>
            <w:left w:w="0" w:type="dxa"/>
            <w:bottom w:w="0" w:type="dxa"/>
            <w:right w:w="0" w:type="dxa"/>
          </w:tblCellMar>
        </w:tblPrEx>
        <w:trPr>
          <w:trHeight w:val="1297"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项目完成指标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媒体协作费、公益广告费、“不负国家使命”大型展出，制作盐边宣传。</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《四川日报》加大对盐边县宣传，攀桂花广播电视台盐边专栏，制作盐边宣传。</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《四川日报》加大对盐边县宣传，攀桂花广播电视台盐边专栏，制作盐边宣传。</w:t>
            </w:r>
          </w:p>
        </w:tc>
      </w:tr>
      <w:tr>
        <w:tblPrEx>
          <w:tblCellMar>
            <w:top w:w="0" w:type="dxa"/>
            <w:left w:w="0" w:type="dxa"/>
            <w:bottom w:w="0" w:type="dxa"/>
            <w:right w:w="0" w:type="dxa"/>
          </w:tblCellMar>
        </w:tblPrEx>
        <w:trPr>
          <w:trHeight w:val="1042"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项目完成指标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媒体协作费、公益广告费、“不负国家使命”大型展出，制作盐边宣传。</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媒体合作，公益广告一年，“不负国家使命”大型展出11月10日-14日</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媒体合作，公益广告一年，“不负国家使命”大型展出11月10日-14日</w:t>
            </w:r>
          </w:p>
        </w:tc>
      </w:tr>
      <w:tr>
        <w:tblPrEx>
          <w:tblCellMar>
            <w:top w:w="0" w:type="dxa"/>
            <w:left w:w="0" w:type="dxa"/>
            <w:bottom w:w="0" w:type="dxa"/>
            <w:right w:w="0" w:type="dxa"/>
          </w:tblCellMar>
        </w:tblPrEx>
        <w:trPr>
          <w:trHeight w:val="1042"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项目完成指标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媒体协作费、公益广告费、“不负国家使命”大型展出，制作盐边宣传。</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themeColor="text1"/>
                <w:szCs w:val="21"/>
              </w:rPr>
            </w:pPr>
            <w:r>
              <w:rPr>
                <w:rFonts w:hint="eastAsia" w:ascii="宋体" w:hAnsi="宋体" w:cs="宋体"/>
                <w:color w:val="000000" w:themeColor="text1"/>
                <w:szCs w:val="21"/>
              </w:rPr>
              <w:t>媒体协作费、公益广告费、“不负国家使命”大型展出，制作盐边宣传共计98万元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themeColor="text1"/>
                <w:szCs w:val="21"/>
              </w:rPr>
            </w:pPr>
            <w:r>
              <w:rPr>
                <w:rFonts w:hint="eastAsia" w:ascii="宋体" w:hAnsi="宋体" w:cs="宋体"/>
                <w:color w:val="000000" w:themeColor="text1"/>
                <w:szCs w:val="21"/>
              </w:rPr>
              <w:t>媒体协作费、公益广告费、“不负国家使命”大型展出，制作盐边宣传共计98万元</w:t>
            </w:r>
          </w:p>
        </w:tc>
      </w:tr>
      <w:tr>
        <w:tblPrEx>
          <w:tblCellMar>
            <w:top w:w="0" w:type="dxa"/>
            <w:left w:w="0" w:type="dxa"/>
            <w:bottom w:w="0" w:type="dxa"/>
            <w:right w:w="0" w:type="dxa"/>
          </w:tblCellMar>
        </w:tblPrEx>
        <w:trPr>
          <w:trHeight w:val="508"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效益指标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经济效益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宣传工作经费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展示盐边的良好形象，</w:t>
            </w:r>
            <w:r>
              <w:rPr>
                <w:rFonts w:ascii="宋体" w:hAnsi="宋体" w:cs="宋体"/>
                <w:color w:val="000000"/>
                <w:szCs w:val="21"/>
              </w:rPr>
              <w:t xml:space="preserve"> </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建立了稳定的对外宣传平台</w:t>
            </w:r>
          </w:p>
        </w:tc>
      </w:tr>
      <w:tr>
        <w:tblPrEx>
          <w:tblCellMar>
            <w:top w:w="0" w:type="dxa"/>
            <w:left w:w="0" w:type="dxa"/>
            <w:bottom w:w="0" w:type="dxa"/>
            <w:right w:w="0" w:type="dxa"/>
          </w:tblCellMar>
        </w:tblPrEx>
        <w:trPr>
          <w:trHeight w:val="863"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效益指标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社会效益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Cs w:val="21"/>
              </w:rPr>
            </w:pPr>
            <w:r>
              <w:rPr>
                <w:rFonts w:hint="eastAsia" w:ascii="宋体" w:hAnsi="宋体" w:cs="宋体"/>
                <w:color w:val="000000"/>
                <w:szCs w:val="21"/>
              </w:rPr>
              <w:t>媒体协作费、公益广告费、“不负国家使命”大型展出，制作盐边宣传</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为盐边发展营造氛围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全方位、多角度、深层次地宣传盐边高质量发展情况</w:t>
            </w:r>
          </w:p>
        </w:tc>
      </w:tr>
      <w:tr>
        <w:tblPrEx>
          <w:tblCellMar>
            <w:top w:w="0" w:type="dxa"/>
            <w:left w:w="0" w:type="dxa"/>
            <w:bottom w:w="0" w:type="dxa"/>
            <w:right w:w="0" w:type="dxa"/>
          </w:tblCellMar>
        </w:tblPrEx>
        <w:trPr>
          <w:trHeight w:val="1027"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效益指标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可持续影响指标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宣传工作经费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深度、持续报道盐边、宣传盐边</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充分发挥宣传喉舌、凝聚民心的作用，助推全县各项中心工作的开展。</w:t>
            </w:r>
          </w:p>
        </w:tc>
      </w:tr>
      <w:tr>
        <w:tblPrEx>
          <w:tblCellMar>
            <w:top w:w="0" w:type="dxa"/>
            <w:left w:w="0" w:type="dxa"/>
            <w:bottom w:w="0" w:type="dxa"/>
            <w:right w:w="0" w:type="dxa"/>
          </w:tblCellMar>
        </w:tblPrEx>
        <w:trPr>
          <w:trHeight w:val="545" w:hRule="atLeast"/>
          <w:jc w:val="center"/>
        </w:trPr>
        <w:tc>
          <w:tcPr>
            <w:tcW w:w="659"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满意度指标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环境进一步改善，人民素质进一步提高</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95%</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95%</w:t>
            </w:r>
          </w:p>
        </w:tc>
      </w:tr>
      <w:tr>
        <w:tblPrEx>
          <w:tblCellMar>
            <w:top w:w="0" w:type="dxa"/>
            <w:left w:w="0" w:type="dxa"/>
            <w:bottom w:w="0" w:type="dxa"/>
            <w:right w:w="0" w:type="dxa"/>
          </w:tblCellMar>
        </w:tblPrEx>
        <w:trPr>
          <w:trHeight w:val="1034" w:hRule="atLeast"/>
          <w:jc w:val="center"/>
        </w:trPr>
        <w:tc>
          <w:tcPr>
            <w:tcW w:w="10229" w:type="dxa"/>
            <w:gridSpan w:val="8"/>
            <w:tcBorders>
              <w:top w:val="nil"/>
              <w:left w:val="nil"/>
              <w:bottom w:val="nil"/>
              <w:right w:val="nil"/>
            </w:tcBorders>
            <w:tcMar>
              <w:top w:w="15" w:type="dxa"/>
              <w:left w:w="15" w:type="dxa"/>
              <w:right w:w="15" w:type="dxa"/>
            </w:tcMar>
            <w:vAlign w:val="center"/>
          </w:tcPr>
          <w:p>
            <w:pPr>
              <w:spacing w:line="580" w:lineRule="exact"/>
              <w:ind w:firstLine="660" w:firstLineChars="200"/>
              <w:rPr>
                <w:rFonts w:ascii="仿宋_GB2312" w:hAnsi="仿宋_GB2312" w:eastAsia="仿宋_GB2312" w:cs="仿宋_GB2312"/>
                <w:color w:val="000000" w:themeColor="text1"/>
                <w:sz w:val="33"/>
                <w:szCs w:val="33"/>
              </w:rPr>
            </w:pPr>
            <w:r>
              <w:rPr>
                <w:rFonts w:hint="eastAsia" w:ascii="仿宋_GB2312" w:hAnsi="仿宋_GB2312" w:eastAsia="仿宋_GB2312" w:cs="仿宋_GB2312"/>
                <w:color w:val="000000" w:themeColor="text1"/>
                <w:sz w:val="33"/>
                <w:szCs w:val="33"/>
              </w:rPr>
              <w:t>（3）融媒体中心建设经费项目绩效目标完成情况综述。项目全年预算数142.655万元，（其中中央补助地方公共文化服务体系建设专项资金20万元，四川省宣传文化事业发展专项资金18万元）执行数为142.655万元，完成预算的100%。通过项目实施，推进县级融媒体中心建设，建成集主流舆论阵地、综合信息服务平台、基层舆情聚合平台于一体的县级融媒体中心，充分发挥决策参考报信息、负面管控防风险功能。建立稳定的宣传平台，全方位、多角度、深层次地宣传了盐边高质量发展情况。因项目实施有持续性，财政部门根据合同和项目推进情况下达资金。</w:t>
            </w:r>
          </w:p>
          <w:p>
            <w:pPr>
              <w:widowControl/>
              <w:jc w:val="center"/>
              <w:textAlignment w:val="center"/>
              <w:rPr>
                <w:rFonts w:ascii="宋体" w:hAnsi="宋体" w:cs="宋体"/>
                <w:color w:val="000000"/>
                <w:szCs w:val="21"/>
              </w:rPr>
            </w:pPr>
            <w:r>
              <w:rPr>
                <w:rFonts w:hint="eastAsia" w:ascii="宋体" w:hAnsi="宋体" w:cs="宋体"/>
                <w:b/>
                <w:bCs/>
                <w:color w:val="000000"/>
                <w:kern w:val="0"/>
                <w:szCs w:val="21"/>
              </w:rPr>
              <w:t>项目绩效目标完成情况表</w:t>
            </w:r>
            <w:r>
              <w:rPr>
                <w:rFonts w:hint="eastAsia" w:ascii="宋体" w:hAnsi="宋体" w:cs="宋体"/>
                <w:b/>
                <w:bCs/>
                <w:color w:val="000000"/>
                <w:kern w:val="0"/>
                <w:szCs w:val="21"/>
              </w:rPr>
              <w:br w:type="textWrapping"/>
            </w:r>
            <w:r>
              <w:rPr>
                <w:rFonts w:hint="eastAsia" w:ascii="宋体" w:hAnsi="宋体" w:cs="宋体"/>
                <w:color w:val="000000"/>
                <w:kern w:val="0"/>
                <w:szCs w:val="21"/>
              </w:rPr>
              <w:t>(2019 年度)</w:t>
            </w:r>
          </w:p>
        </w:tc>
      </w:tr>
      <w:tr>
        <w:tblPrEx>
          <w:tblCellMar>
            <w:top w:w="0" w:type="dxa"/>
            <w:left w:w="0" w:type="dxa"/>
            <w:bottom w:w="0" w:type="dxa"/>
            <w:right w:w="0" w:type="dxa"/>
          </w:tblCellMar>
        </w:tblPrEx>
        <w:trPr>
          <w:trHeight w:val="276" w:hRule="atLeast"/>
          <w:jc w:val="center"/>
        </w:trPr>
        <w:tc>
          <w:tcPr>
            <w:tcW w:w="3051"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仿宋_GB2312" w:hAnsi="仿宋_GB2312" w:eastAsia="仿宋_GB2312" w:cs="仿宋_GB2312"/>
                <w:color w:val="000000"/>
                <w:szCs w:val="21"/>
              </w:rPr>
              <w:t>融媒体中心建设经费</w:t>
            </w:r>
          </w:p>
        </w:tc>
      </w:tr>
      <w:tr>
        <w:tblPrEx>
          <w:tblCellMar>
            <w:top w:w="0" w:type="dxa"/>
            <w:left w:w="0" w:type="dxa"/>
            <w:bottom w:w="0" w:type="dxa"/>
            <w:right w:w="0" w:type="dxa"/>
          </w:tblCellMar>
        </w:tblPrEx>
        <w:trPr>
          <w:trHeight w:val="276" w:hRule="atLeast"/>
          <w:jc w:val="center"/>
        </w:trPr>
        <w:tc>
          <w:tcPr>
            <w:tcW w:w="3051"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盐边县委宣传部</w:t>
            </w:r>
          </w:p>
        </w:tc>
      </w:tr>
      <w:tr>
        <w:tblPrEx>
          <w:tblCellMar>
            <w:top w:w="0" w:type="dxa"/>
            <w:left w:w="0" w:type="dxa"/>
            <w:bottom w:w="0" w:type="dxa"/>
            <w:right w:w="0" w:type="dxa"/>
          </w:tblCellMar>
        </w:tblPrEx>
        <w:trPr>
          <w:trHeight w:val="276" w:hRule="atLeast"/>
          <w:jc w:val="center"/>
        </w:trPr>
        <w:tc>
          <w:tcPr>
            <w:tcW w:w="65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预算执行情况(万元)</w:t>
            </w:r>
          </w:p>
        </w:tc>
        <w:tc>
          <w:tcPr>
            <w:tcW w:w="2392"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themeColor="text1"/>
                <w:szCs w:val="21"/>
              </w:rPr>
            </w:pPr>
            <w:r>
              <w:rPr>
                <w:rFonts w:hint="eastAsia" w:ascii="宋体" w:hAnsi="宋体" w:cs="宋体"/>
                <w:color w:val="000000" w:themeColor="text1"/>
                <w:szCs w:val="21"/>
              </w:rPr>
              <w:t>142.655万元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themeColor="text1"/>
                <w:szCs w:val="21"/>
              </w:rPr>
            </w:pPr>
            <w:r>
              <w:rPr>
                <w:rFonts w:hint="eastAsia" w:ascii="宋体" w:hAnsi="宋体" w:cs="宋体"/>
                <w:color w:val="000000" w:themeColor="text1"/>
                <w:kern w:val="0"/>
                <w:szCs w:val="21"/>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themeColor="text1"/>
                <w:szCs w:val="21"/>
              </w:rPr>
            </w:pPr>
            <w:r>
              <w:rPr>
                <w:rFonts w:hint="eastAsia" w:ascii="宋体" w:hAnsi="宋体" w:cs="宋体"/>
                <w:color w:val="000000" w:themeColor="text1"/>
                <w:szCs w:val="21"/>
              </w:rPr>
              <w:t>142.655万元</w:t>
            </w:r>
          </w:p>
        </w:tc>
      </w:tr>
      <w:tr>
        <w:tblPrEx>
          <w:tblCellMar>
            <w:top w:w="0" w:type="dxa"/>
            <w:left w:w="0" w:type="dxa"/>
            <w:bottom w:w="0" w:type="dxa"/>
            <w:right w:w="0" w:type="dxa"/>
          </w:tblCellMar>
        </w:tblPrEx>
        <w:trPr>
          <w:trHeight w:val="276" w:hRule="atLeast"/>
          <w:jc w:val="center"/>
        </w:trPr>
        <w:tc>
          <w:tcPr>
            <w:tcW w:w="65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2392"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themeColor="text1"/>
                <w:szCs w:val="21"/>
              </w:rPr>
            </w:pPr>
            <w:r>
              <w:rPr>
                <w:rFonts w:hint="eastAsia" w:ascii="宋体" w:hAnsi="宋体" w:cs="宋体"/>
                <w:color w:val="000000" w:themeColor="text1"/>
                <w:szCs w:val="21"/>
              </w:rPr>
              <w:t>142.655万元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themeColor="text1"/>
                <w:szCs w:val="21"/>
              </w:rPr>
            </w:pPr>
            <w:r>
              <w:rPr>
                <w:rFonts w:hint="eastAsia" w:ascii="宋体" w:hAnsi="宋体" w:cs="宋体"/>
                <w:color w:val="000000" w:themeColor="text1"/>
                <w:kern w:val="0"/>
                <w:szCs w:val="21"/>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themeColor="text1"/>
                <w:szCs w:val="21"/>
              </w:rPr>
            </w:pPr>
            <w:r>
              <w:rPr>
                <w:rFonts w:hint="eastAsia" w:ascii="宋体" w:hAnsi="宋体" w:cs="宋体"/>
                <w:color w:val="000000" w:themeColor="text1"/>
                <w:szCs w:val="21"/>
              </w:rPr>
              <w:t>142.655万元</w:t>
            </w:r>
          </w:p>
        </w:tc>
      </w:tr>
      <w:tr>
        <w:tblPrEx>
          <w:tblCellMar>
            <w:top w:w="0" w:type="dxa"/>
            <w:left w:w="0" w:type="dxa"/>
            <w:bottom w:w="0" w:type="dxa"/>
            <w:right w:w="0" w:type="dxa"/>
          </w:tblCellMar>
        </w:tblPrEx>
        <w:trPr>
          <w:trHeight w:val="1511" w:hRule="atLeast"/>
          <w:jc w:val="center"/>
        </w:trPr>
        <w:tc>
          <w:tcPr>
            <w:tcW w:w="65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2392"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themeColor="text1"/>
                <w:szCs w:val="21"/>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themeColor="text1"/>
                <w:szCs w:val="21"/>
              </w:rPr>
            </w:pPr>
            <w:r>
              <w:rPr>
                <w:rFonts w:hint="eastAsia" w:ascii="宋体" w:hAnsi="宋体" w:cs="宋体"/>
                <w:color w:val="000000" w:themeColor="text1"/>
                <w:kern w:val="0"/>
                <w:szCs w:val="21"/>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themeColor="text1"/>
                <w:szCs w:val="21"/>
              </w:rPr>
            </w:pPr>
          </w:p>
        </w:tc>
      </w:tr>
      <w:tr>
        <w:tblPrEx>
          <w:tblCellMar>
            <w:top w:w="0" w:type="dxa"/>
            <w:left w:w="0" w:type="dxa"/>
            <w:bottom w:w="0" w:type="dxa"/>
            <w:right w:w="0" w:type="dxa"/>
          </w:tblCellMar>
        </w:tblPrEx>
        <w:trPr>
          <w:trHeight w:val="276" w:hRule="atLeast"/>
          <w:jc w:val="center"/>
        </w:trPr>
        <w:tc>
          <w:tcPr>
            <w:tcW w:w="65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年度目标完成情况</w:t>
            </w:r>
          </w:p>
        </w:tc>
        <w:tc>
          <w:tcPr>
            <w:tcW w:w="4784"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实际完成目标</w:t>
            </w:r>
          </w:p>
        </w:tc>
      </w:tr>
      <w:tr>
        <w:tblPrEx>
          <w:tblCellMar>
            <w:top w:w="0" w:type="dxa"/>
            <w:left w:w="0" w:type="dxa"/>
            <w:bottom w:w="0" w:type="dxa"/>
            <w:right w:w="0" w:type="dxa"/>
          </w:tblCellMar>
        </w:tblPrEx>
        <w:trPr>
          <w:trHeight w:val="1159" w:hRule="atLeast"/>
          <w:jc w:val="center"/>
        </w:trPr>
        <w:tc>
          <w:tcPr>
            <w:tcW w:w="65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4784"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仿宋_GB2312" w:hAnsi="仿宋_GB2312" w:eastAsia="仿宋_GB2312" w:cs="仿宋_GB2312"/>
                <w:color w:val="000000"/>
                <w:szCs w:val="21"/>
              </w:rPr>
              <w:t>县级融媒体中心建设，</w:t>
            </w:r>
            <w:r>
              <w:rPr>
                <w:rFonts w:ascii="宋体" w:hAnsi="宋体" w:cs="宋体"/>
                <w:color w:val="000000"/>
                <w:szCs w:val="21"/>
              </w:rPr>
              <w:t xml:space="preserve"> </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仿宋_GB2312" w:hAnsi="仿宋_GB2312" w:eastAsia="仿宋_GB2312" w:cs="仿宋_GB2312"/>
                <w:color w:val="000000"/>
                <w:szCs w:val="21"/>
              </w:rPr>
              <w:t>推进县级融媒体中心建设，建成集主流舆论阵地、综合信息服务平台、基层舆情聚合平台于一体的县级融媒体中心，充分发挥决策参考报信息、负面管控防风险功能。建立稳定的宣传平台，全方位、多角度、深层次地宣传了盐边高质量发展情况。</w:t>
            </w:r>
          </w:p>
        </w:tc>
      </w:tr>
      <w:tr>
        <w:tblPrEx>
          <w:tblCellMar>
            <w:top w:w="0" w:type="dxa"/>
            <w:left w:w="0" w:type="dxa"/>
            <w:bottom w:w="0" w:type="dxa"/>
            <w:right w:w="0" w:type="dxa"/>
          </w:tblCellMar>
        </w:tblPrEx>
        <w:trPr>
          <w:trHeight w:val="1042" w:hRule="atLeast"/>
          <w:jc w:val="center"/>
        </w:trPr>
        <w:tc>
          <w:tcPr>
            <w:tcW w:w="659"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绩效指标完成情况</w:t>
            </w: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一级指标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实际完成指标值(包含数字及文字描述)</w:t>
            </w:r>
          </w:p>
        </w:tc>
      </w:tr>
      <w:tr>
        <w:tblPrEx>
          <w:tblCellMar>
            <w:top w:w="0" w:type="dxa"/>
            <w:left w:w="0" w:type="dxa"/>
            <w:bottom w:w="0" w:type="dxa"/>
            <w:right w:w="0" w:type="dxa"/>
          </w:tblCellMar>
        </w:tblPrEx>
        <w:trPr>
          <w:trHeight w:val="953"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项目完成指标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设备购置、大型修缮</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完成融媒体中心的基本建设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完成融媒体中心办公气场所装修，办公用品采购、制播系统设备采购</w:t>
            </w:r>
          </w:p>
        </w:tc>
      </w:tr>
      <w:tr>
        <w:tblPrEx>
          <w:tblCellMar>
            <w:top w:w="0" w:type="dxa"/>
            <w:left w:w="0" w:type="dxa"/>
            <w:bottom w:w="0" w:type="dxa"/>
            <w:right w:w="0" w:type="dxa"/>
          </w:tblCellMar>
        </w:tblPrEx>
        <w:trPr>
          <w:trHeight w:val="1141"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项目完成指标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设备购置、大型修缮</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按照规定进行设备采购</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按时完成招设标和采购程序</w:t>
            </w:r>
          </w:p>
        </w:tc>
      </w:tr>
      <w:tr>
        <w:tblPrEx>
          <w:tblCellMar>
            <w:top w:w="0" w:type="dxa"/>
            <w:left w:w="0" w:type="dxa"/>
            <w:bottom w:w="0" w:type="dxa"/>
            <w:right w:w="0" w:type="dxa"/>
          </w:tblCellMar>
        </w:tblPrEx>
        <w:trPr>
          <w:trHeight w:val="961"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项目完成指标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融媒体中心建设工作</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要求2019年6月底以前挂牌试运行</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2019年6月28日试运行，8月20日挂牌运行</w:t>
            </w:r>
          </w:p>
        </w:tc>
      </w:tr>
      <w:tr>
        <w:tblPrEx>
          <w:tblCellMar>
            <w:top w:w="0" w:type="dxa"/>
            <w:left w:w="0" w:type="dxa"/>
            <w:bottom w:w="0" w:type="dxa"/>
            <w:right w:w="0" w:type="dxa"/>
          </w:tblCellMar>
        </w:tblPrEx>
        <w:trPr>
          <w:trHeight w:val="1042"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项目完成指标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设备购置、大型修缮</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硬件设备及软件经费196.8万元，每年技术费42.95万元，办公场所装饰装修费49.9万元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设备购置73.455万元，融媒体装修费49.2万元</w:t>
            </w:r>
          </w:p>
        </w:tc>
      </w:tr>
      <w:tr>
        <w:tblPrEx>
          <w:tblCellMar>
            <w:top w:w="0" w:type="dxa"/>
            <w:left w:w="0" w:type="dxa"/>
            <w:bottom w:w="0" w:type="dxa"/>
            <w:right w:w="0" w:type="dxa"/>
          </w:tblCellMar>
        </w:tblPrEx>
        <w:trPr>
          <w:trHeight w:val="1042"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效益指标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经济效益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融媒体中心建设</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确保融</w:t>
            </w:r>
            <w:r>
              <w:rPr>
                <w:rFonts w:hint="eastAsia" w:ascii="宋体" w:hAnsi="宋体" w:cs="宋体"/>
                <w:color w:val="000000"/>
                <w:szCs w:val="21"/>
                <w:lang w:eastAsia="zh-CN"/>
              </w:rPr>
              <w:t>媒体</w:t>
            </w:r>
            <w:r>
              <w:rPr>
                <w:rFonts w:hint="eastAsia" w:ascii="宋体" w:hAnsi="宋体" w:cs="宋体"/>
                <w:color w:val="000000"/>
                <w:szCs w:val="21"/>
              </w:rPr>
              <w:t>中心平台顺利运行</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持续加强新闻宣传主业，主流声音高昂，能够有效传播党中央决策部署和省、市、县工作安排</w:t>
            </w:r>
          </w:p>
        </w:tc>
      </w:tr>
      <w:tr>
        <w:tblPrEx>
          <w:tblCellMar>
            <w:top w:w="0" w:type="dxa"/>
            <w:left w:w="0" w:type="dxa"/>
            <w:bottom w:w="0" w:type="dxa"/>
            <w:right w:w="0" w:type="dxa"/>
          </w:tblCellMar>
        </w:tblPrEx>
        <w:trPr>
          <w:trHeight w:val="1297"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效益指标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社会效益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融媒体中心建设</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推动问题解决</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通过客服端链接入县行政审批局服务功能、便民服务功能，开放网民留言，</w:t>
            </w:r>
          </w:p>
        </w:tc>
      </w:tr>
      <w:tr>
        <w:tblPrEx>
          <w:tblCellMar>
            <w:top w:w="0" w:type="dxa"/>
            <w:left w:w="0" w:type="dxa"/>
            <w:bottom w:w="0" w:type="dxa"/>
            <w:right w:w="0" w:type="dxa"/>
          </w:tblCellMar>
        </w:tblPrEx>
        <w:trPr>
          <w:trHeight w:val="1297"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效益指标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生态效益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融媒体中心建设</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有效负面管控</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在完善中心自身舆情预警同时，加强与公安、信访、纪</w:t>
            </w:r>
            <w:bookmarkStart w:id="120" w:name="_GoBack"/>
            <w:bookmarkEnd w:id="120"/>
            <w:r>
              <w:rPr>
                <w:rFonts w:hint="eastAsia" w:ascii="宋体" w:hAnsi="宋体" w:cs="宋体"/>
                <w:color w:val="000000"/>
                <w:szCs w:val="21"/>
              </w:rPr>
              <w:t>检监察等部门联动，能够及时实现舆情预警、研判和快速处置</w:t>
            </w:r>
          </w:p>
        </w:tc>
      </w:tr>
      <w:tr>
        <w:tblPrEx>
          <w:tblCellMar>
            <w:top w:w="0" w:type="dxa"/>
            <w:left w:w="0" w:type="dxa"/>
            <w:bottom w:w="0" w:type="dxa"/>
            <w:right w:w="0" w:type="dxa"/>
          </w:tblCellMar>
        </w:tblPrEx>
        <w:trPr>
          <w:trHeight w:val="1297"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效益指标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可持续影响指标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融媒体中心建设</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方正仿宋_GBK" w:eastAsia="方正仿宋_GBK"/>
                <w:color w:val="000000"/>
                <w:sz w:val="33"/>
                <w:szCs w:val="33"/>
              </w:rPr>
              <w:t>提供决策参考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通过客服端、微信公众号等开放网民留言功能，提供发表意见渠道，同时微信公众号链接入书记县长信箱，汇集社情民意，及时掌握网民思想动态</w:t>
            </w:r>
          </w:p>
        </w:tc>
      </w:tr>
      <w:tr>
        <w:tblPrEx>
          <w:tblCellMar>
            <w:top w:w="0" w:type="dxa"/>
            <w:left w:w="0" w:type="dxa"/>
            <w:bottom w:w="0" w:type="dxa"/>
            <w:right w:w="0" w:type="dxa"/>
          </w:tblCellMar>
        </w:tblPrEx>
        <w:trPr>
          <w:trHeight w:val="826" w:hRule="atLeast"/>
          <w:jc w:val="center"/>
        </w:trPr>
        <w:tc>
          <w:tcPr>
            <w:tcW w:w="659"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满意度指标</w:t>
            </w:r>
          </w:p>
        </w:tc>
        <w:tc>
          <w:tcPr>
            <w:tcW w:w="10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群众满意度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90%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95%</w:t>
            </w:r>
          </w:p>
        </w:tc>
      </w:tr>
      <w:tr>
        <w:tblPrEx>
          <w:tblCellMar>
            <w:top w:w="0" w:type="dxa"/>
            <w:left w:w="0" w:type="dxa"/>
            <w:bottom w:w="0" w:type="dxa"/>
            <w:right w:w="0" w:type="dxa"/>
          </w:tblCellMar>
        </w:tblPrEx>
        <w:trPr>
          <w:trHeight w:val="1034" w:hRule="atLeast"/>
          <w:jc w:val="center"/>
        </w:trPr>
        <w:tc>
          <w:tcPr>
            <w:tcW w:w="10229" w:type="dxa"/>
            <w:gridSpan w:val="8"/>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b/>
                <w:bCs/>
                <w:color w:val="000000"/>
                <w:kern w:val="0"/>
                <w:szCs w:val="21"/>
              </w:rPr>
            </w:pPr>
          </w:p>
          <w:p>
            <w:pPr>
              <w:widowControl/>
              <w:jc w:val="center"/>
              <w:textAlignment w:val="center"/>
              <w:rPr>
                <w:rFonts w:ascii="宋体" w:hAnsi="宋体" w:cs="宋体"/>
                <w:b/>
                <w:bCs/>
                <w:color w:val="000000"/>
                <w:kern w:val="0"/>
                <w:szCs w:val="21"/>
              </w:rPr>
            </w:pPr>
          </w:p>
          <w:p>
            <w:pPr>
              <w:widowControl/>
              <w:jc w:val="center"/>
              <w:textAlignment w:val="center"/>
              <w:rPr>
                <w:rFonts w:ascii="宋体" w:hAnsi="宋体" w:cs="宋体"/>
                <w:b/>
                <w:bCs/>
                <w:color w:val="000000"/>
                <w:kern w:val="0"/>
                <w:szCs w:val="21"/>
              </w:rPr>
            </w:pPr>
          </w:p>
          <w:p>
            <w:pPr>
              <w:widowControl/>
              <w:ind w:firstLine="660"/>
              <w:jc w:val="center"/>
              <w:textAlignment w:val="center"/>
              <w:rPr>
                <w:rFonts w:ascii="仿宋_GB2312" w:hAnsi="仿宋_GB2312" w:eastAsia="仿宋_GB2312" w:cs="仿宋_GB2312"/>
                <w:color w:val="000000" w:themeColor="text1"/>
                <w:sz w:val="33"/>
                <w:szCs w:val="33"/>
              </w:rPr>
            </w:pPr>
            <w:r>
              <w:rPr>
                <w:rFonts w:hint="eastAsia" w:ascii="仿宋_GB2312" w:hAnsi="仿宋_GB2312" w:eastAsia="仿宋_GB2312" w:cs="仿宋_GB2312"/>
                <w:color w:val="000000" w:themeColor="text1"/>
                <w:sz w:val="33"/>
                <w:szCs w:val="33"/>
              </w:rPr>
              <w:t>（4）结转上年宣传文化事业发展支出项目绩效目标完成情况综述。项目全年预算数10万元，执行数为10万元，完成预算的100%。通过项目实施，</w:t>
            </w:r>
            <w:r>
              <w:rPr>
                <w:rFonts w:ascii="仿宋_GB2312" w:hAnsi="仿宋_GB2312" w:eastAsia="仿宋_GB2312" w:cs="仿宋_GB2312"/>
                <w:color w:val="000000" w:themeColor="text1"/>
                <w:sz w:val="33"/>
                <w:szCs w:val="33"/>
              </w:rPr>
              <w:t>让“讲文明树新风”“社会公德”核心思想深入人心，引导市民自觉提升自身文明素质，拓宽文明城市创建宣传的宽度和深度，</w:t>
            </w:r>
            <w:r>
              <w:rPr>
                <w:rFonts w:hint="eastAsia" w:ascii="仿宋_GB2312" w:hAnsi="仿宋_GB2312" w:eastAsia="仿宋_GB2312" w:cs="仿宋_GB2312"/>
                <w:color w:val="000000" w:themeColor="text1"/>
                <w:sz w:val="33"/>
                <w:szCs w:val="33"/>
              </w:rPr>
              <w:t>营造</w:t>
            </w:r>
            <w:r>
              <w:rPr>
                <w:rFonts w:ascii="仿宋_GB2312" w:hAnsi="仿宋_GB2312" w:eastAsia="仿宋_GB2312" w:cs="仿宋_GB2312"/>
                <w:color w:val="000000" w:themeColor="text1"/>
                <w:sz w:val="33"/>
                <w:szCs w:val="33"/>
              </w:rPr>
              <w:t>文明城市创建的</w:t>
            </w:r>
            <w:r>
              <w:rPr>
                <w:rFonts w:hint="eastAsia" w:ascii="仿宋_GB2312" w:hAnsi="仿宋_GB2312" w:eastAsia="仿宋_GB2312" w:cs="仿宋_GB2312"/>
                <w:color w:val="000000" w:themeColor="text1"/>
                <w:sz w:val="33"/>
                <w:szCs w:val="33"/>
              </w:rPr>
              <w:t>浓厚</w:t>
            </w:r>
            <w:r>
              <w:rPr>
                <w:rFonts w:ascii="仿宋_GB2312" w:hAnsi="仿宋_GB2312" w:eastAsia="仿宋_GB2312" w:cs="仿宋_GB2312"/>
                <w:color w:val="000000" w:themeColor="text1"/>
                <w:sz w:val="33"/>
                <w:szCs w:val="33"/>
              </w:rPr>
              <w:t>氛围</w:t>
            </w:r>
            <w:r>
              <w:rPr>
                <w:rFonts w:hint="eastAsia" w:ascii="仿宋_GB2312" w:hAnsi="仿宋_GB2312" w:eastAsia="仿宋_GB2312" w:cs="仿宋_GB2312"/>
                <w:color w:val="000000" w:themeColor="text1"/>
                <w:sz w:val="33"/>
                <w:szCs w:val="33"/>
              </w:rPr>
              <w:t>，</w:t>
            </w:r>
            <w:r>
              <w:rPr>
                <w:rFonts w:ascii="仿宋_GB2312" w:hAnsi="仿宋_GB2312" w:eastAsia="仿宋_GB2312" w:cs="仿宋_GB2312"/>
                <w:color w:val="000000" w:themeColor="text1"/>
                <w:sz w:val="33"/>
                <w:szCs w:val="33"/>
              </w:rPr>
              <w:t>进一步引导市民树立良好风气，形成遵法守</w:t>
            </w:r>
          </w:p>
          <w:p>
            <w:pPr>
              <w:widowControl/>
              <w:textAlignment w:val="center"/>
              <w:rPr>
                <w:rFonts w:ascii="宋体" w:hAnsi="宋体" w:cs="宋体"/>
                <w:b/>
                <w:bCs/>
                <w:color w:val="000000"/>
                <w:kern w:val="0"/>
                <w:szCs w:val="21"/>
              </w:rPr>
            </w:pPr>
            <w:r>
              <w:rPr>
                <w:rFonts w:ascii="仿宋_GB2312" w:hAnsi="仿宋_GB2312" w:eastAsia="仿宋_GB2312" w:cs="仿宋_GB2312"/>
                <w:color w:val="000000" w:themeColor="text1"/>
                <w:sz w:val="33"/>
                <w:szCs w:val="33"/>
              </w:rPr>
              <w:t>德的良好氛围</w:t>
            </w:r>
            <w:r>
              <w:rPr>
                <w:rFonts w:hint="eastAsia" w:ascii="仿宋_GB2312" w:hAnsi="仿宋_GB2312" w:eastAsia="仿宋_GB2312" w:cs="仿宋_GB2312"/>
                <w:color w:val="000000" w:themeColor="text1"/>
                <w:sz w:val="33"/>
                <w:szCs w:val="33"/>
              </w:rPr>
              <w:t>。</w:t>
            </w:r>
          </w:p>
          <w:p>
            <w:pPr>
              <w:widowControl/>
              <w:textAlignment w:val="center"/>
              <w:rPr>
                <w:rFonts w:ascii="宋体" w:hAnsi="宋体" w:cs="宋体"/>
                <w:b/>
                <w:bCs/>
                <w:color w:val="000000"/>
                <w:kern w:val="0"/>
                <w:szCs w:val="21"/>
              </w:rPr>
            </w:pPr>
          </w:p>
          <w:p>
            <w:pPr>
              <w:widowControl/>
              <w:jc w:val="center"/>
              <w:textAlignment w:val="center"/>
              <w:rPr>
                <w:rFonts w:ascii="宋体" w:hAnsi="宋体" w:cs="宋体"/>
                <w:color w:val="000000"/>
                <w:szCs w:val="21"/>
              </w:rPr>
            </w:pPr>
            <w:r>
              <w:rPr>
                <w:rFonts w:hint="eastAsia" w:ascii="宋体" w:hAnsi="宋体" w:cs="宋体"/>
                <w:b/>
                <w:bCs/>
                <w:color w:val="000000"/>
                <w:kern w:val="0"/>
                <w:szCs w:val="21"/>
              </w:rPr>
              <w:t>项目绩效目标完成情况表</w:t>
            </w:r>
            <w:r>
              <w:rPr>
                <w:rFonts w:hint="eastAsia" w:ascii="宋体" w:hAnsi="宋体" w:cs="宋体"/>
                <w:b/>
                <w:bCs/>
                <w:color w:val="000000"/>
                <w:kern w:val="0"/>
                <w:szCs w:val="21"/>
              </w:rPr>
              <w:br w:type="textWrapping"/>
            </w:r>
            <w:r>
              <w:rPr>
                <w:rFonts w:hint="eastAsia" w:ascii="宋体" w:hAnsi="宋体" w:cs="宋体"/>
                <w:color w:val="000000"/>
                <w:kern w:val="0"/>
                <w:szCs w:val="21"/>
              </w:rPr>
              <w:t>(2019 年度)</w:t>
            </w:r>
          </w:p>
        </w:tc>
      </w:tr>
      <w:tr>
        <w:tblPrEx>
          <w:tblCellMar>
            <w:top w:w="0" w:type="dxa"/>
            <w:left w:w="0" w:type="dxa"/>
            <w:bottom w:w="0" w:type="dxa"/>
            <w:right w:w="0" w:type="dxa"/>
          </w:tblCellMar>
        </w:tblPrEx>
        <w:trPr>
          <w:trHeight w:val="276" w:hRule="atLeast"/>
          <w:jc w:val="center"/>
        </w:trPr>
        <w:tc>
          <w:tcPr>
            <w:tcW w:w="3051"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省级宣传文化事业发展专项资金（文明城市创建）</w:t>
            </w:r>
          </w:p>
        </w:tc>
      </w:tr>
      <w:tr>
        <w:tblPrEx>
          <w:tblCellMar>
            <w:top w:w="0" w:type="dxa"/>
            <w:left w:w="0" w:type="dxa"/>
            <w:bottom w:w="0" w:type="dxa"/>
            <w:right w:w="0" w:type="dxa"/>
          </w:tblCellMar>
        </w:tblPrEx>
        <w:trPr>
          <w:trHeight w:val="276" w:hRule="atLeast"/>
          <w:jc w:val="center"/>
        </w:trPr>
        <w:tc>
          <w:tcPr>
            <w:tcW w:w="3051"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盐边县委宣传部</w:t>
            </w:r>
          </w:p>
        </w:tc>
      </w:tr>
      <w:tr>
        <w:tblPrEx>
          <w:tblCellMar>
            <w:top w:w="0" w:type="dxa"/>
            <w:left w:w="0" w:type="dxa"/>
            <w:bottom w:w="0" w:type="dxa"/>
            <w:right w:w="0" w:type="dxa"/>
          </w:tblCellMar>
        </w:tblPrEx>
        <w:trPr>
          <w:trHeight w:val="276" w:hRule="atLeast"/>
          <w:jc w:val="center"/>
        </w:trPr>
        <w:tc>
          <w:tcPr>
            <w:tcW w:w="65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预算执行情况(万元)</w:t>
            </w:r>
          </w:p>
        </w:tc>
        <w:tc>
          <w:tcPr>
            <w:tcW w:w="2392"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10万元</w:t>
            </w:r>
          </w:p>
        </w:tc>
      </w:tr>
      <w:tr>
        <w:tblPrEx>
          <w:tblCellMar>
            <w:top w:w="0" w:type="dxa"/>
            <w:left w:w="0" w:type="dxa"/>
            <w:bottom w:w="0" w:type="dxa"/>
            <w:right w:w="0" w:type="dxa"/>
          </w:tblCellMar>
        </w:tblPrEx>
        <w:trPr>
          <w:trHeight w:val="276" w:hRule="atLeast"/>
          <w:jc w:val="center"/>
        </w:trPr>
        <w:tc>
          <w:tcPr>
            <w:tcW w:w="65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2392"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10万元</w:t>
            </w:r>
          </w:p>
        </w:tc>
      </w:tr>
      <w:tr>
        <w:tblPrEx>
          <w:tblCellMar>
            <w:top w:w="0" w:type="dxa"/>
            <w:left w:w="0" w:type="dxa"/>
            <w:bottom w:w="0" w:type="dxa"/>
            <w:right w:w="0" w:type="dxa"/>
          </w:tblCellMar>
        </w:tblPrEx>
        <w:trPr>
          <w:trHeight w:val="1511" w:hRule="atLeast"/>
          <w:jc w:val="center"/>
        </w:trPr>
        <w:tc>
          <w:tcPr>
            <w:tcW w:w="65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2392"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CellMar>
            <w:top w:w="0" w:type="dxa"/>
            <w:left w:w="0" w:type="dxa"/>
            <w:bottom w:w="0" w:type="dxa"/>
            <w:right w:w="0" w:type="dxa"/>
          </w:tblCellMar>
        </w:tblPrEx>
        <w:trPr>
          <w:trHeight w:val="276" w:hRule="atLeast"/>
          <w:jc w:val="center"/>
        </w:trPr>
        <w:tc>
          <w:tcPr>
            <w:tcW w:w="65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年度目标完成情况</w:t>
            </w:r>
          </w:p>
        </w:tc>
        <w:tc>
          <w:tcPr>
            <w:tcW w:w="4784"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实际完成目标</w:t>
            </w:r>
          </w:p>
        </w:tc>
      </w:tr>
      <w:tr>
        <w:tblPrEx>
          <w:tblCellMar>
            <w:top w:w="0" w:type="dxa"/>
            <w:left w:w="0" w:type="dxa"/>
            <w:bottom w:w="0" w:type="dxa"/>
            <w:right w:w="0" w:type="dxa"/>
          </w:tblCellMar>
        </w:tblPrEx>
        <w:trPr>
          <w:trHeight w:val="1159" w:hRule="atLeast"/>
          <w:jc w:val="center"/>
        </w:trPr>
        <w:tc>
          <w:tcPr>
            <w:tcW w:w="65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4784"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ascii="宋体" w:hAnsi="宋体" w:cs="宋体"/>
                <w:color w:val="000000"/>
                <w:kern w:val="0"/>
                <w:szCs w:val="21"/>
              </w:rPr>
              <w:t>深化群众性精神文明创建活动，使社会文明程度提升</w:t>
            </w:r>
            <w:r>
              <w:rPr>
                <w:rFonts w:hint="eastAsia" w:ascii="宋体" w:hAnsi="宋体" w:cs="宋体"/>
                <w:color w:val="000000"/>
                <w:kern w:val="0"/>
                <w:szCs w:val="21"/>
              </w:rPr>
              <w:t>，</w:t>
            </w:r>
            <w:r>
              <w:rPr>
                <w:rFonts w:ascii="宋体" w:hAnsi="宋体" w:cs="宋体"/>
                <w:color w:val="000000"/>
                <w:kern w:val="0"/>
                <w:szCs w:val="21"/>
              </w:rPr>
              <w:t>四川省文明城市创建迎检工作</w:t>
            </w:r>
            <w:r>
              <w:rPr>
                <w:rFonts w:hint="eastAsia" w:ascii="宋体" w:hAnsi="宋体" w:cs="宋体"/>
                <w:color w:val="000000"/>
                <w:kern w:val="0"/>
                <w:szCs w:val="21"/>
              </w:rPr>
              <w:t>。</w:t>
            </w:r>
          </w:p>
          <w:p>
            <w:pPr>
              <w:widowControl/>
              <w:jc w:val="center"/>
              <w:textAlignment w:val="center"/>
              <w:rPr>
                <w:rFonts w:ascii="宋体" w:hAnsi="宋体" w:cs="宋体"/>
                <w:color w:val="000000"/>
                <w:kern w:val="0"/>
                <w:szCs w:val="21"/>
              </w:rPr>
            </w:pP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按照全国文明城市创建目标，积极开展了省级文明城创建工作和城市文化的建设工作，测评达标。</w:t>
            </w:r>
          </w:p>
          <w:p>
            <w:pPr>
              <w:widowControl/>
              <w:jc w:val="center"/>
              <w:textAlignment w:val="center"/>
              <w:rPr>
                <w:rFonts w:ascii="宋体" w:hAnsi="宋体" w:cs="宋体"/>
                <w:color w:val="000000"/>
                <w:szCs w:val="21"/>
              </w:rPr>
            </w:pPr>
          </w:p>
        </w:tc>
      </w:tr>
      <w:tr>
        <w:tblPrEx>
          <w:tblCellMar>
            <w:top w:w="0" w:type="dxa"/>
            <w:left w:w="0" w:type="dxa"/>
            <w:bottom w:w="0" w:type="dxa"/>
            <w:right w:w="0" w:type="dxa"/>
          </w:tblCellMar>
        </w:tblPrEx>
        <w:trPr>
          <w:trHeight w:val="606" w:hRule="atLeast"/>
          <w:jc w:val="center"/>
        </w:trPr>
        <w:tc>
          <w:tcPr>
            <w:tcW w:w="659"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绩效指标完成情况</w:t>
            </w: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一级指标</w:t>
            </w:r>
          </w:p>
        </w:tc>
        <w:tc>
          <w:tcPr>
            <w:tcW w:w="9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二级指标</w:t>
            </w:r>
          </w:p>
        </w:tc>
        <w:tc>
          <w:tcPr>
            <w:tcW w:w="24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实际完成指标值(包含数字及文字描述)</w:t>
            </w:r>
          </w:p>
        </w:tc>
      </w:tr>
      <w:tr>
        <w:tblPrEx>
          <w:tblCellMar>
            <w:top w:w="0" w:type="dxa"/>
            <w:left w:w="0" w:type="dxa"/>
            <w:bottom w:w="0" w:type="dxa"/>
            <w:right w:w="0" w:type="dxa"/>
          </w:tblCellMar>
        </w:tblPrEx>
        <w:trPr>
          <w:trHeight w:val="672"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项目完成指标</w:t>
            </w:r>
          </w:p>
        </w:tc>
        <w:tc>
          <w:tcPr>
            <w:tcW w:w="9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数理指标</w:t>
            </w:r>
          </w:p>
        </w:tc>
        <w:tc>
          <w:tcPr>
            <w:tcW w:w="24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迎检测评合格、氛围营造</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测评分数达到80分以上，制作广告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制作喷汇、道旗、横幅</w:t>
            </w:r>
          </w:p>
        </w:tc>
      </w:tr>
      <w:tr>
        <w:tblPrEx>
          <w:tblCellMar>
            <w:top w:w="0" w:type="dxa"/>
            <w:left w:w="0" w:type="dxa"/>
            <w:bottom w:w="0" w:type="dxa"/>
            <w:right w:w="0" w:type="dxa"/>
          </w:tblCellMar>
        </w:tblPrEx>
        <w:trPr>
          <w:trHeight w:val="1297"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项目完成指标</w:t>
            </w:r>
          </w:p>
        </w:tc>
        <w:tc>
          <w:tcPr>
            <w:tcW w:w="9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质量指标</w:t>
            </w:r>
          </w:p>
        </w:tc>
        <w:tc>
          <w:tcPr>
            <w:tcW w:w="24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文明城市迎检工作</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做好文明城市迎检工作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ascii="宋体" w:hAnsi="宋体" w:cs="宋体"/>
                <w:color w:val="000000"/>
                <w:szCs w:val="21"/>
              </w:rPr>
              <w:t>2019年10月25日，迎来四川省文明城市创建第二轮实地迎检工作，大力开展创建文明城市工作</w:t>
            </w:r>
          </w:p>
        </w:tc>
      </w:tr>
      <w:tr>
        <w:tblPrEx>
          <w:tblCellMar>
            <w:top w:w="0" w:type="dxa"/>
            <w:left w:w="0" w:type="dxa"/>
            <w:bottom w:w="0" w:type="dxa"/>
            <w:right w:w="0" w:type="dxa"/>
          </w:tblCellMar>
        </w:tblPrEx>
        <w:trPr>
          <w:trHeight w:val="512"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项目完成指标</w:t>
            </w:r>
          </w:p>
        </w:tc>
        <w:tc>
          <w:tcPr>
            <w:tcW w:w="9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时效指标</w:t>
            </w:r>
          </w:p>
        </w:tc>
        <w:tc>
          <w:tcPr>
            <w:tcW w:w="24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2019年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1年</w:t>
            </w:r>
          </w:p>
        </w:tc>
      </w:tr>
      <w:tr>
        <w:tblPrEx>
          <w:tblCellMar>
            <w:top w:w="0" w:type="dxa"/>
            <w:left w:w="0" w:type="dxa"/>
            <w:bottom w:w="0" w:type="dxa"/>
            <w:right w:w="0" w:type="dxa"/>
          </w:tblCellMar>
        </w:tblPrEx>
        <w:trPr>
          <w:trHeight w:val="583"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项目完成指标</w:t>
            </w:r>
          </w:p>
        </w:tc>
        <w:tc>
          <w:tcPr>
            <w:tcW w:w="9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成本指标</w:t>
            </w:r>
          </w:p>
        </w:tc>
        <w:tc>
          <w:tcPr>
            <w:tcW w:w="24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活动动开展成本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2万元</w:t>
            </w:r>
          </w:p>
        </w:tc>
      </w:tr>
      <w:tr>
        <w:tblPrEx>
          <w:tblCellMar>
            <w:top w:w="0" w:type="dxa"/>
            <w:left w:w="0" w:type="dxa"/>
            <w:bottom w:w="0" w:type="dxa"/>
            <w:right w:w="0" w:type="dxa"/>
          </w:tblCellMar>
        </w:tblPrEx>
        <w:trPr>
          <w:trHeight w:val="655"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效益指标</w:t>
            </w:r>
          </w:p>
        </w:tc>
        <w:tc>
          <w:tcPr>
            <w:tcW w:w="9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成本指标</w:t>
            </w:r>
          </w:p>
        </w:tc>
        <w:tc>
          <w:tcPr>
            <w:tcW w:w="24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广告制作</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8万元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8万元</w:t>
            </w:r>
          </w:p>
        </w:tc>
      </w:tr>
      <w:tr>
        <w:tblPrEx>
          <w:tblCellMar>
            <w:top w:w="0" w:type="dxa"/>
            <w:left w:w="0" w:type="dxa"/>
            <w:bottom w:w="0" w:type="dxa"/>
            <w:right w:w="0" w:type="dxa"/>
          </w:tblCellMar>
        </w:tblPrEx>
        <w:trPr>
          <w:trHeight w:val="1297"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效益指标</w:t>
            </w:r>
          </w:p>
        </w:tc>
        <w:tc>
          <w:tcPr>
            <w:tcW w:w="9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社会效益</w:t>
            </w:r>
          </w:p>
        </w:tc>
        <w:tc>
          <w:tcPr>
            <w:tcW w:w="24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ascii="宋体" w:hAnsi="宋体" w:cs="宋体"/>
                <w:color w:val="000000"/>
                <w:szCs w:val="21"/>
              </w:rPr>
              <w:t>注重培育和践行社会主义核心价值观，加强公民思想道德建设</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ascii="宋体" w:hAnsi="宋体" w:cs="宋体"/>
                <w:color w:val="000000"/>
                <w:szCs w:val="21"/>
              </w:rPr>
              <w:t>持续打造社会主义核心价值观、意识形态示范点，营造宣传社会主义核心价值观的浓厚氛围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ascii="宋体" w:hAnsi="宋体" w:cs="宋体"/>
                <w:color w:val="000000"/>
                <w:szCs w:val="21"/>
              </w:rPr>
              <w:t>形成良好的社会氛围</w:t>
            </w:r>
          </w:p>
        </w:tc>
      </w:tr>
      <w:tr>
        <w:tblPrEx>
          <w:tblCellMar>
            <w:top w:w="0" w:type="dxa"/>
            <w:left w:w="0" w:type="dxa"/>
            <w:bottom w:w="0" w:type="dxa"/>
            <w:right w:w="0" w:type="dxa"/>
          </w:tblCellMar>
        </w:tblPrEx>
        <w:trPr>
          <w:trHeight w:val="968" w:hRule="atLeast"/>
          <w:jc w:val="center"/>
        </w:trPr>
        <w:tc>
          <w:tcPr>
            <w:tcW w:w="659"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效益指标</w:t>
            </w:r>
          </w:p>
        </w:tc>
        <w:tc>
          <w:tcPr>
            <w:tcW w:w="9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可持续影响指标</w:t>
            </w:r>
          </w:p>
        </w:tc>
        <w:tc>
          <w:tcPr>
            <w:tcW w:w="24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对盐边形象促进作用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为盐边创建文明城市创建创建良好的氛围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顺利通过测评，促进盐边的环境建设</w:t>
            </w:r>
          </w:p>
        </w:tc>
      </w:tr>
      <w:tr>
        <w:tblPrEx>
          <w:tblCellMar>
            <w:top w:w="0" w:type="dxa"/>
            <w:left w:w="0" w:type="dxa"/>
            <w:bottom w:w="0" w:type="dxa"/>
            <w:right w:w="0" w:type="dxa"/>
          </w:tblCellMar>
        </w:tblPrEx>
        <w:trPr>
          <w:trHeight w:val="788" w:hRule="atLeast"/>
          <w:jc w:val="center"/>
        </w:trPr>
        <w:tc>
          <w:tcPr>
            <w:tcW w:w="659"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36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满意度指标</w:t>
            </w:r>
          </w:p>
        </w:tc>
        <w:tc>
          <w:tcPr>
            <w:tcW w:w="9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满意度指标</w:t>
            </w:r>
          </w:p>
        </w:tc>
        <w:tc>
          <w:tcPr>
            <w:tcW w:w="24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测评满意度、群众满意度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80%以上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80%以上</w:t>
            </w:r>
          </w:p>
        </w:tc>
      </w:tr>
    </w:tbl>
    <w:p>
      <w:pPr>
        <w:spacing w:line="580" w:lineRule="exact"/>
        <w:ind w:left="630"/>
        <w:rPr>
          <w:rFonts w:ascii="仿宋_GB2312" w:hAnsi="仿宋_GB2312" w:eastAsia="仿宋_GB2312" w:cs="仿宋_GB2312"/>
          <w:sz w:val="32"/>
          <w:szCs w:val="32"/>
        </w:rPr>
      </w:pPr>
      <w:r>
        <w:rPr>
          <w:rFonts w:hint="eastAsia" w:ascii="楷体_GB2312" w:hAnsi="楷体_GB2312" w:eastAsia="楷体_GB2312" w:cs="楷体_GB2312"/>
          <w:sz w:val="32"/>
          <w:szCs w:val="32"/>
        </w:rPr>
        <w:t>2.部门绩效评价结果。</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本部门按要求对2019年部门整体支出绩效评价情况开展自评，《盐边县委办2019年部门整体支出绩效评价报告》见附件（附件1）。</w:t>
      </w:r>
    </w:p>
    <w:p>
      <w:pPr>
        <w:spacing w:line="580" w:lineRule="exact"/>
        <w:ind w:firstLine="640" w:firstLineChars="200"/>
        <w:rPr>
          <w:rFonts w:ascii="仿宋_GB2312" w:eastAsia="仿宋_GB2312"/>
          <w:b/>
          <w:color w:val="000000"/>
          <w:sz w:val="32"/>
          <w:szCs w:val="32"/>
        </w:rPr>
      </w:pPr>
      <w:r>
        <w:rPr>
          <w:rFonts w:hint="eastAsia" w:ascii="仿宋_GB2312" w:hAnsi="仿宋_GB2312" w:eastAsia="仿宋_GB2312" w:cs="仿宋_GB2312"/>
          <w:sz w:val="32"/>
          <w:szCs w:val="32"/>
        </w:rPr>
        <w:t>本部门自行组织对2019宣传专项经费开展了绩效评价，《2019宣传专项经费绩效评价报告》见附件（附件2）。（非涉密部门均需公开部门整体支出评价报告，部门自行组织的绩效评价情况根据部门实际公开，若未组织项目绩效评价，则只需说明部门整体支出绩效评价情况）</w:t>
      </w: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3"/>
        </w:numPr>
        <w:spacing w:line="600" w:lineRule="exact"/>
        <w:ind w:firstLine="660" w:firstLineChars="150"/>
        <w:jc w:val="center"/>
        <w:outlineLvl w:val="0"/>
        <w:rPr>
          <w:rStyle w:val="25"/>
          <w:rFonts w:ascii="黑体" w:hAnsi="黑体" w:eastAsia="黑体"/>
          <w:b w:val="0"/>
        </w:rPr>
      </w:pPr>
      <w:bookmarkStart w:id="85" w:name="_Toc52180096"/>
      <w:bookmarkStart w:id="86" w:name="_Toc15377225"/>
      <w:bookmarkStart w:id="87" w:name="_Toc15396613"/>
      <w:r>
        <w:rPr>
          <w:rFonts w:hint="eastAsia" w:ascii="黑体" w:hAnsi="黑体" w:eastAsia="黑体"/>
          <w:color w:val="000000"/>
          <w:sz w:val="44"/>
          <w:szCs w:val="44"/>
        </w:rPr>
        <w:t>名</w:t>
      </w:r>
      <w:r>
        <w:rPr>
          <w:rStyle w:val="25"/>
          <w:rFonts w:hint="eastAsia" w:ascii="黑体" w:hAnsi="黑体" w:eastAsia="黑体"/>
          <w:b w:val="0"/>
        </w:rPr>
        <w:t>词解释</w:t>
      </w:r>
      <w:bookmarkEnd w:id="85"/>
      <w:bookmarkEnd w:id="86"/>
      <w:bookmarkEnd w:id="87"/>
    </w:p>
    <w:p>
      <w:pPr>
        <w:spacing w:line="600" w:lineRule="exact"/>
        <w:jc w:val="left"/>
        <w:rPr>
          <w:rFonts w:ascii="宋体"/>
          <w:b/>
          <w:color w:val="000000"/>
          <w:sz w:val="44"/>
          <w:szCs w:val="44"/>
        </w:rPr>
      </w:pPr>
    </w:p>
    <w:p>
      <w:pPr>
        <w:pStyle w:val="23"/>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hint="eastAsia" w:ascii="仿宋_GB2312" w:eastAsia="仿宋_GB2312"/>
          <w:sz w:val="32"/>
          <w:szCs w:val="32"/>
        </w:rPr>
        <w:t>3、年末结转和结余：指单位按有关规定结转到下年或以后年度继续使用的资金。</w:t>
      </w:r>
    </w:p>
    <w:p>
      <w:pPr>
        <w:widowControl/>
        <w:shd w:val="clear" w:color="auto" w:fill="FFFFFF"/>
        <w:spacing w:line="600" w:lineRule="atLeast"/>
        <w:ind w:firstLine="643"/>
        <w:jc w:val="left"/>
        <w:rPr>
          <w:rFonts w:ascii="宋体" w:hAnsi="宋体" w:cs="宋体"/>
          <w:color w:val="333333"/>
          <w:kern w:val="0"/>
          <w:szCs w:val="21"/>
        </w:rPr>
      </w:pPr>
      <w:r>
        <w:rPr>
          <w:rFonts w:hint="eastAsia" w:ascii="仿宋_GB2312" w:eastAsia="仿宋_GB2312"/>
          <w:color w:val="000000"/>
          <w:sz w:val="32"/>
          <w:szCs w:val="32"/>
        </w:rPr>
        <w:t>4</w:t>
      </w:r>
      <w:r>
        <w:rPr>
          <w:rFonts w:hint="eastAsia" w:ascii="仿宋_GB2312" w:hAnsi="宋体" w:eastAsia="仿宋_GB2312" w:cs="宋体"/>
          <w:bCs/>
          <w:color w:val="000000"/>
          <w:kern w:val="0"/>
          <w:sz w:val="32"/>
        </w:rPr>
        <w:t>.一般公共服务20133宣传事务:</w:t>
      </w:r>
      <w:r>
        <w:rPr>
          <w:rFonts w:hint="eastAsia" w:ascii="仿宋_GB2312" w:hAnsi="宋体" w:eastAsia="仿宋_GB2312" w:cs="宋体"/>
          <w:color w:val="000000"/>
          <w:kern w:val="0"/>
          <w:sz w:val="32"/>
          <w:szCs w:val="32"/>
        </w:rPr>
        <w:t>指宣传部</w:t>
      </w:r>
      <w:r>
        <w:rPr>
          <w:rFonts w:hint="eastAsia" w:ascii="仿宋_GB2312" w:hAnsi="宋体" w:eastAsia="仿宋_GB2312" w:cs="宋体"/>
          <w:color w:val="333333"/>
          <w:kern w:val="0"/>
          <w:sz w:val="30"/>
          <w:szCs w:val="30"/>
        </w:rPr>
        <w:t>机关人员工资、津贴补贴、日常公用经费支出及专项业务工作支出。</w:t>
      </w:r>
    </w:p>
    <w:p>
      <w:pPr>
        <w:widowControl/>
        <w:shd w:val="clear" w:color="auto" w:fill="FFFFFF"/>
        <w:spacing w:line="600" w:lineRule="atLeast"/>
        <w:ind w:firstLine="640"/>
        <w:jc w:val="left"/>
        <w:rPr>
          <w:rFonts w:ascii="宋体" w:hAnsi="宋体" w:cs="宋体"/>
          <w:color w:val="333333"/>
          <w:kern w:val="0"/>
          <w:szCs w:val="21"/>
        </w:rPr>
      </w:pPr>
      <w:r>
        <w:rPr>
          <w:rFonts w:hint="eastAsia" w:ascii="仿宋_GB2312" w:hAnsi="宋体" w:eastAsia="仿宋_GB2312" w:cs="宋体"/>
          <w:bCs/>
          <w:color w:val="000000"/>
          <w:kern w:val="0"/>
          <w:sz w:val="32"/>
        </w:rPr>
        <w:t>5.文化体育与传媒支出20799其他文化体育与传媒支出：</w:t>
      </w:r>
      <w:r>
        <w:rPr>
          <w:rFonts w:hint="eastAsia" w:ascii="仿宋_GB2312" w:hAnsi="宋体" w:eastAsia="仿宋_GB2312" w:cs="宋体"/>
          <w:color w:val="000000"/>
          <w:kern w:val="0"/>
          <w:sz w:val="32"/>
        </w:rPr>
        <w:t>指宣传文化事业发展专项资金支出。</w:t>
      </w:r>
    </w:p>
    <w:p>
      <w:pPr>
        <w:spacing w:line="600" w:lineRule="exact"/>
        <w:ind w:firstLine="640"/>
        <w:rPr>
          <w:rFonts w:ascii="仿宋_GB2312" w:eastAsia="仿宋_GB2312"/>
          <w:i/>
          <w:color w:val="404040"/>
          <w:sz w:val="32"/>
          <w:szCs w:val="32"/>
        </w:rPr>
      </w:pPr>
      <w:r>
        <w:rPr>
          <w:rFonts w:hint="eastAsia" w:ascii="仿宋_GB2312" w:hAnsi="宋体" w:eastAsia="仿宋_GB2312" w:cs="宋体"/>
          <w:bCs/>
          <w:color w:val="000000"/>
          <w:kern w:val="0"/>
          <w:sz w:val="32"/>
        </w:rPr>
        <w:t>6.社会保障和就业20805行政事业单位离退休:</w:t>
      </w:r>
      <w:r>
        <w:rPr>
          <w:rFonts w:hint="eastAsia" w:ascii="仿宋_GB2312" w:hAnsi="宋体" w:eastAsia="仿宋_GB2312" w:cs="宋体"/>
          <w:color w:val="000000"/>
          <w:kern w:val="0"/>
          <w:sz w:val="32"/>
          <w:szCs w:val="32"/>
        </w:rPr>
        <w:t>指</w:t>
      </w:r>
      <w:r>
        <w:rPr>
          <w:rFonts w:hint="eastAsia" w:ascii="仿宋_GB2312" w:hAnsi="宋体" w:eastAsia="仿宋_GB2312" w:cs="宋体"/>
          <w:color w:val="333333"/>
          <w:kern w:val="0"/>
          <w:sz w:val="30"/>
          <w:szCs w:val="30"/>
        </w:rPr>
        <w:t>行政退休人员工资支出及单位职工养老保险缴费支出等。</w:t>
      </w:r>
      <w:r>
        <w:rPr>
          <w:rFonts w:hint="eastAsia" w:ascii="仿宋_GB2312" w:hAnsi="宋体" w:eastAsia="仿宋_GB2312" w:cs="宋体"/>
          <w:color w:val="000000"/>
          <w:kern w:val="0"/>
          <w:sz w:val="32"/>
          <w:szCs w:val="32"/>
        </w:rPr>
        <w:br w:type="textWrapping"/>
      </w:r>
      <w:r>
        <w:rPr>
          <w:rFonts w:hint="eastAsia" w:ascii="仿宋_GB2312" w:hAnsi="宋体" w:eastAsia="仿宋_GB2312" w:cs="宋体"/>
          <w:color w:val="000000"/>
          <w:kern w:val="0"/>
          <w:sz w:val="32"/>
          <w:szCs w:val="32"/>
        </w:rPr>
        <w:t>　　</w:t>
      </w:r>
      <w:r>
        <w:rPr>
          <w:rFonts w:hint="eastAsia" w:ascii="仿宋_GB2312" w:hAnsi="宋体" w:eastAsia="仿宋_GB2312" w:cs="宋体"/>
          <w:bCs/>
          <w:color w:val="000000"/>
          <w:kern w:val="0"/>
          <w:sz w:val="32"/>
        </w:rPr>
        <w:t>7.住房保障支出:22102住房改革支出：</w:t>
      </w:r>
      <w:r>
        <w:rPr>
          <w:rFonts w:hint="eastAsia" w:ascii="仿宋_GB2312" w:hAnsi="宋体" w:eastAsia="仿宋_GB2312" w:cs="宋体"/>
          <w:color w:val="000000"/>
          <w:kern w:val="0"/>
          <w:sz w:val="32"/>
          <w:szCs w:val="32"/>
        </w:rPr>
        <w:t>指</w:t>
      </w:r>
      <w:r>
        <w:rPr>
          <w:rFonts w:hint="eastAsia" w:ascii="仿宋_GB2312" w:hAnsi="宋体" w:eastAsia="仿宋_GB2312" w:cs="宋体"/>
          <w:color w:val="333333"/>
          <w:kern w:val="0"/>
          <w:sz w:val="30"/>
          <w:szCs w:val="30"/>
        </w:rPr>
        <w:t>住房公积金支出。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8</w:t>
      </w:r>
      <w:r>
        <w:rPr>
          <w:rFonts w:ascii="仿宋_GB2312" w:eastAsia="仿宋_GB2312"/>
          <w:color w:val="000000"/>
          <w:sz w:val="32"/>
          <w:szCs w:val="32"/>
        </w:rPr>
        <w:t>.</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9</w:t>
      </w:r>
      <w:r>
        <w:rPr>
          <w:rFonts w:ascii="仿宋_GB2312" w:eastAsia="仿宋_GB2312"/>
          <w:color w:val="000000"/>
          <w:sz w:val="32"/>
          <w:szCs w:val="32"/>
        </w:rPr>
        <w:t>.</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pStyle w:val="23"/>
        <w:spacing w:line="560" w:lineRule="exact"/>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0.</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3"/>
        <w:spacing w:line="560" w:lineRule="exact"/>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1.</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3"/>
        <w:spacing w:line="560" w:lineRule="exact"/>
        <w:ind w:firstLine="640" w:firstLineChars="200"/>
        <w:rPr>
          <w:rFonts w:ascii="仿宋_GB2312" w:eastAsia="仿宋_GB2312" w:cs="黑体"/>
          <w:sz w:val="32"/>
          <w:szCs w:val="32"/>
        </w:rPr>
      </w:pPr>
    </w:p>
    <w:p>
      <w:pPr>
        <w:spacing w:line="600" w:lineRule="exact"/>
        <w:jc w:val="center"/>
        <w:outlineLvl w:val="0"/>
        <w:rPr>
          <w:rStyle w:val="25"/>
          <w:rFonts w:ascii="黑体" w:hAnsi="黑体" w:eastAsia="黑体"/>
          <w:b w:val="0"/>
        </w:rPr>
      </w:pPr>
      <w:bookmarkStart w:id="88" w:name="_Toc15377226"/>
      <w:r>
        <w:rPr>
          <w:rFonts w:ascii="宋体"/>
          <w:b/>
          <w:color w:val="000000"/>
          <w:sz w:val="44"/>
          <w:szCs w:val="44"/>
        </w:rPr>
        <w:br w:type="page"/>
      </w:r>
      <w:bookmarkStart w:id="89" w:name="_Toc52180097"/>
      <w:bookmarkStart w:id="90" w:name="_Toc15396614"/>
      <w:r>
        <w:rPr>
          <w:rFonts w:hint="eastAsia" w:ascii="黑体" w:hAnsi="黑体" w:eastAsia="黑体"/>
          <w:color w:val="000000"/>
          <w:sz w:val="44"/>
          <w:szCs w:val="44"/>
        </w:rPr>
        <w:t>第</w:t>
      </w:r>
      <w:r>
        <w:rPr>
          <w:rStyle w:val="25"/>
          <w:rFonts w:hint="eastAsia" w:ascii="黑体" w:hAnsi="黑体" w:eastAsia="黑体"/>
          <w:b w:val="0"/>
        </w:rPr>
        <w:t>四部分 附件</w:t>
      </w:r>
      <w:bookmarkEnd w:id="89"/>
      <w:bookmarkEnd w:id="90"/>
    </w:p>
    <w:p>
      <w:pPr>
        <w:spacing w:line="600" w:lineRule="exact"/>
        <w:jc w:val="left"/>
        <w:outlineLvl w:val="0"/>
        <w:rPr>
          <w:rFonts w:ascii="方正小标宋简体" w:hAnsi="方正小标宋简体" w:eastAsia="方正小标宋简体" w:cs="方正小标宋简体"/>
          <w:sz w:val="32"/>
          <w:szCs w:val="32"/>
        </w:rPr>
      </w:pPr>
      <w:bookmarkStart w:id="91" w:name="_Toc52180098"/>
      <w:r>
        <w:rPr>
          <w:rFonts w:hint="eastAsia" w:ascii="黑体" w:hAnsi="黑体" w:eastAsia="黑体" w:cs="黑体"/>
          <w:sz w:val="32"/>
          <w:szCs w:val="32"/>
        </w:rPr>
        <w:t>附件1</w:t>
      </w:r>
      <w:bookmarkEnd w:id="91"/>
    </w:p>
    <w:p>
      <w:pPr>
        <w:spacing w:line="580" w:lineRule="exact"/>
        <w:jc w:val="center"/>
        <w:rPr>
          <w:rFonts w:ascii="方正小标宋简体" w:hAnsi="方正小标宋简体" w:eastAsia="方正小标宋简体" w:cs="方正小标宋简体"/>
          <w:sz w:val="44"/>
          <w:szCs w:val="44"/>
        </w:rPr>
      </w:pPr>
    </w:p>
    <w:p>
      <w:pPr>
        <w:spacing w:line="600" w:lineRule="exact"/>
        <w:jc w:val="center"/>
        <w:rPr>
          <w:rFonts w:ascii="方正小标宋简体" w:hAnsi="宋体" w:eastAsia="方正小标宋简体"/>
          <w:color w:val="000000"/>
          <w:kern w:val="0"/>
          <w:sz w:val="40"/>
          <w:szCs w:val="44"/>
          <w:lang w:val="zh-CN"/>
        </w:rPr>
      </w:pPr>
      <w:r>
        <w:rPr>
          <w:rFonts w:hint="eastAsia" w:ascii="方正小标宋简体" w:hAnsi="宋体" w:eastAsia="方正小标宋简体"/>
          <w:color w:val="000000"/>
          <w:kern w:val="0"/>
          <w:sz w:val="40"/>
          <w:szCs w:val="44"/>
        </w:rPr>
        <w:t>盐边县委宣传部2</w:t>
      </w:r>
      <w:r>
        <w:rPr>
          <w:rFonts w:ascii="方正小标宋简体" w:hAnsi="宋体" w:eastAsia="方正小标宋简体"/>
          <w:color w:val="000000"/>
          <w:kern w:val="0"/>
          <w:sz w:val="40"/>
          <w:szCs w:val="44"/>
        </w:rPr>
        <w:t>019年部门</w:t>
      </w:r>
      <w:r>
        <w:rPr>
          <w:rFonts w:hint="eastAsia" w:ascii="方正小标宋简体" w:hAnsi="宋体" w:eastAsia="方正小标宋简体"/>
          <w:color w:val="000000"/>
          <w:kern w:val="0"/>
          <w:sz w:val="40"/>
          <w:szCs w:val="44"/>
          <w:lang w:val="zh-CN"/>
        </w:rPr>
        <w:t>整体支出</w:t>
      </w:r>
    </w:p>
    <w:p>
      <w:pPr>
        <w:spacing w:line="600" w:lineRule="exact"/>
        <w:jc w:val="center"/>
        <w:rPr>
          <w:rFonts w:ascii="方正小标宋简体" w:hAnsi="宋体" w:eastAsia="方正小标宋简体"/>
          <w:color w:val="000000"/>
          <w:kern w:val="0"/>
          <w:sz w:val="40"/>
          <w:szCs w:val="44"/>
          <w:lang w:val="zh-CN"/>
        </w:rPr>
      </w:pPr>
      <w:r>
        <w:rPr>
          <w:rFonts w:hint="eastAsia" w:ascii="方正小标宋简体" w:hAnsi="宋体" w:eastAsia="方正小标宋简体"/>
          <w:color w:val="000000"/>
          <w:kern w:val="0"/>
          <w:sz w:val="40"/>
          <w:szCs w:val="44"/>
          <w:lang w:val="zh-CN"/>
        </w:rPr>
        <w:t>绩效评价报告</w:t>
      </w:r>
    </w:p>
    <w:p>
      <w:pPr>
        <w:widowControl/>
        <w:adjustRightInd w:val="0"/>
        <w:snapToGrid w:val="0"/>
        <w:spacing w:line="580" w:lineRule="exact"/>
        <w:ind w:firstLine="480" w:firstLineChars="200"/>
        <w:contextualSpacing/>
        <w:jc w:val="left"/>
        <w:rPr>
          <w:rFonts w:ascii="黑体" w:hAnsi="宋体" w:eastAsia="黑体" w:cs="宋体"/>
          <w:color w:val="000000"/>
          <w:kern w:val="0"/>
          <w:sz w:val="24"/>
          <w:szCs w:val="32"/>
          <w:shd w:val="clear" w:color="auto" w:fill="FFFFFF"/>
        </w:rPr>
      </w:pPr>
    </w:p>
    <w:p>
      <w:pPr>
        <w:widowControl/>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lang w:val="zh-CN"/>
        </w:rPr>
      </w:pPr>
      <w:r>
        <w:rPr>
          <w:rFonts w:hint="eastAsia" w:ascii="黑体" w:hAnsi="宋体" w:eastAsia="黑体" w:cs="宋体"/>
          <w:color w:val="000000"/>
          <w:kern w:val="0"/>
          <w:sz w:val="32"/>
          <w:szCs w:val="32"/>
          <w:shd w:val="clear" w:color="auto" w:fill="FFFFFF"/>
        </w:rPr>
        <w:t>一、</w:t>
      </w:r>
      <w:r>
        <w:rPr>
          <w:rFonts w:hint="eastAsia" w:ascii="黑体" w:hAnsi="宋体" w:eastAsia="黑体" w:cs="宋体"/>
          <w:color w:val="000000"/>
          <w:kern w:val="0"/>
          <w:sz w:val="32"/>
          <w:szCs w:val="32"/>
          <w:shd w:val="clear" w:color="auto" w:fill="FFFFFF"/>
          <w:lang w:val="zh-CN"/>
        </w:rPr>
        <w:t>部门（单位）概况</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（一）机构组成。</w:t>
      </w:r>
    </w:p>
    <w:p>
      <w:pPr>
        <w:widowControl/>
        <w:shd w:val="clear" w:color="auto" w:fill="FFFFFF"/>
        <w:spacing w:line="315" w:lineRule="atLeast"/>
        <w:ind w:firstLine="640"/>
        <w:jc w:val="left"/>
        <w:rPr>
          <w:rFonts w:ascii="仿宋_GB2312" w:hAnsi="仿宋_GB2312" w:eastAsia="仿宋_GB2312" w:cs="宋体"/>
          <w:color w:val="000000" w:themeColor="text1"/>
          <w:kern w:val="0"/>
          <w:sz w:val="33"/>
          <w:szCs w:val="33"/>
        </w:rPr>
      </w:pPr>
      <w:r>
        <w:rPr>
          <w:rFonts w:hint="eastAsia" w:ascii="仿宋_GB2312" w:hAnsi="仿宋_GB2312" w:eastAsia="仿宋_GB2312" w:cs="宋体"/>
          <w:color w:val="000000" w:themeColor="text1"/>
          <w:kern w:val="0"/>
          <w:sz w:val="33"/>
          <w:szCs w:val="33"/>
        </w:rPr>
        <w:t>宣传部内设股室4个，其中包括办公室、宣传股、文化电影出版管理股、精神文明建设股。下属二级单位2个，均为事业单位（县对外宣传服务中心、其中县文联属于群团组织参公编制。）</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（二）机构职能。</w:t>
      </w:r>
    </w:p>
    <w:p>
      <w:pPr>
        <w:spacing w:line="576" w:lineRule="exact"/>
        <w:ind w:firstLine="660" w:firstLineChars="200"/>
        <w:rPr>
          <w:rFonts w:eastAsia="方正仿宋_GBK"/>
          <w:color w:val="000000" w:themeColor="text1"/>
          <w:sz w:val="33"/>
          <w:szCs w:val="33"/>
          <w:shd w:val="clear" w:color="auto" w:fill="FFFFFF"/>
          <w:lang w:val="zh-CN"/>
        </w:rPr>
      </w:pPr>
      <w:r>
        <w:rPr>
          <w:rFonts w:eastAsia="方正仿宋_GBK"/>
          <w:color w:val="000000" w:themeColor="text1"/>
          <w:sz w:val="33"/>
          <w:szCs w:val="33"/>
          <w:shd w:val="clear" w:color="auto" w:fill="FFFFFF"/>
          <w:lang w:val="zh-CN"/>
        </w:rPr>
        <w:t>拟定全县宣传思想文化工作重大政策和事业产业发展总体规划，统筹协调推进宣传思想文化领域法治建设；统筹协调全县党的意识形态工作，负责规划组织全局性思想政治工作；统筹指导协调推动精神文化产品的创作和生产和精神文明建设工作，指导协调推动群众文化建设、精神文明创建、公民思想道德建设和志愿服务工作；统筹分析研判和引导社会舆论，指导协调县级新闻单位工作，负责组织协调重大新闻宣传活动和重大突发公共事件应急新闻工作；统筹协调对外宣传工作，组织推动国际传播能力建设，组织指导重大对外宣传活动和对外文化交流工作，协调推动中华文化走出去工作，组织开展全县互联网对外交流和合作；统筹协调组织开展新闻发布工作，承担县委新闻发布有关组织协调工作；统筹指导推进文化体制改革和文化事业、文化产业及旅游业发展，会同有关单位组织研究县属国有文化资产监管重大政策；负责管理新闻出版行政事务和所涉及的行政审批工作，组织指导协调“扫黄打非”工作，中央和省市新闻媒体驻盐机构的监督管理，新闻记者证管理工作，管理电影行政事务和所涉及的行政审批工作，指导监管电影制片、发行、放映工作，组织对电影内容进行审查，指导协调和参与重大电影活动和电影对外合作交流；负责组织开展全县宣传思想文化、网络安全和信息化干部教育培训和人才工作；统筹推动网络阵地建设，会同有关部门推动媒体融合发展和地方融媒体中心建设；依法负责网络新闻业务和论坛、博客、搜索引擎等具有新闻舆论及社会动员功能业务的审批及日常监管；完成县委交办的其他任务。</w:t>
      </w:r>
    </w:p>
    <w:p>
      <w:pPr>
        <w:widowControl/>
        <w:shd w:val="clear" w:color="auto" w:fill="FFFFFF"/>
        <w:ind w:firstLine="640"/>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（三）人员概况。</w:t>
      </w:r>
    </w:p>
    <w:p>
      <w:pPr>
        <w:widowControl/>
        <w:adjustRightInd w:val="0"/>
        <w:snapToGrid w:val="0"/>
        <w:spacing w:line="580" w:lineRule="exact"/>
        <w:ind w:firstLine="660" w:firstLineChars="200"/>
        <w:contextualSpacing/>
        <w:jc w:val="left"/>
        <w:rPr>
          <w:rFonts w:ascii="仿宋_GB2312" w:hAnsi="仿宋_GB2312" w:eastAsia="仿宋_GB2312" w:cs="宋体"/>
          <w:color w:val="000000" w:themeColor="text1"/>
          <w:kern w:val="0"/>
          <w:sz w:val="33"/>
          <w:szCs w:val="33"/>
        </w:rPr>
      </w:pPr>
      <w:r>
        <w:rPr>
          <w:rFonts w:hint="eastAsia" w:ascii="仿宋_GB2312" w:hAnsi="仿宋_GB2312" w:eastAsia="仿宋_GB2312" w:cs="宋体"/>
          <w:color w:val="000000" w:themeColor="text1"/>
          <w:kern w:val="0"/>
          <w:sz w:val="33"/>
          <w:szCs w:val="33"/>
        </w:rPr>
        <w:t>县委宣传部现有编制17名，其中行政编制8名，机关后勤事业编制1名，参公编制1名，事业编制7名。领导班子职数为3名，其中：部长1名，副部长2名，其中1名副部长兼文明办主任，1名副部长兼外宣办主任。</w:t>
      </w:r>
    </w:p>
    <w:p>
      <w:pPr>
        <w:widowControl/>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rPr>
      </w:pPr>
      <w:r>
        <w:rPr>
          <w:rFonts w:hint="eastAsia" w:ascii="黑体" w:hAnsi="宋体" w:eastAsia="黑体" w:cs="宋体"/>
          <w:color w:val="000000"/>
          <w:kern w:val="0"/>
          <w:sz w:val="32"/>
          <w:szCs w:val="32"/>
          <w:shd w:val="clear" w:color="auto" w:fill="FFFFFF"/>
        </w:rPr>
        <w:t>二、部门财政资金收支情况</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（一）部门财政资金收入情况。</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仿宋_GB2312" w:eastAsia="仿宋_GB2312" w:cs="宋体"/>
          <w:color w:val="333333"/>
          <w:kern w:val="0"/>
          <w:sz w:val="32"/>
          <w:szCs w:val="32"/>
        </w:rPr>
        <w:t>2019年度财政拨款收入总决算</w:t>
      </w:r>
      <w:r>
        <w:rPr>
          <w:rFonts w:hint="eastAsia" w:ascii="仿宋_GB2312" w:hAnsi="仿宋_GB2312" w:eastAsia="仿宋_GB2312" w:cs="宋体"/>
          <w:color w:val="000000"/>
          <w:kern w:val="0"/>
          <w:sz w:val="32"/>
          <w:szCs w:val="32"/>
        </w:rPr>
        <w:t>429.33</w:t>
      </w:r>
      <w:r>
        <w:rPr>
          <w:rFonts w:hint="eastAsia" w:ascii="仿宋_GB2312" w:hAnsi="仿宋_GB2312" w:eastAsia="仿宋_GB2312" w:cs="宋体"/>
          <w:color w:val="333333"/>
          <w:kern w:val="0"/>
          <w:sz w:val="32"/>
          <w:szCs w:val="32"/>
        </w:rPr>
        <w:t>万元。</w:t>
      </w:r>
      <w:r>
        <w:rPr>
          <w:rFonts w:hint="eastAsia" w:ascii="仿宋_GB2312" w:hAnsi="仿宋_GB2312" w:eastAsia="仿宋_GB2312" w:cs="仿宋"/>
          <w:color w:val="000000"/>
          <w:sz w:val="32"/>
          <w:szCs w:val="32"/>
        </w:rPr>
        <w:t>比上年增加210.05元，增长95.79%。</w:t>
      </w:r>
      <w:r>
        <w:rPr>
          <w:rFonts w:ascii="仿宋_GB2312" w:hAnsi="宋体" w:eastAsia="仿宋_GB2312" w:cs="宋体"/>
          <w:color w:val="000000"/>
          <w:kern w:val="0"/>
          <w:sz w:val="32"/>
          <w:szCs w:val="32"/>
          <w:shd w:val="clear" w:color="auto" w:fill="FFFFFF"/>
          <w:lang w:val="zh-CN"/>
        </w:rPr>
        <w:t xml:space="preserve"> </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（二）部门财政资金支出情况。</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仿宋_GB2312" w:eastAsia="仿宋_GB2312" w:cs="宋体"/>
          <w:color w:val="333333"/>
          <w:kern w:val="0"/>
          <w:sz w:val="32"/>
          <w:szCs w:val="32"/>
        </w:rPr>
        <w:t>2019年度财政拨款支出总决算</w:t>
      </w:r>
      <w:r>
        <w:rPr>
          <w:rFonts w:hint="eastAsia" w:ascii="仿宋_GB2312" w:hAnsi="仿宋_GB2312" w:eastAsia="仿宋_GB2312" w:cs="宋体"/>
          <w:color w:val="000000"/>
          <w:kern w:val="0"/>
          <w:sz w:val="32"/>
          <w:szCs w:val="32"/>
        </w:rPr>
        <w:t>541.8</w:t>
      </w:r>
      <w:r>
        <w:rPr>
          <w:rFonts w:hint="eastAsia" w:ascii="仿宋_GB2312" w:hAnsi="仿宋_GB2312" w:eastAsia="仿宋_GB2312" w:cs="宋体"/>
          <w:color w:val="333333"/>
          <w:kern w:val="0"/>
          <w:sz w:val="32"/>
          <w:szCs w:val="32"/>
        </w:rPr>
        <w:t>万元，</w:t>
      </w:r>
      <w:r>
        <w:rPr>
          <w:rFonts w:hint="eastAsia" w:ascii="仿宋_GB2312" w:hAnsi="仿宋_GB2312" w:eastAsia="仿宋_GB2312" w:cs="仿宋"/>
          <w:color w:val="000000"/>
          <w:sz w:val="32"/>
          <w:szCs w:val="32"/>
        </w:rPr>
        <w:t>比上年增加279.71元，增长106.72%</w:t>
      </w:r>
      <w:r>
        <w:rPr>
          <w:rFonts w:hint="eastAsia" w:ascii="仿宋_GB2312" w:hAnsi="仿宋_GB2312" w:eastAsia="仿宋_GB2312" w:cs="宋体"/>
          <w:color w:val="333333"/>
          <w:kern w:val="0"/>
          <w:sz w:val="32"/>
          <w:szCs w:val="32"/>
        </w:rPr>
        <w:t>。</w:t>
      </w:r>
    </w:p>
    <w:p>
      <w:pPr>
        <w:widowControl/>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rPr>
      </w:pPr>
      <w:r>
        <w:rPr>
          <w:rFonts w:hint="eastAsia" w:ascii="黑体" w:hAnsi="宋体" w:eastAsia="黑体" w:cs="宋体"/>
          <w:color w:val="000000"/>
          <w:kern w:val="0"/>
          <w:sz w:val="32"/>
          <w:szCs w:val="32"/>
          <w:shd w:val="clear" w:color="auto" w:fill="FFFFFF"/>
        </w:rPr>
        <w:t>三、部门整体预算绩效管理情况</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（一）部门预算管理。</w:t>
      </w:r>
    </w:p>
    <w:p>
      <w:pPr>
        <w:spacing w:line="580" w:lineRule="exact"/>
        <w:ind w:firstLine="640" w:firstLineChars="200"/>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年初</w:t>
      </w:r>
      <w:r>
        <w:rPr>
          <w:rFonts w:hint="eastAsia" w:ascii="仿宋" w:hAnsi="仿宋" w:eastAsia="仿宋"/>
          <w:sz w:val="32"/>
          <w:szCs w:val="32"/>
        </w:rPr>
        <w:t>申报预算</w:t>
      </w:r>
      <w:r>
        <w:rPr>
          <w:rFonts w:hint="eastAsia" w:ascii="仿宋_GB2312" w:hAnsi="宋体" w:eastAsia="仿宋_GB2312" w:cs="宋体"/>
          <w:color w:val="000000"/>
          <w:kern w:val="0"/>
          <w:sz w:val="32"/>
          <w:szCs w:val="32"/>
          <w:shd w:val="clear" w:color="auto" w:fill="FFFFFF"/>
          <w:lang w:val="zh-CN"/>
        </w:rPr>
        <w:t>项目</w:t>
      </w:r>
      <w:r>
        <w:rPr>
          <w:rFonts w:hint="eastAsia" w:ascii="仿宋" w:hAnsi="仿宋" w:eastAsia="仿宋"/>
          <w:sz w:val="32"/>
          <w:szCs w:val="32"/>
        </w:rPr>
        <w:t>时设定了绩效目标，全面加强预算管理，优化资源配置，提高财政资金使用绩效和科学细化管理水平。</w:t>
      </w:r>
      <w:r>
        <w:rPr>
          <w:rFonts w:ascii="仿宋" w:hAnsi="仿宋" w:eastAsia="仿宋"/>
          <w:sz w:val="32"/>
          <w:szCs w:val="32"/>
        </w:rPr>
        <w:t>2019</w:t>
      </w:r>
      <w:r>
        <w:rPr>
          <w:rFonts w:hint="eastAsia" w:ascii="仿宋" w:hAnsi="仿宋" w:eastAsia="仿宋"/>
          <w:sz w:val="32"/>
          <w:szCs w:val="32"/>
        </w:rPr>
        <w:t>年整体绩效目标全部完成，预算编制较准确。预算执行中严格控制经费开支，</w:t>
      </w:r>
      <w:r>
        <w:rPr>
          <w:rFonts w:hint="eastAsia" w:ascii="仿宋_GB2312" w:hAnsi="宋体" w:eastAsia="仿宋_GB2312" w:cs="宋体"/>
          <w:color w:val="000000"/>
          <w:kern w:val="0"/>
          <w:sz w:val="32"/>
          <w:szCs w:val="32"/>
          <w:shd w:val="clear" w:color="auto" w:fill="FFFFFF"/>
          <w:lang w:val="zh-CN"/>
        </w:rPr>
        <w:t xml:space="preserve">在资金的管理和使用上，严守法律底线、纪律底线，会计核算真实完整，项目资金支出和原定用途、预算批复用途相符，财政资金使用效率进一步提高。充分发挥了宣传喉舌作用，助推全县各项工作的开展。 </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（二）结果应用情况。</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通过绩效自评可以提高本部门财政资金使用效率，保证效能性监督，促进资金管理规范化和科学化，有效推动本部门职能任务工作。</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绩效自评结果在公众信息网上进行公开公示，以便接受社会公众的监督。</w:t>
      </w:r>
    </w:p>
    <w:p>
      <w:pPr>
        <w:widowControl/>
        <w:spacing w:line="360" w:lineRule="atLeas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 xml:space="preserve">     </w:t>
      </w:r>
      <w:r>
        <w:rPr>
          <w:rFonts w:hint="eastAsia" w:ascii="黑体" w:hAnsi="宋体" w:eastAsia="黑体" w:cs="宋体"/>
          <w:color w:val="000000"/>
          <w:kern w:val="0"/>
          <w:sz w:val="32"/>
          <w:szCs w:val="32"/>
          <w:shd w:val="clear" w:color="auto" w:fill="FFFFFF"/>
        </w:rPr>
        <w:t>四、评价结论及建议</w:t>
      </w:r>
    </w:p>
    <w:p>
      <w:pPr>
        <w:spacing w:line="560" w:lineRule="exact"/>
        <w:ind w:firstLine="640" w:firstLineChars="200"/>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（一）评价结论。</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2019</w:t>
      </w:r>
      <w:r>
        <w:rPr>
          <w:rFonts w:hint="eastAsia" w:ascii="仿宋" w:hAnsi="仿宋" w:eastAsia="仿宋" w:cs="仿宋"/>
          <w:sz w:val="32"/>
          <w:szCs w:val="32"/>
        </w:rPr>
        <w:t>年我单位按年初部门整体绩效评价的要求和整体支出绩效评价指标进行分析，人员经费和办公经费有效的保证了办公的日常需要，完成了各项工作目标任务，项目经费达到了预期的社会效益。</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（二）存在问题。</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 w:hAnsi="仿宋" w:eastAsia="仿宋" w:cs="仿宋"/>
          <w:sz w:val="32"/>
          <w:szCs w:val="32"/>
        </w:rPr>
        <w:t>项目预算编制不够精、细，预算编制和执行还是有一定偏差；由于部门整体支出绩效评价属于综合性的评价，财务人员对部门整体支出进行独立评价有时也可能存在不能完全反映本部门实际工作所取得的成效与绩效结果。</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（三）改进建议。</w:t>
      </w:r>
    </w:p>
    <w:p>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在今后的工作中我部将细化预算编制工作，充实绩效评价指标体系，逐步健全绩效评价标准。加强财务管理，严格财务审批，持续抓好“三公经费”控制管理，为全面推进预算绩效管理步伐、健全我单位部门预算绩效监控机制打下良好的基础。</w:t>
      </w: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rPr>
          <w:rFonts w:ascii="黑体" w:hAnsi="黑体" w:eastAsia="黑体" w:cs="黑体"/>
          <w:color w:val="000000" w:themeColor="text1"/>
          <w:sz w:val="33"/>
          <w:szCs w:val="33"/>
        </w:rPr>
      </w:pPr>
    </w:p>
    <w:p>
      <w:pPr>
        <w:spacing w:line="580" w:lineRule="exact"/>
        <w:rPr>
          <w:rFonts w:ascii="黑体" w:hAnsi="黑体" w:eastAsia="黑体" w:cs="黑体"/>
          <w:color w:val="000000" w:themeColor="text1"/>
          <w:sz w:val="33"/>
          <w:szCs w:val="33"/>
        </w:rPr>
      </w:pPr>
    </w:p>
    <w:p>
      <w:pPr>
        <w:spacing w:line="580" w:lineRule="exact"/>
        <w:rPr>
          <w:rFonts w:ascii="黑体" w:hAnsi="黑体" w:eastAsia="黑体" w:cs="黑体"/>
          <w:color w:val="000000" w:themeColor="text1"/>
          <w:sz w:val="33"/>
          <w:szCs w:val="33"/>
        </w:rPr>
      </w:pPr>
    </w:p>
    <w:p>
      <w:pPr>
        <w:spacing w:line="580" w:lineRule="exact"/>
        <w:rPr>
          <w:rFonts w:ascii="黑体" w:hAnsi="黑体" w:eastAsia="黑体" w:cs="黑体"/>
          <w:color w:val="000000" w:themeColor="text1"/>
          <w:sz w:val="33"/>
          <w:szCs w:val="33"/>
        </w:rPr>
      </w:pPr>
    </w:p>
    <w:p>
      <w:pPr>
        <w:spacing w:line="580" w:lineRule="exact"/>
        <w:rPr>
          <w:rFonts w:ascii="黑体" w:hAnsi="黑体" w:eastAsia="黑体" w:cs="黑体"/>
          <w:color w:val="000000" w:themeColor="text1"/>
          <w:sz w:val="33"/>
          <w:szCs w:val="33"/>
        </w:rPr>
      </w:pPr>
    </w:p>
    <w:p>
      <w:pPr>
        <w:spacing w:line="580" w:lineRule="exact"/>
        <w:rPr>
          <w:rFonts w:ascii="黑体" w:hAnsi="黑体" w:eastAsia="黑体" w:cs="黑体"/>
          <w:color w:val="000000" w:themeColor="text1"/>
          <w:sz w:val="33"/>
          <w:szCs w:val="33"/>
        </w:rPr>
      </w:pPr>
    </w:p>
    <w:p>
      <w:pPr>
        <w:spacing w:line="580" w:lineRule="exact"/>
        <w:rPr>
          <w:rFonts w:ascii="黑体" w:hAnsi="黑体" w:eastAsia="黑体" w:cs="黑体"/>
          <w:color w:val="000000" w:themeColor="text1"/>
          <w:sz w:val="33"/>
          <w:szCs w:val="33"/>
        </w:rPr>
      </w:pPr>
    </w:p>
    <w:p>
      <w:pPr>
        <w:spacing w:line="580" w:lineRule="exact"/>
        <w:rPr>
          <w:rFonts w:ascii="黑体" w:hAnsi="黑体" w:eastAsia="黑体" w:cs="黑体"/>
          <w:color w:val="000000" w:themeColor="text1"/>
          <w:sz w:val="33"/>
          <w:szCs w:val="33"/>
        </w:rPr>
      </w:pPr>
    </w:p>
    <w:p>
      <w:pPr>
        <w:spacing w:line="580" w:lineRule="exact"/>
        <w:rPr>
          <w:rFonts w:ascii="黑体" w:hAnsi="黑体" w:eastAsia="黑体" w:cs="黑体"/>
          <w:color w:val="000000" w:themeColor="text1"/>
          <w:sz w:val="33"/>
          <w:szCs w:val="33"/>
        </w:rPr>
      </w:pPr>
    </w:p>
    <w:p>
      <w:pPr>
        <w:spacing w:line="580" w:lineRule="exact"/>
        <w:rPr>
          <w:rFonts w:ascii="仿宋_GB2312" w:hAnsi="仿宋_GB2312" w:eastAsia="仿宋_GB2312" w:cs="仿宋_GB2312"/>
          <w:color w:val="000000" w:themeColor="text1"/>
          <w:sz w:val="33"/>
          <w:szCs w:val="33"/>
        </w:rPr>
      </w:pPr>
      <w:r>
        <w:rPr>
          <w:rFonts w:hint="eastAsia" w:ascii="黑体" w:hAnsi="黑体" w:eastAsia="黑体" w:cs="黑体"/>
          <w:color w:val="000000" w:themeColor="text1"/>
          <w:sz w:val="33"/>
          <w:szCs w:val="33"/>
        </w:rPr>
        <w:t>附件2</w:t>
      </w:r>
    </w:p>
    <w:p>
      <w:pPr>
        <w:spacing w:line="580" w:lineRule="exact"/>
        <w:jc w:val="center"/>
        <w:rPr>
          <w:rFonts w:ascii="方正小标宋_GBK" w:hAnsi="黑体" w:eastAsia="方正小标宋_GBK" w:cs="方正小标宋简体"/>
          <w:color w:val="000000" w:themeColor="text1"/>
          <w:sz w:val="38"/>
          <w:szCs w:val="38"/>
        </w:rPr>
      </w:pPr>
      <w:r>
        <w:rPr>
          <w:rFonts w:hint="eastAsia" w:ascii="方正小标宋_GBK" w:hAnsi="黑体" w:eastAsia="方正小标宋_GBK" w:cs="方正小标宋简体"/>
          <w:color w:val="000000" w:themeColor="text1"/>
          <w:sz w:val="38"/>
          <w:szCs w:val="38"/>
        </w:rPr>
        <w:t>2019年</w:t>
      </w:r>
      <w:r>
        <w:rPr>
          <w:rFonts w:hint="eastAsia" w:ascii="方正小标宋_GBK" w:hAnsi="仿宋" w:eastAsia="方正小标宋_GBK"/>
          <w:color w:val="000000" w:themeColor="text1"/>
          <w:sz w:val="38"/>
          <w:szCs w:val="38"/>
        </w:rPr>
        <w:t>宣传专项经费</w:t>
      </w:r>
      <w:r>
        <w:rPr>
          <w:rFonts w:hint="eastAsia" w:ascii="方正小标宋_GBK" w:hAnsi="黑体" w:eastAsia="方正小标宋_GBK" w:cs="方正小标宋简体"/>
          <w:color w:val="000000" w:themeColor="text1"/>
          <w:sz w:val="38"/>
          <w:szCs w:val="38"/>
        </w:rPr>
        <w:t>项目支出绩效评价报告</w:t>
      </w:r>
    </w:p>
    <w:p>
      <w:pPr>
        <w:spacing w:line="580" w:lineRule="exact"/>
        <w:ind w:firstLine="760" w:firstLineChars="200"/>
        <w:rPr>
          <w:rFonts w:ascii="方正小标宋_GBK" w:hAnsi="仿宋_GB2312" w:eastAsia="方正小标宋_GBK" w:cs="仿宋_GB2312"/>
          <w:color w:val="000000" w:themeColor="text1"/>
          <w:sz w:val="38"/>
          <w:szCs w:val="38"/>
        </w:rPr>
      </w:pPr>
    </w:p>
    <w:p>
      <w:pPr>
        <w:spacing w:line="580" w:lineRule="exact"/>
        <w:ind w:firstLine="640" w:firstLineChars="200"/>
        <w:rPr>
          <w:rFonts w:ascii="方正宋黑_GBK" w:hAnsi="仿宋" w:eastAsia="方正宋黑_GBK" w:cs="仿宋_GB2312"/>
          <w:color w:val="000000" w:themeColor="text1"/>
          <w:sz w:val="32"/>
          <w:szCs w:val="32"/>
        </w:rPr>
      </w:pPr>
      <w:r>
        <w:rPr>
          <w:rFonts w:hint="eastAsia" w:ascii="方正宋黑_GBK" w:hAnsi="仿宋" w:eastAsia="方正宋黑_GBK" w:cs="仿宋_GB2312"/>
          <w:color w:val="000000" w:themeColor="text1"/>
          <w:sz w:val="32"/>
          <w:szCs w:val="32"/>
        </w:rPr>
        <w:t>一、评价工作开展及项目情况</w:t>
      </w:r>
    </w:p>
    <w:p>
      <w:pPr>
        <w:spacing w:line="600" w:lineRule="exact"/>
        <w:ind w:firstLine="660" w:firstLineChars="200"/>
        <w:rPr>
          <w:rFonts w:ascii="方正仿宋_GBK" w:eastAsia="方正仿宋_GBK"/>
          <w:color w:val="000000" w:themeColor="text1"/>
          <w:sz w:val="33"/>
          <w:szCs w:val="33"/>
        </w:rPr>
      </w:pPr>
      <w:r>
        <w:rPr>
          <w:rFonts w:hint="eastAsia" w:ascii="方正仿宋_GBK" w:eastAsia="方正仿宋_GBK"/>
          <w:color w:val="000000" w:themeColor="text1"/>
          <w:sz w:val="33"/>
          <w:szCs w:val="33"/>
        </w:rPr>
        <w:t>宣传工作经费涉及媒体合作费、公益广告宣传、到成都参加“不负国家使命”大型展出经费。按照县委、县政府的统一安排部署，高举旗帜、引领方向、围绕中心、服务大局，狠抓落实等工作，充分发挥了宣传喉舌、凝聚民心的作用，助推全县各项中心工作的开展。</w:t>
      </w:r>
    </w:p>
    <w:p>
      <w:pPr>
        <w:ind w:firstLine="653" w:firstLineChars="198"/>
        <w:rPr>
          <w:rFonts w:ascii="方正仿宋_GBK" w:hAnsi="仿宋" w:eastAsia="方正仿宋_GBK" w:cs="仿宋_GB2312"/>
          <w:color w:val="000000" w:themeColor="text1"/>
          <w:sz w:val="33"/>
          <w:szCs w:val="33"/>
        </w:rPr>
      </w:pPr>
      <w:r>
        <w:rPr>
          <w:rFonts w:hint="eastAsia" w:ascii="方正仿宋_GBK" w:hAnsi="仿宋" w:eastAsia="方正仿宋_GBK" w:cs="仿宋_GB2312"/>
          <w:color w:val="000000" w:themeColor="text1"/>
          <w:sz w:val="33"/>
          <w:szCs w:val="33"/>
        </w:rPr>
        <w:t>我部对2019年宣传工作相关经费项目支出绩效进行了评价。按照年初预算、年中调整、年末梳理、全年监控的方法，开展绩效评价，项目支出绩效评价自评得分91分，同时充分运用绩效评价结果，不断加强项目资金管理。</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（一）资金计划、到位及使用情况（可用表格形式反映）。</w:t>
      </w:r>
    </w:p>
    <w:p>
      <w:pPr>
        <w:widowControl/>
        <w:snapToGrid w:val="0"/>
        <w:spacing w:line="600" w:lineRule="atLeast"/>
        <w:ind w:firstLine="720"/>
        <w:rPr>
          <w:rFonts w:ascii="楷体_GB2312" w:eastAsia="楷体_GB2312"/>
          <w:kern w:val="0"/>
          <w:sz w:val="32"/>
          <w:szCs w:val="32"/>
        </w:rPr>
      </w:pPr>
      <w:r>
        <w:rPr>
          <w:rFonts w:hint="eastAsia" w:ascii="楷体_GB2312" w:hAnsi="宋体" w:eastAsia="楷体_GB2312"/>
          <w:sz w:val="32"/>
          <w:szCs w:val="32"/>
          <w:lang w:val="zh-CN"/>
        </w:rPr>
        <w:t>1．资金计划。</w:t>
      </w:r>
      <w:r>
        <w:rPr>
          <w:rFonts w:hint="eastAsia" w:ascii="仿宋_GB2312" w:eastAsia="仿宋_GB2312"/>
          <w:kern w:val="0"/>
          <w:sz w:val="32"/>
          <w:szCs w:val="32"/>
        </w:rPr>
        <w:t>在项目计划阶段，根据工作方案，初步草拟了活动经费预算表。</w:t>
      </w:r>
    </w:p>
    <w:p>
      <w:pPr>
        <w:adjustRightInd w:val="0"/>
        <w:snapToGrid w:val="0"/>
        <w:spacing w:line="600" w:lineRule="exact"/>
        <w:ind w:firstLine="720"/>
        <w:rPr>
          <w:rFonts w:ascii="楷体_GB2312" w:hAnsi="宋体" w:eastAsia="楷体_GB2312"/>
          <w:sz w:val="32"/>
          <w:szCs w:val="32"/>
          <w:lang w:val="zh-CN"/>
        </w:rPr>
      </w:pPr>
      <w:r>
        <w:rPr>
          <w:rFonts w:hint="eastAsia" w:ascii="楷体_GB2312" w:hAnsi="宋体" w:eastAsia="楷体_GB2312"/>
          <w:sz w:val="32"/>
          <w:szCs w:val="32"/>
          <w:lang w:val="zh-CN"/>
        </w:rPr>
        <w:t>2．资金到位。</w:t>
      </w:r>
      <w:r>
        <w:rPr>
          <w:rFonts w:hint="eastAsia" w:ascii="仿宋_GB2312" w:eastAsia="仿宋_GB2312"/>
          <w:kern w:val="0"/>
          <w:sz w:val="32"/>
          <w:szCs w:val="32"/>
        </w:rPr>
        <w:t>我部到位资金</w:t>
      </w:r>
      <w:r>
        <w:rPr>
          <w:rFonts w:hint="eastAsia" w:eastAsia="仿宋_GB2312"/>
          <w:kern w:val="0"/>
          <w:sz w:val="32"/>
          <w:szCs w:val="32"/>
        </w:rPr>
        <w:t>98</w:t>
      </w:r>
      <w:r>
        <w:rPr>
          <w:rFonts w:hint="eastAsia" w:ascii="仿宋_GB2312" w:eastAsia="仿宋_GB2312"/>
          <w:kern w:val="0"/>
          <w:sz w:val="32"/>
          <w:szCs w:val="32"/>
        </w:rPr>
        <w:t>万元。</w:t>
      </w:r>
    </w:p>
    <w:p>
      <w:pPr>
        <w:adjustRightInd w:val="0"/>
        <w:snapToGrid w:val="0"/>
        <w:spacing w:line="600" w:lineRule="exact"/>
        <w:ind w:firstLine="720"/>
        <w:rPr>
          <w:rFonts w:ascii="仿宋_GB2312" w:eastAsia="仿宋_GB2312"/>
          <w:kern w:val="0"/>
          <w:sz w:val="32"/>
          <w:szCs w:val="32"/>
        </w:rPr>
      </w:pPr>
      <w:r>
        <w:rPr>
          <w:rFonts w:hint="eastAsia" w:ascii="楷体_GB2312" w:hAnsi="宋体" w:eastAsia="楷体_GB2312"/>
          <w:sz w:val="32"/>
          <w:szCs w:val="32"/>
          <w:lang w:val="zh-CN"/>
        </w:rPr>
        <w:t>3．资金使用。</w:t>
      </w:r>
      <w:r>
        <w:rPr>
          <w:rFonts w:hint="eastAsia" w:ascii="仿宋_GB2312" w:eastAsia="仿宋_GB2312"/>
          <w:kern w:val="0"/>
          <w:sz w:val="32"/>
          <w:szCs w:val="32"/>
        </w:rPr>
        <w:t>截止</w:t>
      </w:r>
      <w:r>
        <w:rPr>
          <w:kern w:val="0"/>
          <w:sz w:val="32"/>
          <w:szCs w:val="32"/>
        </w:rPr>
        <w:t>2019</w:t>
      </w:r>
      <w:r>
        <w:rPr>
          <w:rFonts w:hint="eastAsia" w:ascii="仿宋_GB2312" w:eastAsia="仿宋_GB2312"/>
          <w:kern w:val="0"/>
          <w:sz w:val="32"/>
          <w:szCs w:val="32"/>
        </w:rPr>
        <w:t>年</w:t>
      </w:r>
      <w:r>
        <w:rPr>
          <w:kern w:val="0"/>
          <w:sz w:val="32"/>
          <w:szCs w:val="32"/>
        </w:rPr>
        <w:t>12</w:t>
      </w:r>
      <w:r>
        <w:rPr>
          <w:rFonts w:hint="eastAsia" w:ascii="仿宋_GB2312" w:eastAsia="仿宋_GB2312"/>
          <w:kern w:val="0"/>
          <w:sz w:val="32"/>
          <w:szCs w:val="32"/>
        </w:rPr>
        <w:t>月</w:t>
      </w:r>
      <w:r>
        <w:rPr>
          <w:kern w:val="0"/>
          <w:sz w:val="32"/>
          <w:szCs w:val="32"/>
        </w:rPr>
        <w:t>31</w:t>
      </w:r>
      <w:r>
        <w:rPr>
          <w:rFonts w:hint="eastAsia" w:ascii="仿宋_GB2312" w:eastAsia="仿宋_GB2312"/>
          <w:kern w:val="0"/>
          <w:sz w:val="32"/>
          <w:szCs w:val="32"/>
        </w:rPr>
        <w:t>日我部此项目资金共支出98万元。资金支付范围、支付标准、支付进度、支付依据等都是合法合规。</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（二）项目财务管理情况。</w:t>
      </w:r>
    </w:p>
    <w:p>
      <w:pPr>
        <w:widowControl/>
        <w:spacing w:line="600" w:lineRule="atLeast"/>
        <w:ind w:firstLine="640"/>
        <w:jc w:val="left"/>
        <w:rPr>
          <w:rFonts w:ascii="仿宋_GB2312" w:eastAsia="仿宋_GB2312"/>
          <w:kern w:val="0"/>
          <w:sz w:val="32"/>
          <w:szCs w:val="32"/>
        </w:rPr>
      </w:pPr>
      <w:r>
        <w:rPr>
          <w:rFonts w:hint="eastAsia" w:ascii="仿宋_GB2312" w:eastAsia="仿宋_GB2312"/>
          <w:kern w:val="0"/>
          <w:sz w:val="32"/>
          <w:szCs w:val="32"/>
        </w:rPr>
        <w:t>我部在收到财政下达指标后，按照资金的用途，及时拨付各项款项。财务管理制度健全，严格执行财务管理制度，账务处理及时，会计核算规范。</w:t>
      </w:r>
    </w:p>
    <w:p>
      <w:pPr>
        <w:spacing w:line="580" w:lineRule="exact"/>
        <w:ind w:firstLine="660" w:firstLineChars="200"/>
        <w:rPr>
          <w:rFonts w:ascii="方正宋黑_GBK" w:hAnsi="仿宋" w:eastAsia="方正宋黑_GBK" w:cs="仿宋_GB2312"/>
          <w:color w:val="000000" w:themeColor="text1"/>
          <w:sz w:val="33"/>
          <w:szCs w:val="33"/>
        </w:rPr>
      </w:pPr>
      <w:r>
        <w:rPr>
          <w:rFonts w:hint="eastAsia" w:ascii="方正宋黑_GBK" w:hAnsi="仿宋" w:eastAsia="方正宋黑_GBK" w:cs="仿宋_GB2312"/>
          <w:color w:val="000000" w:themeColor="text1"/>
          <w:sz w:val="33"/>
          <w:szCs w:val="33"/>
        </w:rPr>
        <w:t>三、评价结论及绩效分析</w:t>
      </w:r>
    </w:p>
    <w:p>
      <w:pPr>
        <w:spacing w:line="580" w:lineRule="exact"/>
        <w:ind w:firstLine="660" w:firstLineChars="200"/>
        <w:rPr>
          <w:rFonts w:ascii="方正仿宋_GBK" w:hAnsi="仿宋" w:eastAsia="方正仿宋_GBK" w:cs="仿宋_GB2312"/>
          <w:color w:val="000000" w:themeColor="text1"/>
          <w:sz w:val="33"/>
          <w:szCs w:val="33"/>
        </w:rPr>
      </w:pPr>
      <w:r>
        <w:rPr>
          <w:rFonts w:hint="eastAsia" w:ascii="方正仿宋_GBK" w:hAnsi="仿宋" w:eastAsia="方正仿宋_GBK" w:cs="仿宋_GB2312"/>
          <w:color w:val="000000" w:themeColor="text1"/>
          <w:sz w:val="33"/>
          <w:szCs w:val="33"/>
        </w:rPr>
        <w:t>（一）评价结论</w:t>
      </w:r>
    </w:p>
    <w:p>
      <w:pPr>
        <w:spacing w:line="580" w:lineRule="exact"/>
        <w:ind w:firstLine="660" w:firstLineChars="200"/>
        <w:rPr>
          <w:rFonts w:ascii="方正仿宋_GBK" w:hAnsi="仿宋" w:eastAsia="方正仿宋_GBK" w:cs="仿宋_GB2312"/>
          <w:color w:val="000000" w:themeColor="text1"/>
          <w:sz w:val="33"/>
          <w:szCs w:val="33"/>
        </w:rPr>
      </w:pPr>
      <w:r>
        <w:rPr>
          <w:rFonts w:hint="eastAsia" w:ascii="方正仿宋_GBK" w:hAnsi="仿宋" w:eastAsia="方正仿宋_GBK" w:cs="仿宋_GB2312"/>
          <w:color w:val="000000" w:themeColor="text1"/>
          <w:sz w:val="33"/>
          <w:szCs w:val="33"/>
        </w:rPr>
        <w:t>项目绩效评价总体结论：通过项目实施，使</w:t>
      </w:r>
      <w:r>
        <w:rPr>
          <w:rFonts w:hint="eastAsia" w:ascii="方正仿宋_GBK" w:hAnsi="仿宋" w:eastAsia="方正仿宋_GBK"/>
          <w:color w:val="000000" w:themeColor="text1"/>
          <w:sz w:val="33"/>
          <w:szCs w:val="33"/>
        </w:rPr>
        <w:t>项目资金实现了经济效益、社会效益和生态效益，完成了年初设定的目标任务，</w:t>
      </w:r>
      <w:r>
        <w:rPr>
          <w:rFonts w:hint="eastAsia" w:ascii="方正仿宋_GBK" w:hAnsi="仿宋" w:eastAsia="方正仿宋_GBK"/>
          <w:color w:val="000000" w:themeColor="text1"/>
          <w:sz w:val="33"/>
          <w:szCs w:val="33"/>
          <w:lang w:val="zh-CN"/>
        </w:rPr>
        <w:t>支出绩效明显，</w:t>
      </w:r>
      <w:r>
        <w:rPr>
          <w:rFonts w:hint="eastAsia" w:ascii="方正仿宋_GBK" w:hAnsi="仿宋" w:eastAsia="方正仿宋_GBK" w:cs="仿宋_GB2312"/>
          <w:color w:val="000000" w:themeColor="text1"/>
          <w:sz w:val="33"/>
          <w:szCs w:val="33"/>
        </w:rPr>
        <w:t>保障了宣传工作落到实处。</w:t>
      </w:r>
    </w:p>
    <w:p>
      <w:pPr>
        <w:jc w:val="center"/>
        <w:rPr>
          <w:rFonts w:ascii="黑体" w:hAnsi="黑体" w:eastAsia="黑体"/>
          <w:color w:val="000000" w:themeColor="text1"/>
          <w:sz w:val="32"/>
          <w:szCs w:val="32"/>
        </w:rPr>
      </w:pPr>
      <w:r>
        <w:rPr>
          <w:rFonts w:hint="eastAsia" w:ascii="黑体" w:hAnsi="黑体" w:eastAsia="黑体"/>
          <w:color w:val="000000" w:themeColor="text1"/>
          <w:sz w:val="32"/>
          <w:szCs w:val="32"/>
        </w:rPr>
        <w:t>项目支出绩效评价得分表</w:t>
      </w:r>
    </w:p>
    <w:tbl>
      <w:tblPr>
        <w:tblStyle w:val="13"/>
        <w:tblW w:w="98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8"/>
        <w:gridCol w:w="2113"/>
        <w:gridCol w:w="3535"/>
        <w:gridCol w:w="1311"/>
        <w:gridCol w:w="1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618"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b/>
                <w:bCs/>
                <w:color w:val="000000" w:themeColor="text1"/>
                <w:kern w:val="0"/>
                <w:sz w:val="20"/>
                <w:szCs w:val="20"/>
              </w:rPr>
            </w:pPr>
            <w:r>
              <w:rPr>
                <w:rFonts w:hint="eastAsia" w:ascii="宋体" w:hAnsi="宋体" w:cs="宋体"/>
                <w:b/>
                <w:bCs/>
                <w:color w:val="000000" w:themeColor="text1"/>
                <w:kern w:val="0"/>
                <w:sz w:val="20"/>
                <w:szCs w:val="20"/>
              </w:rPr>
              <w:t>单位名称</w:t>
            </w:r>
            <w:r>
              <w:rPr>
                <w:rFonts w:ascii="宋体" w:hAnsi="宋体" w:cs="宋体"/>
                <w:b/>
                <w:bCs/>
                <w:color w:val="000000" w:themeColor="text1"/>
                <w:kern w:val="0"/>
                <w:sz w:val="20"/>
                <w:szCs w:val="20"/>
              </w:rPr>
              <w:t>/</w:t>
            </w:r>
          </w:p>
          <w:p>
            <w:pPr>
              <w:widowControl/>
              <w:spacing w:line="260" w:lineRule="exact"/>
              <w:jc w:val="center"/>
              <w:rPr>
                <w:rFonts w:ascii="宋体" w:cs="宋体"/>
                <w:b/>
                <w:bCs/>
                <w:color w:val="000000" w:themeColor="text1"/>
                <w:kern w:val="0"/>
                <w:sz w:val="20"/>
                <w:szCs w:val="20"/>
              </w:rPr>
            </w:pPr>
            <w:r>
              <w:rPr>
                <w:rFonts w:hint="eastAsia" w:ascii="宋体" w:hAnsi="宋体" w:cs="宋体"/>
                <w:b/>
                <w:bCs/>
                <w:color w:val="000000" w:themeColor="text1"/>
                <w:kern w:val="0"/>
                <w:sz w:val="20"/>
                <w:szCs w:val="20"/>
              </w:rPr>
              <w:t>项目名称</w:t>
            </w:r>
          </w:p>
        </w:tc>
        <w:tc>
          <w:tcPr>
            <w:tcW w:w="8270"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b/>
                <w:bCs/>
                <w:color w:val="000000" w:themeColor="text1"/>
                <w:kern w:val="0"/>
                <w:sz w:val="18"/>
                <w:szCs w:val="18"/>
              </w:rPr>
            </w:pPr>
            <w:r>
              <w:rPr>
                <w:rFonts w:hint="eastAsia" w:ascii="宋体" w:hAnsi="宋体" w:cs="宋体"/>
                <w:b/>
                <w:bCs/>
                <w:color w:val="000000" w:themeColor="text1"/>
                <w:kern w:val="0"/>
                <w:sz w:val="18"/>
                <w:szCs w:val="18"/>
              </w:rPr>
              <w:t>财政监督检查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1618"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b/>
                <w:bCs/>
                <w:color w:val="000000" w:themeColor="text1"/>
                <w:kern w:val="0"/>
                <w:sz w:val="20"/>
                <w:szCs w:val="20"/>
              </w:rPr>
            </w:pPr>
            <w:r>
              <w:rPr>
                <w:rFonts w:hint="eastAsia" w:ascii="宋体" w:hAnsi="宋体" w:cs="宋体"/>
                <w:b/>
                <w:bCs/>
                <w:color w:val="000000" w:themeColor="text1"/>
                <w:kern w:val="0"/>
                <w:sz w:val="20"/>
                <w:szCs w:val="20"/>
              </w:rPr>
              <w:t>一级</w:t>
            </w:r>
          </w:p>
          <w:p>
            <w:pPr>
              <w:widowControl/>
              <w:spacing w:line="260" w:lineRule="exact"/>
              <w:jc w:val="center"/>
              <w:rPr>
                <w:rFonts w:ascii="宋体" w:cs="宋体"/>
                <w:b/>
                <w:bCs/>
                <w:color w:val="000000" w:themeColor="text1"/>
                <w:kern w:val="0"/>
                <w:sz w:val="20"/>
                <w:szCs w:val="20"/>
              </w:rPr>
            </w:pPr>
            <w:r>
              <w:rPr>
                <w:rFonts w:hint="eastAsia" w:ascii="宋体" w:hAnsi="宋体" w:cs="宋体"/>
                <w:b/>
                <w:bCs/>
                <w:color w:val="000000" w:themeColor="text1"/>
                <w:kern w:val="0"/>
                <w:sz w:val="20"/>
                <w:szCs w:val="20"/>
              </w:rPr>
              <w:t>指标</w:t>
            </w:r>
          </w:p>
        </w:tc>
        <w:tc>
          <w:tcPr>
            <w:tcW w:w="2113"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b/>
                <w:bCs/>
                <w:color w:val="000000" w:themeColor="text1"/>
                <w:kern w:val="0"/>
                <w:sz w:val="20"/>
                <w:szCs w:val="20"/>
              </w:rPr>
            </w:pPr>
            <w:r>
              <w:rPr>
                <w:rFonts w:hint="eastAsia" w:ascii="宋体" w:hAnsi="宋体" w:cs="宋体"/>
                <w:b/>
                <w:bCs/>
                <w:color w:val="000000" w:themeColor="text1"/>
                <w:kern w:val="0"/>
                <w:sz w:val="20"/>
                <w:szCs w:val="20"/>
              </w:rPr>
              <w:t>二级</w:t>
            </w:r>
          </w:p>
          <w:p>
            <w:pPr>
              <w:widowControl/>
              <w:spacing w:line="260" w:lineRule="exact"/>
              <w:jc w:val="center"/>
              <w:rPr>
                <w:rFonts w:ascii="宋体" w:cs="宋体"/>
                <w:b/>
                <w:bCs/>
                <w:color w:val="000000" w:themeColor="text1"/>
                <w:kern w:val="0"/>
                <w:sz w:val="20"/>
                <w:szCs w:val="20"/>
              </w:rPr>
            </w:pPr>
            <w:r>
              <w:rPr>
                <w:rFonts w:hint="eastAsia" w:ascii="宋体" w:hAnsi="宋体" w:cs="宋体"/>
                <w:b/>
                <w:bCs/>
                <w:color w:val="000000" w:themeColor="text1"/>
                <w:kern w:val="0"/>
                <w:sz w:val="20"/>
                <w:szCs w:val="20"/>
              </w:rPr>
              <w:t>指标</w:t>
            </w: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b/>
                <w:bCs/>
                <w:color w:val="000000" w:themeColor="text1"/>
                <w:kern w:val="0"/>
                <w:sz w:val="20"/>
                <w:szCs w:val="20"/>
              </w:rPr>
            </w:pPr>
            <w:r>
              <w:rPr>
                <w:rFonts w:hint="eastAsia" w:ascii="宋体" w:hAnsi="宋体" w:cs="宋体"/>
                <w:b/>
                <w:bCs/>
                <w:color w:val="000000" w:themeColor="text1"/>
                <w:kern w:val="0"/>
                <w:sz w:val="20"/>
                <w:szCs w:val="20"/>
              </w:rPr>
              <w:t>三级指标</w:t>
            </w:r>
          </w:p>
        </w:tc>
        <w:tc>
          <w:tcPr>
            <w:tcW w:w="131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b/>
                <w:bCs/>
                <w:color w:val="000000" w:themeColor="text1"/>
                <w:kern w:val="0"/>
                <w:sz w:val="20"/>
                <w:szCs w:val="20"/>
              </w:rPr>
            </w:pPr>
            <w:r>
              <w:rPr>
                <w:rFonts w:hint="eastAsia" w:ascii="宋体" w:hAnsi="宋体" w:cs="宋体"/>
                <w:b/>
                <w:bCs/>
                <w:color w:val="000000" w:themeColor="text1"/>
                <w:kern w:val="0"/>
                <w:sz w:val="20"/>
                <w:szCs w:val="20"/>
              </w:rPr>
              <w:t>分值</w:t>
            </w:r>
          </w:p>
        </w:tc>
        <w:tc>
          <w:tcPr>
            <w:tcW w:w="131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b/>
                <w:bCs/>
                <w:color w:val="000000" w:themeColor="text1"/>
                <w:kern w:val="0"/>
                <w:sz w:val="18"/>
                <w:szCs w:val="18"/>
              </w:rPr>
            </w:pPr>
            <w:r>
              <w:rPr>
                <w:rFonts w:hint="eastAsia" w:ascii="宋体" w:hAnsi="宋体" w:cs="宋体"/>
                <w:b/>
                <w:bCs/>
                <w:color w:val="000000" w:themeColor="text1"/>
                <w:kern w:val="0"/>
                <w:sz w:val="18"/>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18" w:type="dxa"/>
            <w:vMerge w:val="restart"/>
            <w:tcBorders>
              <w:top w:val="single" w:color="auto" w:sz="4" w:space="0"/>
              <w:left w:val="single" w:color="auto" w:sz="4" w:space="0"/>
              <w:bottom w:val="single" w:color="auto" w:sz="4" w:space="0"/>
              <w:right w:val="single" w:color="auto" w:sz="4" w:space="0"/>
            </w:tcBorders>
            <w:textDirection w:val="tbRlV"/>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w:t>
            </w:r>
            <w:r>
              <w:rPr>
                <w:rFonts w:ascii="宋体" w:hAnsi="宋体" w:cs="宋体"/>
                <w:color w:val="000000" w:themeColor="text1"/>
                <w:kern w:val="0"/>
                <w:sz w:val="20"/>
                <w:szCs w:val="20"/>
              </w:rPr>
              <w:t>20</w:t>
            </w:r>
            <w:r>
              <w:rPr>
                <w:rFonts w:hint="eastAsia" w:ascii="宋体" w:hAnsi="宋体" w:cs="宋体"/>
                <w:color w:val="000000" w:themeColor="text1"/>
                <w:kern w:val="0"/>
                <w:sz w:val="20"/>
                <w:szCs w:val="20"/>
              </w:rPr>
              <w:t>分）</w:t>
            </w:r>
            <w:r>
              <w:rPr>
                <w:rFonts w:ascii="宋体" w:cs="宋体"/>
                <w:color w:val="000000" w:themeColor="text1"/>
                <w:kern w:val="0"/>
                <w:sz w:val="20"/>
                <w:szCs w:val="20"/>
              </w:rPr>
              <w:br w:type="textWrapping"/>
            </w:r>
            <w:r>
              <w:rPr>
                <w:rFonts w:hint="eastAsia" w:ascii="宋体" w:hAnsi="宋体" w:cs="宋体"/>
                <w:color w:val="000000" w:themeColor="text1"/>
                <w:kern w:val="0"/>
                <w:sz w:val="20"/>
                <w:szCs w:val="20"/>
              </w:rPr>
              <w:t>项目决策</w:t>
            </w:r>
          </w:p>
        </w:tc>
        <w:tc>
          <w:tcPr>
            <w:tcW w:w="2113" w:type="dxa"/>
            <w:vMerge w:val="restart"/>
            <w:tcBorders>
              <w:top w:val="single" w:color="auto" w:sz="4" w:space="0"/>
              <w:left w:val="single" w:color="auto" w:sz="4" w:space="0"/>
              <w:bottom w:val="single" w:color="auto" w:sz="4" w:space="0"/>
              <w:right w:val="single" w:color="auto" w:sz="4" w:space="0"/>
            </w:tcBorders>
            <w:textDirection w:val="tbRlV"/>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w:t>
            </w:r>
            <w:r>
              <w:rPr>
                <w:rFonts w:ascii="宋体" w:hAnsi="宋体" w:cs="宋体"/>
                <w:color w:val="000000" w:themeColor="text1"/>
                <w:kern w:val="0"/>
                <w:sz w:val="20"/>
                <w:szCs w:val="20"/>
              </w:rPr>
              <w:t>10</w:t>
            </w:r>
            <w:r>
              <w:rPr>
                <w:rFonts w:hint="eastAsia" w:ascii="宋体" w:hAnsi="宋体" w:cs="宋体"/>
                <w:color w:val="000000" w:themeColor="text1"/>
                <w:kern w:val="0"/>
                <w:sz w:val="20"/>
                <w:szCs w:val="20"/>
              </w:rPr>
              <w:t>分）</w:t>
            </w:r>
            <w:r>
              <w:rPr>
                <w:rFonts w:ascii="宋体" w:cs="宋体"/>
                <w:color w:val="000000" w:themeColor="text1"/>
                <w:kern w:val="0"/>
                <w:sz w:val="20"/>
                <w:szCs w:val="20"/>
              </w:rPr>
              <w:br w:type="textWrapping"/>
            </w:r>
            <w:r>
              <w:rPr>
                <w:rFonts w:hint="eastAsia" w:ascii="宋体" w:hAnsi="宋体" w:cs="宋体"/>
                <w:color w:val="000000" w:themeColor="text1"/>
                <w:kern w:val="0"/>
                <w:sz w:val="20"/>
                <w:szCs w:val="20"/>
              </w:rPr>
              <w:t>科学决策</w:t>
            </w: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必要性</w:t>
            </w:r>
            <w:r>
              <w:rPr>
                <w:rFonts w:ascii="宋体" w:cs="宋体"/>
                <w:color w:val="000000" w:themeColor="text1"/>
                <w:kern w:val="0"/>
                <w:sz w:val="20"/>
                <w:szCs w:val="20"/>
              </w:rPr>
              <w:br w:type="textWrapping"/>
            </w:r>
            <w:r>
              <w:rPr>
                <w:rFonts w:hint="eastAsia" w:ascii="宋体" w:hAnsi="宋体" w:cs="宋体"/>
                <w:color w:val="000000" w:themeColor="text1"/>
                <w:kern w:val="0"/>
                <w:sz w:val="20"/>
                <w:szCs w:val="20"/>
              </w:rPr>
              <w:t>（政策依据</w:t>
            </w:r>
            <w:r>
              <w:rPr>
                <w:rFonts w:ascii="宋体" w:hAnsi="宋体" w:cs="宋体"/>
                <w:color w:val="000000" w:themeColor="text1"/>
                <w:kern w:val="0"/>
                <w:sz w:val="20"/>
                <w:szCs w:val="20"/>
              </w:rPr>
              <w:t>)</w:t>
            </w:r>
          </w:p>
        </w:tc>
        <w:tc>
          <w:tcPr>
            <w:tcW w:w="131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ascii="宋体" w:hAnsi="宋体" w:cs="宋体"/>
                <w:color w:val="000000" w:themeColor="text1"/>
                <w:kern w:val="0"/>
                <w:sz w:val="20"/>
                <w:szCs w:val="20"/>
              </w:rPr>
              <w:t>5</w:t>
            </w:r>
          </w:p>
        </w:tc>
        <w:tc>
          <w:tcPr>
            <w:tcW w:w="1311" w:type="dxa"/>
            <w:tcBorders>
              <w:top w:val="single" w:color="auto" w:sz="4" w:space="0"/>
              <w:left w:val="single" w:color="auto" w:sz="4" w:space="0"/>
              <w:bottom w:val="single" w:color="auto" w:sz="4" w:space="0"/>
              <w:right w:val="single" w:color="auto" w:sz="4" w:space="0"/>
            </w:tcBorders>
          </w:tcPr>
          <w:p>
            <w:pPr>
              <w:widowControl/>
              <w:spacing w:line="260" w:lineRule="exact"/>
              <w:jc w:val="center"/>
              <w:rPr>
                <w:rFonts w:ascii="宋体" w:cs="宋体"/>
                <w:color w:val="000000" w:themeColor="text1"/>
                <w:kern w:val="0"/>
                <w:szCs w:val="21"/>
              </w:rPr>
            </w:pPr>
            <w:r>
              <w:rPr>
                <w:rFonts w:ascii="宋体" w:hAnsi="宋体" w:cs="宋体"/>
                <w:color w:val="000000" w:themeColor="text1"/>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211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可行性</w:t>
            </w:r>
            <w:r>
              <w:rPr>
                <w:rFonts w:ascii="宋体" w:cs="宋体"/>
                <w:color w:val="000000" w:themeColor="text1"/>
                <w:kern w:val="0"/>
                <w:sz w:val="20"/>
                <w:szCs w:val="20"/>
              </w:rPr>
              <w:br w:type="textWrapping"/>
            </w:r>
            <w:r>
              <w:rPr>
                <w:rFonts w:hint="eastAsia" w:ascii="宋体" w:hAnsi="宋体" w:cs="宋体"/>
                <w:color w:val="000000" w:themeColor="text1"/>
                <w:kern w:val="0"/>
                <w:sz w:val="20"/>
                <w:szCs w:val="20"/>
              </w:rPr>
              <w:t>（政策完善）</w:t>
            </w:r>
          </w:p>
        </w:tc>
        <w:tc>
          <w:tcPr>
            <w:tcW w:w="131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ascii="宋体" w:hAnsi="宋体" w:cs="宋体"/>
                <w:color w:val="000000" w:themeColor="text1"/>
                <w:kern w:val="0"/>
                <w:sz w:val="20"/>
                <w:szCs w:val="20"/>
              </w:rPr>
              <w:t>5</w:t>
            </w:r>
          </w:p>
        </w:tc>
        <w:tc>
          <w:tcPr>
            <w:tcW w:w="1311" w:type="dxa"/>
            <w:tcBorders>
              <w:top w:val="single" w:color="auto" w:sz="4" w:space="0"/>
              <w:left w:val="single" w:color="auto" w:sz="4" w:space="0"/>
              <w:bottom w:val="single" w:color="auto" w:sz="4" w:space="0"/>
              <w:right w:val="single" w:color="auto" w:sz="4" w:space="0"/>
            </w:tcBorders>
          </w:tcPr>
          <w:p>
            <w:pPr>
              <w:widowControl/>
              <w:spacing w:line="260" w:lineRule="exact"/>
              <w:jc w:val="center"/>
              <w:rPr>
                <w:rFonts w:ascii="宋体" w:cs="宋体"/>
                <w:color w:val="000000" w:themeColor="text1"/>
                <w:kern w:val="0"/>
                <w:szCs w:val="21"/>
              </w:rPr>
            </w:pPr>
            <w:r>
              <w:rPr>
                <w:rFonts w:ascii="宋体" w:hAnsi="宋体" w:cs="宋体"/>
                <w:color w:val="000000" w:themeColor="text1"/>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6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2113" w:type="dxa"/>
            <w:vMerge w:val="restart"/>
            <w:tcBorders>
              <w:top w:val="single" w:color="auto" w:sz="4" w:space="0"/>
              <w:left w:val="single" w:color="auto" w:sz="4" w:space="0"/>
              <w:bottom w:val="single" w:color="auto" w:sz="4" w:space="0"/>
              <w:right w:val="single" w:color="auto" w:sz="4" w:space="0"/>
            </w:tcBorders>
            <w:textDirection w:val="tbRlV"/>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w:t>
            </w:r>
            <w:r>
              <w:rPr>
                <w:rFonts w:ascii="宋体" w:hAnsi="宋体" w:cs="宋体"/>
                <w:color w:val="000000" w:themeColor="text1"/>
                <w:kern w:val="0"/>
                <w:sz w:val="20"/>
                <w:szCs w:val="20"/>
              </w:rPr>
              <w:t>10</w:t>
            </w:r>
            <w:r>
              <w:rPr>
                <w:rFonts w:hint="eastAsia" w:ascii="宋体" w:hAnsi="宋体" w:cs="宋体"/>
                <w:color w:val="000000" w:themeColor="text1"/>
                <w:kern w:val="0"/>
                <w:sz w:val="20"/>
                <w:szCs w:val="20"/>
              </w:rPr>
              <w:t>）</w:t>
            </w:r>
            <w:r>
              <w:rPr>
                <w:rFonts w:ascii="宋体" w:cs="宋体"/>
                <w:color w:val="000000" w:themeColor="text1"/>
                <w:kern w:val="0"/>
                <w:sz w:val="20"/>
                <w:szCs w:val="20"/>
              </w:rPr>
              <w:br w:type="textWrapping"/>
            </w:r>
            <w:r>
              <w:rPr>
                <w:rFonts w:hint="eastAsia" w:ascii="宋体" w:hAnsi="宋体" w:cs="宋体"/>
                <w:color w:val="000000" w:themeColor="text1"/>
                <w:kern w:val="0"/>
                <w:sz w:val="20"/>
                <w:szCs w:val="20"/>
              </w:rPr>
              <w:t>绩效目标</w:t>
            </w:r>
            <w:r>
              <w:rPr>
                <w:rFonts w:ascii="宋体" w:hAnsi="宋体" w:cs="宋体"/>
                <w:color w:val="000000" w:themeColor="text1"/>
                <w:kern w:val="0"/>
                <w:sz w:val="20"/>
                <w:szCs w:val="20"/>
              </w:rPr>
              <w:t xml:space="preserve">    </w:t>
            </w: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明确性</w:t>
            </w:r>
          </w:p>
        </w:tc>
        <w:tc>
          <w:tcPr>
            <w:tcW w:w="131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ascii="宋体" w:hAnsi="宋体" w:cs="宋体"/>
                <w:color w:val="000000" w:themeColor="text1"/>
                <w:kern w:val="0"/>
                <w:sz w:val="20"/>
                <w:szCs w:val="20"/>
              </w:rPr>
              <w:t>5</w:t>
            </w:r>
          </w:p>
        </w:tc>
        <w:tc>
          <w:tcPr>
            <w:tcW w:w="1311" w:type="dxa"/>
            <w:tcBorders>
              <w:top w:val="single" w:color="auto" w:sz="4" w:space="0"/>
              <w:left w:val="single" w:color="auto" w:sz="4" w:space="0"/>
              <w:bottom w:val="single" w:color="auto" w:sz="4" w:space="0"/>
              <w:right w:val="single" w:color="auto" w:sz="4" w:space="0"/>
            </w:tcBorders>
          </w:tcPr>
          <w:p>
            <w:pPr>
              <w:widowControl/>
              <w:spacing w:line="260" w:lineRule="exact"/>
              <w:jc w:val="center"/>
              <w:rPr>
                <w:rFonts w:ascii="宋体" w:cs="宋体"/>
                <w:color w:val="000000" w:themeColor="text1"/>
                <w:kern w:val="0"/>
                <w:szCs w:val="21"/>
              </w:rPr>
            </w:pPr>
            <w:r>
              <w:rPr>
                <w:rFonts w:ascii="宋体" w:hAnsi="宋体" w:cs="宋体"/>
                <w:color w:val="000000" w:themeColor="text1"/>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6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211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合理性</w:t>
            </w:r>
          </w:p>
        </w:tc>
        <w:tc>
          <w:tcPr>
            <w:tcW w:w="131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ascii="宋体" w:hAnsi="宋体" w:cs="宋体"/>
                <w:color w:val="000000" w:themeColor="text1"/>
                <w:kern w:val="0"/>
                <w:sz w:val="20"/>
                <w:szCs w:val="20"/>
              </w:rPr>
              <w:t>5</w:t>
            </w:r>
          </w:p>
        </w:tc>
        <w:tc>
          <w:tcPr>
            <w:tcW w:w="1311" w:type="dxa"/>
            <w:tcBorders>
              <w:top w:val="single" w:color="auto" w:sz="4" w:space="0"/>
              <w:left w:val="single" w:color="auto" w:sz="4" w:space="0"/>
              <w:bottom w:val="single" w:color="auto" w:sz="4" w:space="0"/>
              <w:right w:val="single" w:color="auto" w:sz="4" w:space="0"/>
            </w:tcBorders>
          </w:tcPr>
          <w:p>
            <w:pPr>
              <w:widowControl/>
              <w:spacing w:line="260" w:lineRule="exact"/>
              <w:jc w:val="center"/>
              <w:rPr>
                <w:rFonts w:ascii="宋体" w:cs="宋体"/>
                <w:color w:val="000000" w:themeColor="text1"/>
                <w:kern w:val="0"/>
                <w:szCs w:val="21"/>
              </w:rPr>
            </w:pPr>
            <w:r>
              <w:rPr>
                <w:rFonts w:ascii="宋体" w:hAnsi="宋体" w:cs="宋体"/>
                <w:color w:val="000000" w:themeColor="text1"/>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618" w:type="dxa"/>
            <w:vMerge w:val="restart"/>
            <w:tcBorders>
              <w:top w:val="single" w:color="auto" w:sz="4" w:space="0"/>
              <w:left w:val="single" w:color="auto" w:sz="4" w:space="0"/>
              <w:bottom w:val="single" w:color="auto" w:sz="4" w:space="0"/>
              <w:right w:val="single" w:color="auto" w:sz="4" w:space="0"/>
            </w:tcBorders>
            <w:textDirection w:val="tbRlV"/>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w:t>
            </w:r>
            <w:r>
              <w:rPr>
                <w:rFonts w:ascii="宋体" w:hAnsi="宋体" w:cs="宋体"/>
                <w:color w:val="000000" w:themeColor="text1"/>
                <w:kern w:val="0"/>
                <w:sz w:val="20"/>
                <w:szCs w:val="20"/>
              </w:rPr>
              <w:t>10</w:t>
            </w:r>
            <w:r>
              <w:rPr>
                <w:rFonts w:hint="eastAsia" w:ascii="宋体" w:hAnsi="宋体" w:cs="宋体"/>
                <w:color w:val="000000" w:themeColor="text1"/>
                <w:kern w:val="0"/>
                <w:sz w:val="20"/>
                <w:szCs w:val="20"/>
              </w:rPr>
              <w:t>分）</w:t>
            </w:r>
            <w:r>
              <w:rPr>
                <w:rFonts w:ascii="宋体" w:cs="宋体"/>
                <w:color w:val="000000" w:themeColor="text1"/>
                <w:kern w:val="0"/>
                <w:sz w:val="20"/>
                <w:szCs w:val="20"/>
              </w:rPr>
              <w:br w:type="textWrapping"/>
            </w:r>
            <w:r>
              <w:rPr>
                <w:rFonts w:hint="eastAsia" w:ascii="宋体" w:hAnsi="宋体" w:cs="宋体"/>
                <w:color w:val="000000" w:themeColor="text1"/>
                <w:kern w:val="0"/>
                <w:sz w:val="20"/>
                <w:szCs w:val="20"/>
              </w:rPr>
              <w:t>项目管理</w:t>
            </w:r>
          </w:p>
        </w:tc>
        <w:tc>
          <w:tcPr>
            <w:tcW w:w="2113" w:type="dxa"/>
            <w:vMerge w:val="restart"/>
            <w:tcBorders>
              <w:top w:val="single" w:color="auto" w:sz="4" w:space="0"/>
              <w:left w:val="single" w:color="auto" w:sz="4" w:space="0"/>
              <w:bottom w:val="single" w:color="auto" w:sz="4" w:space="0"/>
              <w:right w:val="single" w:color="auto" w:sz="4" w:space="0"/>
            </w:tcBorders>
            <w:textDirection w:val="tbRlV"/>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w:t>
            </w:r>
            <w:r>
              <w:rPr>
                <w:rFonts w:ascii="宋体" w:hAnsi="宋体" w:cs="宋体"/>
                <w:color w:val="000000" w:themeColor="text1"/>
                <w:kern w:val="0"/>
                <w:sz w:val="20"/>
                <w:szCs w:val="20"/>
              </w:rPr>
              <w:t>7</w:t>
            </w:r>
            <w:r>
              <w:rPr>
                <w:rFonts w:hint="eastAsia" w:ascii="宋体" w:hAnsi="宋体" w:cs="宋体"/>
                <w:color w:val="000000" w:themeColor="text1"/>
                <w:kern w:val="0"/>
                <w:sz w:val="20"/>
                <w:szCs w:val="20"/>
              </w:rPr>
              <w:t>分）</w:t>
            </w:r>
            <w:r>
              <w:rPr>
                <w:rFonts w:ascii="宋体" w:cs="宋体"/>
                <w:color w:val="000000" w:themeColor="text1"/>
                <w:kern w:val="0"/>
                <w:sz w:val="20"/>
                <w:szCs w:val="20"/>
              </w:rPr>
              <w:br w:type="textWrapping"/>
            </w:r>
            <w:r>
              <w:rPr>
                <w:rFonts w:hint="eastAsia" w:ascii="宋体" w:hAnsi="宋体" w:cs="宋体"/>
                <w:color w:val="000000" w:themeColor="text1"/>
                <w:kern w:val="0"/>
                <w:sz w:val="20"/>
                <w:szCs w:val="20"/>
              </w:rPr>
              <w:t>资金管理</w:t>
            </w: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资金分配</w:t>
            </w:r>
          </w:p>
        </w:tc>
        <w:tc>
          <w:tcPr>
            <w:tcW w:w="131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ascii="宋体" w:hAnsi="宋体" w:cs="宋体"/>
                <w:color w:val="000000" w:themeColor="text1"/>
                <w:kern w:val="0"/>
                <w:sz w:val="20"/>
                <w:szCs w:val="20"/>
              </w:rPr>
              <w:t>3</w:t>
            </w:r>
          </w:p>
        </w:tc>
        <w:tc>
          <w:tcPr>
            <w:tcW w:w="1311" w:type="dxa"/>
            <w:tcBorders>
              <w:top w:val="single" w:color="auto" w:sz="4" w:space="0"/>
              <w:left w:val="single" w:color="auto" w:sz="4" w:space="0"/>
              <w:bottom w:val="single" w:color="auto" w:sz="4" w:space="0"/>
              <w:right w:val="single" w:color="auto" w:sz="4" w:space="0"/>
            </w:tcBorders>
          </w:tcPr>
          <w:p>
            <w:pPr>
              <w:widowControl/>
              <w:spacing w:line="260" w:lineRule="exact"/>
              <w:jc w:val="center"/>
              <w:rPr>
                <w:rFonts w:ascii="宋体" w:cs="宋体"/>
                <w:color w:val="000000" w:themeColor="text1"/>
                <w:kern w:val="0"/>
                <w:szCs w:val="21"/>
              </w:rPr>
            </w:pPr>
            <w:r>
              <w:rPr>
                <w:rFonts w:ascii="宋体" w:hAnsi="宋体" w:cs="宋体"/>
                <w:color w:val="000000" w:themeColor="text1"/>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6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2113" w:type="dxa"/>
            <w:vMerge w:val="continue"/>
            <w:tcBorders>
              <w:top w:val="single" w:color="auto" w:sz="4" w:space="0"/>
              <w:left w:val="single" w:color="auto" w:sz="4" w:space="0"/>
              <w:bottom w:val="single" w:color="auto" w:sz="4" w:space="0"/>
              <w:right w:val="single" w:color="auto" w:sz="4" w:space="0"/>
            </w:tcBorders>
            <w:textDirection w:val="tbRlV"/>
            <w:vAlign w:val="center"/>
          </w:tcPr>
          <w:p>
            <w:pPr>
              <w:widowControl/>
              <w:spacing w:line="260" w:lineRule="exact"/>
              <w:jc w:val="center"/>
              <w:rPr>
                <w:rFonts w:ascii="宋体" w:cs="宋体"/>
                <w:color w:val="000000" w:themeColor="text1"/>
                <w:kern w:val="0"/>
                <w:sz w:val="20"/>
                <w:szCs w:val="20"/>
              </w:rPr>
            </w:pP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资金使用</w:t>
            </w:r>
          </w:p>
        </w:tc>
        <w:tc>
          <w:tcPr>
            <w:tcW w:w="131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ascii="宋体" w:hAnsi="宋体" w:cs="宋体"/>
                <w:color w:val="000000" w:themeColor="text1"/>
                <w:kern w:val="0"/>
                <w:sz w:val="20"/>
                <w:szCs w:val="20"/>
              </w:rPr>
              <w:t>4</w:t>
            </w:r>
          </w:p>
        </w:tc>
        <w:tc>
          <w:tcPr>
            <w:tcW w:w="1311" w:type="dxa"/>
            <w:tcBorders>
              <w:top w:val="single" w:color="auto" w:sz="4" w:space="0"/>
              <w:left w:val="single" w:color="auto" w:sz="4" w:space="0"/>
              <w:bottom w:val="single" w:color="auto" w:sz="4" w:space="0"/>
              <w:right w:val="single" w:color="auto" w:sz="4" w:space="0"/>
            </w:tcBorders>
          </w:tcPr>
          <w:p>
            <w:pPr>
              <w:widowControl/>
              <w:spacing w:line="260" w:lineRule="exact"/>
              <w:jc w:val="center"/>
              <w:rPr>
                <w:rFonts w:ascii="宋体" w:cs="宋体"/>
                <w:color w:val="000000" w:themeColor="text1"/>
                <w:kern w:val="0"/>
                <w:szCs w:val="21"/>
              </w:rPr>
            </w:pPr>
            <w:r>
              <w:rPr>
                <w:rFonts w:ascii="宋体" w:hAnsi="宋体" w:cs="宋体"/>
                <w:color w:val="000000" w:themeColor="text1"/>
                <w:kern w:val="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6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2113" w:type="dxa"/>
            <w:tcBorders>
              <w:top w:val="single" w:color="auto" w:sz="4" w:space="0"/>
              <w:left w:val="single" w:color="auto" w:sz="4" w:space="0"/>
              <w:bottom w:val="single" w:color="auto" w:sz="4" w:space="0"/>
              <w:right w:val="single" w:color="auto" w:sz="4" w:space="0"/>
            </w:tcBorders>
            <w:textDirection w:val="tbRlV"/>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w:t>
            </w:r>
            <w:r>
              <w:rPr>
                <w:rFonts w:ascii="宋体" w:hAnsi="宋体" w:cs="宋体"/>
                <w:color w:val="000000" w:themeColor="text1"/>
                <w:kern w:val="0"/>
                <w:sz w:val="20"/>
                <w:szCs w:val="20"/>
              </w:rPr>
              <w:t>3</w:t>
            </w:r>
            <w:r>
              <w:rPr>
                <w:rFonts w:hint="eastAsia" w:ascii="宋体" w:hAnsi="宋体" w:cs="宋体"/>
                <w:color w:val="000000" w:themeColor="text1"/>
                <w:kern w:val="0"/>
                <w:sz w:val="20"/>
                <w:szCs w:val="20"/>
              </w:rPr>
              <w:t>分）</w:t>
            </w:r>
            <w:r>
              <w:rPr>
                <w:rFonts w:ascii="宋体" w:cs="宋体"/>
                <w:color w:val="000000" w:themeColor="text1"/>
                <w:kern w:val="0"/>
                <w:sz w:val="20"/>
                <w:szCs w:val="20"/>
              </w:rPr>
              <w:br w:type="textWrapping"/>
            </w:r>
            <w:r>
              <w:rPr>
                <w:rFonts w:hint="eastAsia" w:ascii="宋体" w:hAnsi="宋体" w:cs="宋体"/>
                <w:color w:val="000000" w:themeColor="text1"/>
                <w:kern w:val="0"/>
                <w:sz w:val="20"/>
                <w:szCs w:val="20"/>
              </w:rPr>
              <w:t>项目执行</w:t>
            </w: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执行规范</w:t>
            </w:r>
          </w:p>
        </w:tc>
        <w:tc>
          <w:tcPr>
            <w:tcW w:w="131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ascii="宋体" w:hAnsi="宋体" w:cs="宋体"/>
                <w:color w:val="000000" w:themeColor="text1"/>
                <w:kern w:val="0"/>
                <w:sz w:val="20"/>
                <w:szCs w:val="20"/>
              </w:rPr>
              <w:t>3</w:t>
            </w:r>
          </w:p>
        </w:tc>
        <w:tc>
          <w:tcPr>
            <w:tcW w:w="1311" w:type="dxa"/>
            <w:tcBorders>
              <w:top w:val="single" w:color="auto" w:sz="4" w:space="0"/>
              <w:left w:val="single" w:color="auto" w:sz="4" w:space="0"/>
              <w:bottom w:val="single" w:color="auto" w:sz="4" w:space="0"/>
              <w:right w:val="single" w:color="auto" w:sz="4" w:space="0"/>
            </w:tcBorders>
          </w:tcPr>
          <w:p>
            <w:pPr>
              <w:widowControl/>
              <w:spacing w:line="260" w:lineRule="exact"/>
              <w:jc w:val="center"/>
              <w:rPr>
                <w:rFonts w:ascii="宋体" w:cs="宋体"/>
                <w:color w:val="000000" w:themeColor="text1"/>
                <w:kern w:val="0"/>
                <w:szCs w:val="21"/>
              </w:rPr>
            </w:pPr>
            <w:r>
              <w:rPr>
                <w:rFonts w:ascii="宋体" w:hAnsi="宋体" w:cs="宋体"/>
                <w:color w:val="000000" w:themeColor="text1"/>
                <w:kern w:val="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618" w:type="dxa"/>
            <w:vMerge w:val="restart"/>
            <w:tcBorders>
              <w:top w:val="single" w:color="auto" w:sz="4" w:space="0"/>
              <w:left w:val="single" w:color="auto" w:sz="4" w:space="0"/>
              <w:bottom w:val="single" w:color="auto" w:sz="4" w:space="0"/>
              <w:right w:val="single" w:color="auto" w:sz="4" w:space="0"/>
            </w:tcBorders>
            <w:textDirection w:val="tbRlV"/>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（特性指标</w:t>
            </w:r>
            <w:r>
              <w:rPr>
                <w:rFonts w:ascii="宋体" w:hAnsi="宋体" w:cs="宋体"/>
                <w:color w:val="000000" w:themeColor="text1"/>
                <w:kern w:val="0"/>
                <w:sz w:val="20"/>
                <w:szCs w:val="20"/>
              </w:rPr>
              <w:t>70</w:t>
            </w:r>
            <w:r>
              <w:rPr>
                <w:rFonts w:hint="eastAsia" w:ascii="宋体" w:hAnsi="宋体" w:cs="宋体"/>
                <w:color w:val="000000" w:themeColor="text1"/>
                <w:kern w:val="0"/>
                <w:sz w:val="20"/>
                <w:szCs w:val="20"/>
              </w:rPr>
              <w:t>分）</w:t>
            </w:r>
            <w:r>
              <w:rPr>
                <w:rFonts w:ascii="宋体" w:cs="宋体"/>
                <w:color w:val="000000" w:themeColor="text1"/>
                <w:kern w:val="0"/>
                <w:sz w:val="20"/>
                <w:szCs w:val="20"/>
              </w:rPr>
              <w:br w:type="textWrapping"/>
            </w:r>
            <w:r>
              <w:rPr>
                <w:rFonts w:hint="eastAsia" w:ascii="宋体" w:hAnsi="宋体" w:cs="宋体"/>
                <w:color w:val="000000" w:themeColor="text1"/>
                <w:kern w:val="0"/>
                <w:sz w:val="20"/>
                <w:szCs w:val="20"/>
              </w:rPr>
              <w:t>项目绩效</w:t>
            </w:r>
            <w:r>
              <w:rPr>
                <w:rFonts w:ascii="宋体" w:hAnsi="宋体" w:cs="宋体"/>
                <w:color w:val="000000" w:themeColor="text1"/>
                <w:kern w:val="0"/>
                <w:sz w:val="20"/>
                <w:szCs w:val="20"/>
              </w:rPr>
              <w:t xml:space="preserve">  </w:t>
            </w:r>
          </w:p>
        </w:tc>
        <w:tc>
          <w:tcPr>
            <w:tcW w:w="2113" w:type="dxa"/>
            <w:vMerge w:val="restart"/>
            <w:tcBorders>
              <w:top w:val="single" w:color="auto" w:sz="4" w:space="0"/>
              <w:left w:val="single" w:color="auto" w:sz="4" w:space="0"/>
              <w:bottom w:val="single" w:color="auto" w:sz="4" w:space="0"/>
              <w:right w:val="single" w:color="auto" w:sz="4" w:space="0"/>
            </w:tcBorders>
            <w:textDirection w:val="tbRlV"/>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w:t>
            </w:r>
            <w:r>
              <w:rPr>
                <w:rFonts w:ascii="宋体" w:hAnsi="宋体" w:cs="宋体"/>
                <w:color w:val="000000" w:themeColor="text1"/>
                <w:kern w:val="0"/>
                <w:sz w:val="20"/>
                <w:szCs w:val="20"/>
              </w:rPr>
              <w:t>20</w:t>
            </w:r>
            <w:r>
              <w:rPr>
                <w:rFonts w:hint="eastAsia" w:ascii="宋体" w:hAnsi="宋体" w:cs="宋体"/>
                <w:color w:val="000000" w:themeColor="text1"/>
                <w:kern w:val="0"/>
                <w:sz w:val="20"/>
                <w:szCs w:val="20"/>
              </w:rPr>
              <w:t>）</w:t>
            </w:r>
            <w:r>
              <w:rPr>
                <w:rFonts w:ascii="宋体" w:cs="宋体"/>
                <w:color w:val="000000" w:themeColor="text1"/>
                <w:kern w:val="0"/>
                <w:sz w:val="20"/>
                <w:szCs w:val="20"/>
              </w:rPr>
              <w:br w:type="textWrapping"/>
            </w:r>
            <w:r>
              <w:rPr>
                <w:rFonts w:hint="eastAsia" w:ascii="宋体" w:hAnsi="宋体" w:cs="宋体"/>
                <w:color w:val="000000" w:themeColor="text1"/>
                <w:kern w:val="0"/>
                <w:sz w:val="20"/>
                <w:szCs w:val="20"/>
              </w:rPr>
              <w:t>项目完成</w:t>
            </w: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完成数量</w:t>
            </w:r>
          </w:p>
        </w:tc>
        <w:tc>
          <w:tcPr>
            <w:tcW w:w="131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ascii="宋体" w:hAnsi="宋体" w:cs="宋体"/>
                <w:color w:val="000000" w:themeColor="text1"/>
                <w:kern w:val="0"/>
                <w:sz w:val="20"/>
                <w:szCs w:val="20"/>
              </w:rPr>
              <w:t xml:space="preserve">5 </w:t>
            </w:r>
          </w:p>
        </w:tc>
        <w:tc>
          <w:tcPr>
            <w:tcW w:w="1311" w:type="dxa"/>
            <w:tcBorders>
              <w:top w:val="single" w:color="auto" w:sz="4" w:space="0"/>
              <w:left w:val="single" w:color="auto" w:sz="4" w:space="0"/>
              <w:bottom w:val="single" w:color="auto" w:sz="4" w:space="0"/>
              <w:right w:val="single" w:color="auto" w:sz="4" w:space="0"/>
            </w:tcBorders>
          </w:tcPr>
          <w:p>
            <w:pPr>
              <w:widowControl/>
              <w:spacing w:line="260" w:lineRule="exact"/>
              <w:jc w:val="center"/>
              <w:rPr>
                <w:rFonts w:ascii="宋体" w:cs="宋体"/>
                <w:color w:val="000000" w:themeColor="text1"/>
                <w:kern w:val="0"/>
                <w:szCs w:val="21"/>
              </w:rPr>
            </w:pPr>
            <w:r>
              <w:rPr>
                <w:rFonts w:ascii="宋体" w:hAnsi="宋体" w:cs="宋体"/>
                <w:color w:val="000000" w:themeColor="text1"/>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6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211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完成质量</w:t>
            </w:r>
          </w:p>
        </w:tc>
        <w:tc>
          <w:tcPr>
            <w:tcW w:w="131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ascii="宋体" w:hAnsi="宋体" w:cs="宋体"/>
                <w:color w:val="000000" w:themeColor="text1"/>
                <w:kern w:val="0"/>
                <w:sz w:val="20"/>
                <w:szCs w:val="20"/>
              </w:rPr>
              <w:t xml:space="preserve">5 </w:t>
            </w:r>
          </w:p>
        </w:tc>
        <w:tc>
          <w:tcPr>
            <w:tcW w:w="1311" w:type="dxa"/>
            <w:tcBorders>
              <w:top w:val="single" w:color="auto" w:sz="4" w:space="0"/>
              <w:left w:val="single" w:color="auto" w:sz="4" w:space="0"/>
              <w:bottom w:val="single" w:color="auto" w:sz="4" w:space="0"/>
              <w:right w:val="single" w:color="auto" w:sz="4" w:space="0"/>
            </w:tcBorders>
          </w:tcPr>
          <w:p>
            <w:pPr>
              <w:widowControl/>
              <w:spacing w:line="260" w:lineRule="exact"/>
              <w:jc w:val="center"/>
              <w:rPr>
                <w:rFonts w:ascii="宋体" w:cs="宋体"/>
                <w:color w:val="000000" w:themeColor="text1"/>
                <w:kern w:val="0"/>
                <w:szCs w:val="21"/>
              </w:rPr>
            </w:pPr>
            <w:r>
              <w:rPr>
                <w:rFonts w:ascii="宋体" w:hAnsi="宋体" w:cs="宋体"/>
                <w:color w:val="000000" w:themeColor="text1"/>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211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完成时效</w:t>
            </w:r>
          </w:p>
        </w:tc>
        <w:tc>
          <w:tcPr>
            <w:tcW w:w="131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ascii="宋体" w:hAnsi="宋体" w:cs="宋体"/>
                <w:color w:val="000000" w:themeColor="text1"/>
                <w:kern w:val="0"/>
                <w:sz w:val="20"/>
                <w:szCs w:val="20"/>
              </w:rPr>
              <w:t>5</w:t>
            </w:r>
          </w:p>
        </w:tc>
        <w:tc>
          <w:tcPr>
            <w:tcW w:w="1311" w:type="dxa"/>
            <w:tcBorders>
              <w:top w:val="single" w:color="auto" w:sz="4" w:space="0"/>
              <w:left w:val="single" w:color="auto" w:sz="4" w:space="0"/>
              <w:bottom w:val="single" w:color="auto" w:sz="4" w:space="0"/>
              <w:right w:val="single" w:color="auto" w:sz="4" w:space="0"/>
            </w:tcBorders>
          </w:tcPr>
          <w:p>
            <w:pPr>
              <w:widowControl/>
              <w:spacing w:line="260" w:lineRule="exact"/>
              <w:jc w:val="center"/>
              <w:rPr>
                <w:rFonts w:ascii="宋体" w:cs="宋体"/>
                <w:color w:val="000000" w:themeColor="text1"/>
                <w:kern w:val="0"/>
                <w:szCs w:val="21"/>
              </w:rPr>
            </w:pPr>
            <w:r>
              <w:rPr>
                <w:rFonts w:ascii="宋体" w:hAnsi="宋体" w:cs="宋体"/>
                <w:color w:val="000000" w:themeColor="text1"/>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6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211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完成成本</w:t>
            </w:r>
          </w:p>
        </w:tc>
        <w:tc>
          <w:tcPr>
            <w:tcW w:w="131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ascii="宋体" w:hAnsi="宋体" w:cs="宋体"/>
                <w:color w:val="000000" w:themeColor="text1"/>
                <w:kern w:val="0"/>
                <w:sz w:val="20"/>
                <w:szCs w:val="20"/>
              </w:rPr>
              <w:t>5</w:t>
            </w:r>
          </w:p>
        </w:tc>
        <w:tc>
          <w:tcPr>
            <w:tcW w:w="1311" w:type="dxa"/>
            <w:tcBorders>
              <w:top w:val="single" w:color="auto" w:sz="4" w:space="0"/>
              <w:left w:val="single" w:color="auto" w:sz="4" w:space="0"/>
              <w:bottom w:val="single" w:color="auto" w:sz="4" w:space="0"/>
              <w:right w:val="single" w:color="auto" w:sz="4" w:space="0"/>
            </w:tcBorders>
          </w:tcPr>
          <w:p>
            <w:pPr>
              <w:widowControl/>
              <w:spacing w:line="260" w:lineRule="exact"/>
              <w:jc w:val="center"/>
              <w:rPr>
                <w:rFonts w:ascii="宋体" w:cs="宋体"/>
                <w:color w:val="000000" w:themeColor="text1"/>
                <w:kern w:val="0"/>
                <w:szCs w:val="21"/>
              </w:rPr>
            </w:pPr>
            <w:r>
              <w:rPr>
                <w:rFonts w:ascii="宋体" w:hAnsi="宋体" w:cs="宋体"/>
                <w:color w:val="000000" w:themeColor="text1"/>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6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2113" w:type="dxa"/>
            <w:vMerge w:val="restart"/>
            <w:tcBorders>
              <w:top w:val="single" w:color="auto" w:sz="4" w:space="0"/>
              <w:left w:val="single" w:color="auto" w:sz="4" w:space="0"/>
              <w:bottom w:val="single" w:color="auto" w:sz="4" w:space="0"/>
              <w:right w:val="single" w:color="auto" w:sz="4" w:space="0"/>
            </w:tcBorders>
            <w:textDirection w:val="tbRlV"/>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w:t>
            </w:r>
            <w:r>
              <w:rPr>
                <w:rFonts w:ascii="宋体" w:hAnsi="宋体" w:cs="宋体"/>
                <w:color w:val="000000" w:themeColor="text1"/>
                <w:kern w:val="0"/>
                <w:sz w:val="20"/>
                <w:szCs w:val="20"/>
              </w:rPr>
              <w:t>50</w:t>
            </w:r>
            <w:r>
              <w:rPr>
                <w:rFonts w:hint="eastAsia" w:ascii="宋体" w:hAnsi="宋体" w:cs="宋体"/>
                <w:color w:val="000000" w:themeColor="text1"/>
                <w:kern w:val="0"/>
                <w:sz w:val="20"/>
                <w:szCs w:val="20"/>
              </w:rPr>
              <w:t>分）</w:t>
            </w:r>
            <w:r>
              <w:rPr>
                <w:rFonts w:ascii="宋体" w:cs="宋体"/>
                <w:color w:val="000000" w:themeColor="text1"/>
                <w:kern w:val="0"/>
                <w:sz w:val="20"/>
                <w:szCs w:val="20"/>
              </w:rPr>
              <w:br w:type="textWrapping"/>
            </w:r>
            <w:r>
              <w:rPr>
                <w:rFonts w:hint="eastAsia" w:ascii="宋体" w:hAnsi="宋体" w:cs="宋体"/>
                <w:color w:val="000000" w:themeColor="text1"/>
                <w:kern w:val="0"/>
                <w:sz w:val="20"/>
                <w:szCs w:val="20"/>
              </w:rPr>
              <w:t>项目效益</w:t>
            </w: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经济效益（可选项）</w:t>
            </w:r>
          </w:p>
        </w:tc>
        <w:tc>
          <w:tcPr>
            <w:tcW w:w="131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ascii="宋体" w:hAnsi="宋体" w:cs="宋体"/>
                <w:color w:val="000000" w:themeColor="text1"/>
                <w:kern w:val="0"/>
                <w:sz w:val="20"/>
                <w:szCs w:val="20"/>
              </w:rPr>
              <w:t>40</w:t>
            </w:r>
          </w:p>
        </w:tc>
        <w:tc>
          <w:tcPr>
            <w:tcW w:w="1311" w:type="dxa"/>
            <w:tcBorders>
              <w:top w:val="single" w:color="auto" w:sz="4" w:space="0"/>
              <w:left w:val="single" w:color="auto" w:sz="4" w:space="0"/>
              <w:bottom w:val="single" w:color="auto" w:sz="4" w:space="0"/>
              <w:right w:val="single" w:color="auto" w:sz="4" w:space="0"/>
            </w:tcBorders>
          </w:tcPr>
          <w:p>
            <w:pPr>
              <w:widowControl/>
              <w:spacing w:line="260" w:lineRule="exact"/>
              <w:jc w:val="center"/>
              <w:rPr>
                <w:rFonts w:ascii="宋体" w:cs="宋体"/>
                <w:color w:val="000000" w:themeColor="text1"/>
                <w:kern w:val="0"/>
                <w:szCs w:val="21"/>
              </w:rPr>
            </w:pPr>
            <w:r>
              <w:rPr>
                <w:rFonts w:ascii="宋体" w:hAnsi="宋体" w:cs="宋体"/>
                <w:color w:val="000000" w:themeColor="text1"/>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211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社会效益（可选项）</w:t>
            </w:r>
          </w:p>
        </w:tc>
        <w:tc>
          <w:tcPr>
            <w:tcW w:w="131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1311" w:type="dxa"/>
            <w:tcBorders>
              <w:top w:val="single" w:color="auto" w:sz="4" w:space="0"/>
              <w:left w:val="single" w:color="auto" w:sz="4" w:space="0"/>
              <w:bottom w:val="single" w:color="auto" w:sz="4" w:space="0"/>
              <w:right w:val="single" w:color="auto" w:sz="4" w:space="0"/>
            </w:tcBorders>
          </w:tcPr>
          <w:p>
            <w:pPr>
              <w:widowControl/>
              <w:spacing w:line="260" w:lineRule="exact"/>
              <w:jc w:val="left"/>
              <w:rPr>
                <w:rFonts w:ascii="宋体" w:cs="宋体"/>
                <w:color w:val="000000" w:themeColor="text1"/>
                <w:kern w:val="0"/>
                <w:szCs w:val="21"/>
              </w:rPr>
            </w:pPr>
            <w:r>
              <w:rPr>
                <w:rFonts w:ascii="宋体" w:hAnsi="宋体" w:cs="宋体"/>
                <w:color w:val="000000" w:themeColor="text1"/>
                <w:kern w:val="0"/>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6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211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生态效益（可选项）</w:t>
            </w:r>
          </w:p>
        </w:tc>
        <w:tc>
          <w:tcPr>
            <w:tcW w:w="131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1311" w:type="dxa"/>
            <w:tcBorders>
              <w:top w:val="single" w:color="auto" w:sz="4" w:space="0"/>
              <w:left w:val="single" w:color="auto" w:sz="4" w:space="0"/>
              <w:bottom w:val="single" w:color="auto" w:sz="4" w:space="0"/>
              <w:right w:val="single" w:color="auto" w:sz="4" w:space="0"/>
            </w:tcBorders>
          </w:tcPr>
          <w:p>
            <w:pPr>
              <w:widowControl/>
              <w:spacing w:line="260" w:lineRule="exact"/>
              <w:jc w:val="left"/>
              <w:rPr>
                <w:rFonts w:ascii="宋体" w:cs="宋体"/>
                <w:color w:val="000000" w:themeColor="text1"/>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6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211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可持续效益（可选项）</w:t>
            </w:r>
          </w:p>
        </w:tc>
        <w:tc>
          <w:tcPr>
            <w:tcW w:w="131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1311" w:type="dxa"/>
            <w:tcBorders>
              <w:top w:val="single" w:color="auto" w:sz="4" w:space="0"/>
              <w:left w:val="single" w:color="auto" w:sz="4" w:space="0"/>
              <w:bottom w:val="single" w:color="auto" w:sz="4" w:space="0"/>
              <w:right w:val="single" w:color="auto" w:sz="4" w:space="0"/>
            </w:tcBorders>
          </w:tcPr>
          <w:p>
            <w:pPr>
              <w:widowControl/>
              <w:spacing w:line="260" w:lineRule="exact"/>
              <w:jc w:val="left"/>
              <w:rPr>
                <w:rFonts w:ascii="宋体" w:cs="宋体"/>
                <w:color w:val="000000" w:themeColor="text1"/>
                <w:kern w:val="0"/>
                <w:szCs w:val="21"/>
              </w:rPr>
            </w:pPr>
            <w:r>
              <w:rPr>
                <w:rFonts w:ascii="宋体" w:hAnsi="宋体" w:cs="宋体"/>
                <w:color w:val="000000" w:themeColor="text1"/>
                <w:kern w:val="0"/>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211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公平效率（可选项）</w:t>
            </w:r>
          </w:p>
        </w:tc>
        <w:tc>
          <w:tcPr>
            <w:tcW w:w="131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1311" w:type="dxa"/>
            <w:tcBorders>
              <w:top w:val="single" w:color="auto" w:sz="4" w:space="0"/>
              <w:left w:val="single" w:color="auto" w:sz="4" w:space="0"/>
              <w:bottom w:val="single" w:color="auto" w:sz="4" w:space="0"/>
              <w:right w:val="single" w:color="auto" w:sz="4" w:space="0"/>
            </w:tcBorders>
          </w:tcPr>
          <w:p>
            <w:pPr>
              <w:widowControl/>
              <w:spacing w:line="260" w:lineRule="exact"/>
              <w:jc w:val="left"/>
              <w:rPr>
                <w:rFonts w:ascii="宋体" w:cs="宋体"/>
                <w:color w:val="000000" w:themeColor="text1"/>
                <w:kern w:val="0"/>
                <w:szCs w:val="21"/>
              </w:rPr>
            </w:pPr>
            <w:r>
              <w:rPr>
                <w:rFonts w:ascii="宋体" w:hAnsi="宋体" w:cs="宋体"/>
                <w:color w:val="000000" w:themeColor="text1"/>
                <w:kern w:val="0"/>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6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211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使用效率（可选项）</w:t>
            </w:r>
          </w:p>
        </w:tc>
        <w:tc>
          <w:tcPr>
            <w:tcW w:w="131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1311" w:type="dxa"/>
            <w:tcBorders>
              <w:top w:val="single" w:color="auto" w:sz="4" w:space="0"/>
              <w:left w:val="single" w:color="auto" w:sz="4" w:space="0"/>
              <w:bottom w:val="single" w:color="auto" w:sz="4" w:space="0"/>
              <w:right w:val="single" w:color="auto" w:sz="4" w:space="0"/>
            </w:tcBorders>
          </w:tcPr>
          <w:p>
            <w:pPr>
              <w:widowControl/>
              <w:spacing w:line="260" w:lineRule="exact"/>
              <w:jc w:val="left"/>
              <w:rPr>
                <w:rFonts w:ascii="宋体" w:cs="宋体"/>
                <w:color w:val="000000" w:themeColor="text1"/>
                <w:kern w:val="0"/>
                <w:szCs w:val="21"/>
              </w:rPr>
            </w:pPr>
            <w:r>
              <w:rPr>
                <w:rFonts w:hint="eastAsia" w:ascii="宋体" w:hAnsi="宋体" w:cs="宋体"/>
                <w:color w:val="000000" w:themeColor="text1"/>
                <w:kern w:val="0"/>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6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211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p>
        </w:tc>
        <w:tc>
          <w:tcPr>
            <w:tcW w:w="35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hint="eastAsia" w:ascii="宋体" w:hAnsi="宋体" w:cs="宋体"/>
                <w:color w:val="000000" w:themeColor="text1"/>
                <w:kern w:val="0"/>
                <w:sz w:val="20"/>
                <w:szCs w:val="20"/>
              </w:rPr>
              <w:t>服务对象满意度</w:t>
            </w:r>
            <w:r>
              <w:rPr>
                <w:rFonts w:ascii="宋体" w:hAnsi="宋体" w:cs="宋体"/>
                <w:color w:val="000000" w:themeColor="text1"/>
                <w:kern w:val="0"/>
                <w:sz w:val="20"/>
                <w:szCs w:val="20"/>
              </w:rPr>
              <w:t xml:space="preserve">    </w:t>
            </w:r>
          </w:p>
        </w:tc>
        <w:tc>
          <w:tcPr>
            <w:tcW w:w="131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 w:val="20"/>
                <w:szCs w:val="20"/>
              </w:rPr>
            </w:pPr>
            <w:r>
              <w:rPr>
                <w:rFonts w:ascii="宋体" w:hAnsi="宋体" w:cs="宋体"/>
                <w:color w:val="000000" w:themeColor="text1"/>
                <w:kern w:val="0"/>
                <w:sz w:val="20"/>
                <w:szCs w:val="20"/>
              </w:rPr>
              <w:t>10</w:t>
            </w:r>
          </w:p>
        </w:tc>
        <w:tc>
          <w:tcPr>
            <w:tcW w:w="1311" w:type="dxa"/>
            <w:tcBorders>
              <w:top w:val="single" w:color="auto" w:sz="4" w:space="0"/>
              <w:left w:val="single" w:color="auto" w:sz="4" w:space="0"/>
              <w:bottom w:val="single" w:color="auto" w:sz="4" w:space="0"/>
              <w:right w:val="single" w:color="auto" w:sz="4" w:space="0"/>
            </w:tcBorders>
          </w:tcPr>
          <w:p>
            <w:pPr>
              <w:widowControl/>
              <w:spacing w:line="260" w:lineRule="exact"/>
              <w:jc w:val="center"/>
              <w:rPr>
                <w:rFonts w:ascii="宋体" w:cs="宋体"/>
                <w:color w:val="000000" w:themeColor="text1"/>
                <w:kern w:val="0"/>
                <w:szCs w:val="21"/>
              </w:rPr>
            </w:pPr>
            <w:r>
              <w:rPr>
                <w:rFonts w:ascii="宋体" w:hAnsi="宋体" w:cs="宋体"/>
                <w:color w:val="000000" w:themeColor="text1"/>
                <w:kern w:val="0"/>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618"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cs="宋体"/>
                <w:color w:val="000000" w:themeColor="text1"/>
                <w:kern w:val="0"/>
                <w:sz w:val="20"/>
                <w:szCs w:val="20"/>
              </w:rPr>
            </w:pPr>
            <w:r>
              <w:rPr>
                <w:rFonts w:hint="eastAsia" w:ascii="宋体" w:hAnsi="宋体" w:cs="宋体"/>
                <w:color w:val="000000" w:themeColor="text1"/>
                <w:kern w:val="0"/>
                <w:sz w:val="20"/>
                <w:szCs w:val="20"/>
              </w:rPr>
              <w:t>总分</w:t>
            </w:r>
          </w:p>
        </w:tc>
        <w:tc>
          <w:tcPr>
            <w:tcW w:w="8270"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cs="宋体"/>
                <w:color w:val="000000" w:themeColor="text1"/>
                <w:kern w:val="0"/>
                <w:szCs w:val="21"/>
              </w:rPr>
            </w:pPr>
            <w:r>
              <w:rPr>
                <w:rFonts w:ascii="宋体" w:hAnsi="宋体" w:cs="宋体"/>
                <w:color w:val="000000" w:themeColor="text1"/>
                <w:kern w:val="0"/>
                <w:szCs w:val="21"/>
              </w:rPr>
              <w:t>9</w:t>
            </w:r>
            <w:r>
              <w:rPr>
                <w:rFonts w:hint="eastAsia" w:ascii="宋体" w:hAnsi="宋体" w:cs="宋体"/>
                <w:color w:val="000000" w:themeColor="text1"/>
                <w:kern w:val="0"/>
                <w:szCs w:val="21"/>
              </w:rPr>
              <w:t>1</w:t>
            </w:r>
          </w:p>
        </w:tc>
      </w:tr>
    </w:tbl>
    <w:p>
      <w:pPr>
        <w:spacing w:line="580" w:lineRule="exact"/>
        <w:rPr>
          <w:rFonts w:ascii="仿宋" w:hAnsi="仿宋" w:eastAsia="仿宋" w:cs="仿宋_GB2312"/>
          <w:color w:val="000000" w:themeColor="text1"/>
          <w:sz w:val="32"/>
          <w:szCs w:val="32"/>
        </w:rPr>
      </w:pPr>
    </w:p>
    <w:p>
      <w:pPr>
        <w:spacing w:line="580" w:lineRule="exact"/>
        <w:ind w:firstLine="660" w:firstLineChars="200"/>
        <w:rPr>
          <w:rFonts w:ascii="方正楷体_GBK" w:hAnsi="仿宋" w:eastAsia="方正楷体_GBK" w:cs="仿宋_GB2312"/>
          <w:color w:val="000000" w:themeColor="text1"/>
          <w:sz w:val="33"/>
          <w:szCs w:val="33"/>
        </w:rPr>
      </w:pPr>
      <w:r>
        <w:rPr>
          <w:rFonts w:hint="eastAsia" w:ascii="方正楷体_GBK" w:hAnsi="仿宋" w:eastAsia="方正楷体_GBK" w:cs="仿宋_GB2312"/>
          <w:color w:val="000000" w:themeColor="text1"/>
          <w:sz w:val="33"/>
          <w:szCs w:val="33"/>
        </w:rPr>
        <w:t>（二）绩效分析</w:t>
      </w:r>
    </w:p>
    <w:p>
      <w:pPr>
        <w:spacing w:line="580" w:lineRule="exact"/>
        <w:ind w:firstLine="660" w:firstLineChars="200"/>
        <w:rPr>
          <w:rFonts w:ascii="方正仿宋_GBK" w:hAnsi="仿宋" w:eastAsia="方正仿宋_GBK" w:cs="仿宋_GB2312"/>
          <w:color w:val="000000" w:themeColor="text1"/>
          <w:sz w:val="33"/>
          <w:szCs w:val="33"/>
        </w:rPr>
      </w:pPr>
      <w:r>
        <w:rPr>
          <w:rFonts w:hint="eastAsia" w:ascii="方正仿宋_GBK" w:hAnsi="仿宋" w:eastAsia="方正仿宋_GBK" w:cs="仿宋_GB2312"/>
          <w:color w:val="000000" w:themeColor="text1"/>
          <w:sz w:val="33"/>
          <w:szCs w:val="33"/>
        </w:rPr>
        <w:t>1、项目决策</w:t>
      </w:r>
    </w:p>
    <w:p>
      <w:pPr>
        <w:spacing w:line="580" w:lineRule="exact"/>
        <w:ind w:firstLine="660" w:firstLineChars="200"/>
        <w:rPr>
          <w:rFonts w:ascii="方正仿宋_GBK" w:eastAsia="方正仿宋_GBK"/>
          <w:color w:val="000000" w:themeColor="text1"/>
          <w:sz w:val="33"/>
          <w:szCs w:val="33"/>
        </w:rPr>
      </w:pPr>
      <w:r>
        <w:rPr>
          <w:rFonts w:hint="eastAsia" w:ascii="方正仿宋_GBK" w:eastAsia="方正仿宋_GBK"/>
          <w:color w:val="000000" w:themeColor="text1"/>
          <w:sz w:val="33"/>
          <w:szCs w:val="33"/>
        </w:rPr>
        <w:t>认真贯彻落实预算法，紧紧围绕全县中心工作，结合实际开展宣传工作，工作中严肃财经纪律，通过努力，圆满地完成了年度工作任务。</w:t>
      </w:r>
    </w:p>
    <w:p>
      <w:pPr>
        <w:spacing w:line="580" w:lineRule="exact"/>
        <w:ind w:firstLine="660" w:firstLineChars="200"/>
        <w:rPr>
          <w:rFonts w:ascii="方正仿宋_GBK" w:hAnsi="仿宋" w:eastAsia="方正仿宋_GBK" w:cs="仿宋_GB2312"/>
          <w:color w:val="000000" w:themeColor="text1"/>
          <w:sz w:val="33"/>
          <w:szCs w:val="33"/>
        </w:rPr>
      </w:pPr>
      <w:r>
        <w:rPr>
          <w:rFonts w:hint="eastAsia" w:ascii="方正仿宋_GBK" w:hAnsi="仿宋" w:eastAsia="方正仿宋_GBK" w:cs="仿宋_GB2312"/>
          <w:color w:val="000000" w:themeColor="text1"/>
          <w:sz w:val="33"/>
          <w:szCs w:val="33"/>
        </w:rPr>
        <w:t>2、项目管理</w:t>
      </w:r>
    </w:p>
    <w:p>
      <w:pPr>
        <w:spacing w:line="580" w:lineRule="exact"/>
        <w:ind w:firstLine="660" w:firstLineChars="200"/>
        <w:rPr>
          <w:rFonts w:ascii="方正仿宋_GBK" w:hAnsi="仿宋" w:eastAsia="方正仿宋_GBK" w:cs="仿宋_GB2312"/>
          <w:color w:val="000000" w:themeColor="text1"/>
          <w:sz w:val="33"/>
          <w:szCs w:val="33"/>
        </w:rPr>
      </w:pPr>
      <w:r>
        <w:rPr>
          <w:rFonts w:hint="eastAsia" w:ascii="方正仿宋_GBK" w:hAnsi="仿宋" w:eastAsia="方正仿宋_GBK" w:cs="仿宋_GB2312"/>
          <w:color w:val="000000" w:themeColor="text1"/>
          <w:sz w:val="33"/>
          <w:szCs w:val="33"/>
        </w:rPr>
        <w:t>项目资金分配管理科学合理，资金使用</w:t>
      </w:r>
      <w:r>
        <w:rPr>
          <w:rFonts w:hint="eastAsia" w:ascii="方正仿宋_GBK" w:hAnsi="仿宋" w:eastAsia="方正仿宋_GBK"/>
          <w:color w:val="000000" w:themeColor="text1"/>
          <w:sz w:val="33"/>
          <w:szCs w:val="33"/>
        </w:rPr>
        <w:t>实现了经济效益、社会效益和生态效益</w:t>
      </w:r>
      <w:r>
        <w:rPr>
          <w:rFonts w:hint="eastAsia" w:ascii="方正仿宋_GBK" w:hAnsi="仿宋" w:eastAsia="方正仿宋_GBK" w:cs="仿宋_GB2312"/>
          <w:color w:val="000000" w:themeColor="text1"/>
          <w:sz w:val="33"/>
          <w:szCs w:val="33"/>
        </w:rPr>
        <w:t>，</w:t>
      </w:r>
      <w:r>
        <w:rPr>
          <w:rFonts w:hint="eastAsia" w:ascii="方正仿宋_GBK" w:hAnsi="仿宋" w:eastAsia="方正仿宋_GBK"/>
          <w:color w:val="000000" w:themeColor="text1"/>
          <w:sz w:val="33"/>
          <w:szCs w:val="33"/>
          <w:lang w:val="zh-CN"/>
        </w:rPr>
        <w:t>严格按照财务制度、财经纪律办理支出，支出程序清晰，支出绩效明显。</w:t>
      </w:r>
    </w:p>
    <w:p>
      <w:pPr>
        <w:spacing w:line="580" w:lineRule="exact"/>
        <w:ind w:firstLine="660" w:firstLineChars="200"/>
        <w:rPr>
          <w:rFonts w:ascii="方正仿宋_GBK" w:hAnsi="仿宋" w:eastAsia="方正仿宋_GBK" w:cs="仿宋_GB2312"/>
          <w:color w:val="000000" w:themeColor="text1"/>
          <w:sz w:val="33"/>
          <w:szCs w:val="33"/>
        </w:rPr>
      </w:pPr>
      <w:r>
        <w:rPr>
          <w:rFonts w:hint="eastAsia" w:ascii="方正仿宋_GBK" w:hAnsi="仿宋" w:eastAsia="方正仿宋_GBK" w:cs="仿宋_GB2312"/>
          <w:color w:val="000000" w:themeColor="text1"/>
          <w:sz w:val="33"/>
          <w:szCs w:val="33"/>
        </w:rPr>
        <w:t>3、项目绩效</w:t>
      </w:r>
    </w:p>
    <w:p>
      <w:pPr>
        <w:pStyle w:val="12"/>
        <w:widowControl/>
        <w:spacing w:before="0" w:beforeAutospacing="0" w:after="0" w:afterAutospacing="0" w:line="560" w:lineRule="exact"/>
        <w:ind w:firstLine="660" w:firstLineChars="200"/>
        <w:jc w:val="both"/>
        <w:rPr>
          <w:rFonts w:ascii="方正仿宋_GBK" w:eastAsia="方正仿宋_GBK"/>
          <w:color w:val="000000" w:themeColor="text1"/>
          <w:kern w:val="2"/>
          <w:sz w:val="33"/>
          <w:szCs w:val="33"/>
        </w:rPr>
      </w:pPr>
      <w:r>
        <w:rPr>
          <w:rFonts w:hint="eastAsia" w:ascii="方正仿宋_GBK" w:eastAsia="方正仿宋_GBK"/>
          <w:color w:val="000000" w:themeColor="text1"/>
          <w:kern w:val="2"/>
          <w:sz w:val="33"/>
          <w:szCs w:val="33"/>
        </w:rPr>
        <w:t>加强媒体合作，与四川日报、攀枝花广播电视台开展合作。开展对外宣传专版报道，在与四川日报、攀枝花日报常规合作的基础上，在重大事件和重要时段开展专版报道。狠抓全县宣传文化、精神文明建设和意识形态责任制落实等工作，充分发挥宣传喉舌、凝聚民心的作用，助推全县各项中心工作的开展。建立了稳定的对外宣传平台，全方位、多角度、深层次地宣传了盐边高质量发展情况。</w:t>
      </w:r>
    </w:p>
    <w:p>
      <w:pPr>
        <w:spacing w:line="580" w:lineRule="exact"/>
        <w:ind w:firstLine="660" w:firstLineChars="200"/>
        <w:rPr>
          <w:rFonts w:ascii="方正宋黑_GBK" w:hAnsi="仿宋" w:eastAsia="方正宋黑_GBK" w:cs="仿宋_GB2312"/>
          <w:color w:val="000000" w:themeColor="text1"/>
          <w:sz w:val="33"/>
          <w:szCs w:val="33"/>
        </w:rPr>
      </w:pPr>
      <w:r>
        <w:rPr>
          <w:rFonts w:hint="eastAsia" w:ascii="方正宋黑_GBK" w:hAnsi="仿宋" w:eastAsia="方正宋黑_GBK" w:cs="仿宋_GB2312"/>
          <w:color w:val="000000" w:themeColor="text1"/>
          <w:sz w:val="33"/>
          <w:szCs w:val="33"/>
        </w:rPr>
        <w:t>三、存在主要问题</w:t>
      </w:r>
    </w:p>
    <w:p>
      <w:pPr>
        <w:pStyle w:val="12"/>
        <w:widowControl/>
        <w:spacing w:before="0" w:beforeAutospacing="0" w:after="0" w:afterAutospacing="0" w:line="560" w:lineRule="exact"/>
        <w:ind w:firstLine="660" w:firstLineChars="200"/>
        <w:jc w:val="both"/>
        <w:rPr>
          <w:rFonts w:ascii="方正仿宋_GBK" w:eastAsia="方正仿宋_GBK"/>
          <w:color w:val="000000" w:themeColor="text1"/>
          <w:kern w:val="2"/>
          <w:sz w:val="33"/>
          <w:szCs w:val="33"/>
        </w:rPr>
      </w:pPr>
      <w:r>
        <w:rPr>
          <w:rFonts w:hint="eastAsia" w:ascii="方正仿宋_GBK" w:eastAsia="方正仿宋_GBK"/>
          <w:color w:val="000000" w:themeColor="text1"/>
          <w:kern w:val="2"/>
          <w:sz w:val="33"/>
          <w:szCs w:val="33"/>
        </w:rPr>
        <w:t>1. 绩效目标设立不够明确。项目单位虽然设立了项目资金绩效目标，但目标不够明确、细化和量化。</w:t>
      </w:r>
    </w:p>
    <w:p>
      <w:pPr>
        <w:pStyle w:val="12"/>
        <w:widowControl/>
        <w:spacing w:before="0" w:beforeAutospacing="0" w:after="0" w:afterAutospacing="0" w:line="560" w:lineRule="exact"/>
        <w:ind w:firstLine="660" w:firstLineChars="200"/>
        <w:jc w:val="both"/>
        <w:rPr>
          <w:rFonts w:ascii="方正仿宋_GBK" w:eastAsia="方正仿宋_GBK"/>
          <w:color w:val="000000" w:themeColor="text1"/>
          <w:kern w:val="2"/>
          <w:sz w:val="33"/>
          <w:szCs w:val="33"/>
        </w:rPr>
      </w:pPr>
      <w:r>
        <w:rPr>
          <w:rFonts w:hint="eastAsia" w:ascii="方正仿宋_GBK" w:eastAsia="方正仿宋_GBK"/>
          <w:color w:val="000000" w:themeColor="text1"/>
          <w:kern w:val="2"/>
          <w:sz w:val="33"/>
          <w:szCs w:val="33"/>
        </w:rPr>
        <w:t>2. 资金使用效益有待进一步提高。</w:t>
      </w:r>
    </w:p>
    <w:p>
      <w:pPr>
        <w:spacing w:line="580" w:lineRule="exact"/>
        <w:ind w:firstLine="660" w:firstLineChars="200"/>
        <w:rPr>
          <w:rFonts w:ascii="方正宋黑_GBK" w:hAnsi="仿宋" w:eastAsia="方正宋黑_GBK" w:cs="仿宋_GB2312"/>
          <w:color w:val="000000" w:themeColor="text1"/>
          <w:sz w:val="33"/>
          <w:szCs w:val="33"/>
        </w:rPr>
      </w:pPr>
      <w:r>
        <w:rPr>
          <w:rFonts w:hint="eastAsia" w:ascii="方正宋黑_GBK" w:hAnsi="仿宋" w:eastAsia="方正宋黑_GBK" w:cs="仿宋_GB2312"/>
          <w:color w:val="000000" w:themeColor="text1"/>
          <w:sz w:val="33"/>
          <w:szCs w:val="33"/>
        </w:rPr>
        <w:t>四、相关措施建议</w:t>
      </w:r>
    </w:p>
    <w:p>
      <w:pPr>
        <w:ind w:firstLine="646" w:firstLineChars="196"/>
        <w:jc w:val="left"/>
        <w:rPr>
          <w:rFonts w:ascii="方正仿宋_GBK" w:hAnsi="仿宋" w:eastAsia="方正仿宋_GBK"/>
          <w:color w:val="000000" w:themeColor="text1"/>
          <w:sz w:val="33"/>
          <w:szCs w:val="33"/>
        </w:rPr>
      </w:pPr>
      <w:r>
        <w:rPr>
          <w:rFonts w:hint="eastAsia" w:ascii="方正仿宋_GBK" w:hAnsi="仿宋" w:eastAsia="方正仿宋_GBK"/>
          <w:color w:val="000000" w:themeColor="text1"/>
          <w:sz w:val="33"/>
          <w:szCs w:val="33"/>
        </w:rPr>
        <w:t>1、建立科学的绩效评价指标体系和评价标准。兼顾单位绩效和全县绩效，当前绩效益长远绩效，直接绩效和间接绩效，结合不同部门的实际情况设计符合项目特点的绩效评价指标。</w:t>
      </w:r>
    </w:p>
    <w:p>
      <w:pPr>
        <w:spacing w:line="580" w:lineRule="exact"/>
        <w:ind w:firstLine="660" w:firstLineChars="200"/>
        <w:rPr>
          <w:rFonts w:ascii="方正仿宋_GBK" w:hAnsi="仿宋" w:eastAsia="方正仿宋_GBK"/>
          <w:color w:val="000000" w:themeColor="text1"/>
          <w:sz w:val="33"/>
          <w:szCs w:val="33"/>
        </w:rPr>
      </w:pPr>
      <w:r>
        <w:rPr>
          <w:rFonts w:hint="eastAsia" w:ascii="方正仿宋_GBK" w:hAnsi="仿宋" w:eastAsia="方正仿宋_GBK"/>
          <w:color w:val="000000" w:themeColor="text1"/>
          <w:sz w:val="33"/>
          <w:szCs w:val="33"/>
        </w:rPr>
        <w:t>2、加强学习培训，提升业务能力。财务人员要学习业务和项目相关知识，业务人员要学财务经济类知识，通过进行多方位多层次的学习培训，努力提高绩效评价人员素质，才能真正将预算绩效管理工作落实到位</w:t>
      </w:r>
    </w:p>
    <w:p>
      <w:pPr>
        <w:spacing w:line="58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3、严格政府采购程序。鉴于媒体宣传工作的特殊性，建议可提早组织采购，以保证新闻宣传工作的连续性，确保采购程序合规，防范合同风险。</w:t>
      </w:r>
    </w:p>
    <w:p>
      <w:pPr>
        <w:widowControl/>
        <w:jc w:val="left"/>
        <w:rPr>
          <w:rStyle w:val="25"/>
          <w:rFonts w:ascii="黑体" w:hAnsi="黑体" w:eastAsia="黑体"/>
          <w:b w:val="0"/>
        </w:rPr>
      </w:pPr>
      <w:r>
        <w:rPr>
          <w:rStyle w:val="25"/>
          <w:rFonts w:ascii="黑体" w:hAnsi="黑体" w:eastAsia="黑体"/>
          <w:b w:val="0"/>
        </w:rPr>
        <w:br w:type="page"/>
      </w:r>
    </w:p>
    <w:p>
      <w:pPr>
        <w:spacing w:line="600" w:lineRule="exact"/>
        <w:jc w:val="center"/>
        <w:outlineLvl w:val="0"/>
        <w:rPr>
          <w:rStyle w:val="25"/>
          <w:rFonts w:ascii="黑体" w:hAnsi="黑体" w:eastAsia="黑体"/>
          <w:b w:val="0"/>
        </w:rPr>
      </w:pPr>
    </w:p>
    <w:p>
      <w:pPr>
        <w:spacing w:line="600" w:lineRule="exact"/>
        <w:jc w:val="center"/>
        <w:outlineLvl w:val="0"/>
        <w:rPr>
          <w:rStyle w:val="25"/>
          <w:rFonts w:ascii="黑体" w:hAnsi="黑体" w:eastAsia="黑体"/>
          <w:b w:val="0"/>
        </w:rPr>
      </w:pPr>
      <w:bookmarkStart w:id="92" w:name="_Toc15396618"/>
      <w:bookmarkStart w:id="93" w:name="_Toc52180099"/>
      <w:r>
        <w:rPr>
          <w:rFonts w:hint="eastAsia" w:ascii="黑体" w:hAnsi="黑体" w:eastAsia="黑体"/>
          <w:color w:val="000000"/>
          <w:sz w:val="44"/>
          <w:szCs w:val="44"/>
        </w:rPr>
        <w:t>第</w:t>
      </w:r>
      <w:r>
        <w:rPr>
          <w:rStyle w:val="25"/>
          <w:rFonts w:hint="eastAsia" w:ascii="黑体" w:hAnsi="黑体" w:eastAsia="黑体"/>
          <w:b w:val="0"/>
        </w:rPr>
        <w:t>五部分 附表</w:t>
      </w:r>
      <w:bookmarkEnd w:id="88"/>
      <w:bookmarkEnd w:id="92"/>
      <w:bookmarkEnd w:id="93"/>
    </w:p>
    <w:p>
      <w:pPr>
        <w:spacing w:line="600" w:lineRule="exact"/>
        <w:jc w:val="center"/>
        <w:outlineLvl w:val="0"/>
        <w:rPr>
          <w:rFonts w:ascii="仿宋" w:hAnsi="仿宋" w:eastAsia="仿宋"/>
          <w:b/>
          <w:color w:val="000000"/>
          <w:sz w:val="44"/>
          <w:szCs w:val="44"/>
        </w:rPr>
      </w:pPr>
    </w:p>
    <w:p>
      <w:pPr>
        <w:pStyle w:val="3"/>
        <w:rPr>
          <w:rFonts w:ascii="仿宋" w:hAnsi="仿宋" w:eastAsia="仿宋"/>
          <w:color w:val="000000"/>
        </w:rPr>
      </w:pPr>
      <w:bookmarkStart w:id="94" w:name="_Toc52180100"/>
      <w:bookmarkStart w:id="95" w:name="_Toc15396619"/>
      <w:r>
        <w:rPr>
          <w:rFonts w:hint="eastAsia" w:ascii="仿宋" w:hAnsi="仿宋" w:eastAsia="仿宋"/>
          <w:b w:val="0"/>
          <w:color w:val="000000"/>
        </w:rPr>
        <w:t>一、收</w:t>
      </w:r>
      <w:r>
        <w:rPr>
          <w:rStyle w:val="26"/>
          <w:rFonts w:hint="eastAsia" w:ascii="仿宋" w:hAnsi="仿宋" w:eastAsia="仿宋"/>
          <w:b w:val="0"/>
          <w:bCs w:val="0"/>
        </w:rPr>
        <w:t>入支出决算总表</w:t>
      </w:r>
      <w:bookmarkEnd w:id="94"/>
      <w:bookmarkEnd w:id="95"/>
    </w:p>
    <w:p>
      <w:pPr>
        <w:pStyle w:val="3"/>
        <w:rPr>
          <w:rFonts w:ascii="仿宋" w:hAnsi="仿宋" w:eastAsia="仿宋"/>
          <w:color w:val="000000"/>
        </w:rPr>
      </w:pPr>
      <w:bookmarkStart w:id="96" w:name="_Toc52180101"/>
      <w:bookmarkStart w:id="97" w:name="_Toc15396620"/>
      <w:r>
        <w:rPr>
          <w:rFonts w:hint="eastAsia" w:ascii="仿宋" w:hAnsi="仿宋" w:eastAsia="仿宋"/>
          <w:b w:val="0"/>
          <w:color w:val="000000"/>
        </w:rPr>
        <w:t>二、收</w:t>
      </w:r>
      <w:r>
        <w:rPr>
          <w:rStyle w:val="26"/>
          <w:rFonts w:hint="eastAsia" w:ascii="仿宋" w:hAnsi="仿宋" w:eastAsia="仿宋"/>
          <w:b w:val="0"/>
          <w:bCs w:val="0"/>
        </w:rPr>
        <w:t>入决算表</w:t>
      </w:r>
      <w:bookmarkEnd w:id="96"/>
      <w:bookmarkEnd w:id="97"/>
    </w:p>
    <w:p>
      <w:pPr>
        <w:pStyle w:val="3"/>
        <w:rPr>
          <w:rFonts w:ascii="仿宋" w:hAnsi="仿宋" w:eastAsia="仿宋"/>
          <w:color w:val="000000"/>
        </w:rPr>
      </w:pPr>
      <w:bookmarkStart w:id="98" w:name="_Toc52180102"/>
      <w:bookmarkStart w:id="99" w:name="_Toc15396621"/>
      <w:r>
        <w:rPr>
          <w:rStyle w:val="26"/>
          <w:rFonts w:hint="eastAsia" w:ascii="仿宋" w:hAnsi="仿宋" w:eastAsia="仿宋"/>
          <w:b w:val="0"/>
          <w:bCs w:val="0"/>
        </w:rPr>
        <w:t>三、</w:t>
      </w:r>
      <w:r>
        <w:rPr>
          <w:rFonts w:hint="eastAsia" w:ascii="仿宋" w:hAnsi="仿宋" w:eastAsia="仿宋"/>
          <w:b w:val="0"/>
          <w:color w:val="000000"/>
        </w:rPr>
        <w:t>支</w:t>
      </w:r>
      <w:r>
        <w:rPr>
          <w:rStyle w:val="26"/>
          <w:rFonts w:hint="eastAsia" w:ascii="仿宋" w:hAnsi="仿宋" w:eastAsia="仿宋"/>
          <w:b w:val="0"/>
          <w:bCs w:val="0"/>
        </w:rPr>
        <w:t>出决算表</w:t>
      </w:r>
      <w:bookmarkEnd w:id="98"/>
      <w:bookmarkEnd w:id="99"/>
    </w:p>
    <w:p>
      <w:pPr>
        <w:pStyle w:val="3"/>
        <w:rPr>
          <w:rFonts w:ascii="仿宋" w:hAnsi="仿宋" w:eastAsia="仿宋"/>
          <w:b w:val="0"/>
          <w:color w:val="000000"/>
        </w:rPr>
      </w:pPr>
      <w:bookmarkStart w:id="100" w:name="_Toc52180103"/>
      <w:bookmarkStart w:id="101" w:name="_Toc15396622"/>
      <w:r>
        <w:rPr>
          <w:rStyle w:val="26"/>
          <w:rFonts w:hint="eastAsia" w:ascii="仿宋" w:hAnsi="仿宋" w:eastAsia="仿宋"/>
          <w:b w:val="0"/>
          <w:bCs w:val="0"/>
        </w:rPr>
        <w:t>四、</w:t>
      </w:r>
      <w:r>
        <w:rPr>
          <w:rFonts w:hint="eastAsia" w:ascii="仿宋" w:hAnsi="仿宋" w:eastAsia="仿宋"/>
          <w:b w:val="0"/>
          <w:color w:val="000000"/>
        </w:rPr>
        <w:t>财</w:t>
      </w:r>
      <w:r>
        <w:rPr>
          <w:rStyle w:val="26"/>
          <w:rFonts w:hint="eastAsia" w:ascii="仿宋" w:hAnsi="仿宋" w:eastAsia="仿宋"/>
          <w:b w:val="0"/>
          <w:bCs w:val="0"/>
        </w:rPr>
        <w:t>政拨款收入支出决算总表</w:t>
      </w:r>
      <w:bookmarkEnd w:id="100"/>
      <w:bookmarkEnd w:id="101"/>
    </w:p>
    <w:p>
      <w:pPr>
        <w:pStyle w:val="3"/>
        <w:rPr>
          <w:rStyle w:val="26"/>
          <w:rFonts w:ascii="仿宋" w:hAnsi="仿宋" w:eastAsia="仿宋"/>
          <w:b w:val="0"/>
          <w:bCs w:val="0"/>
        </w:rPr>
      </w:pPr>
      <w:bookmarkStart w:id="102" w:name="_Toc52180104"/>
      <w:bookmarkStart w:id="103" w:name="_Toc15396623"/>
      <w:r>
        <w:rPr>
          <w:rStyle w:val="26"/>
          <w:rFonts w:hint="eastAsia" w:ascii="仿宋" w:hAnsi="仿宋" w:eastAsia="仿宋"/>
          <w:b w:val="0"/>
          <w:bCs w:val="0"/>
        </w:rPr>
        <w:t>五、</w:t>
      </w:r>
      <w:r>
        <w:rPr>
          <w:rFonts w:hint="eastAsia" w:ascii="仿宋" w:hAnsi="仿宋" w:eastAsia="仿宋"/>
          <w:b w:val="0"/>
          <w:color w:val="000000"/>
        </w:rPr>
        <w:t>财</w:t>
      </w:r>
      <w:r>
        <w:rPr>
          <w:rStyle w:val="26"/>
          <w:rFonts w:hint="eastAsia" w:ascii="仿宋" w:hAnsi="仿宋" w:eastAsia="仿宋"/>
          <w:b w:val="0"/>
          <w:bCs w:val="0"/>
        </w:rPr>
        <w:t>政拨款支出决算明细表</w:t>
      </w:r>
      <w:bookmarkEnd w:id="102"/>
      <w:bookmarkEnd w:id="103"/>
      <w:bookmarkStart w:id="104" w:name="_Toc15396624"/>
    </w:p>
    <w:p>
      <w:pPr>
        <w:pStyle w:val="3"/>
        <w:rPr>
          <w:rFonts w:ascii="仿宋" w:hAnsi="仿宋" w:eastAsia="仿宋"/>
          <w:color w:val="000000"/>
        </w:rPr>
      </w:pPr>
      <w:bookmarkStart w:id="105" w:name="_Toc52180105"/>
      <w:r>
        <w:rPr>
          <w:rStyle w:val="26"/>
          <w:rFonts w:hint="eastAsia" w:ascii="仿宋" w:hAnsi="仿宋" w:eastAsia="仿宋"/>
          <w:b w:val="0"/>
          <w:bCs w:val="0"/>
        </w:rPr>
        <w:t>六、</w:t>
      </w:r>
      <w:r>
        <w:rPr>
          <w:rFonts w:hint="eastAsia" w:ascii="仿宋" w:hAnsi="仿宋" w:eastAsia="仿宋"/>
          <w:b w:val="0"/>
          <w:color w:val="000000"/>
        </w:rPr>
        <w:t>一</w:t>
      </w:r>
      <w:r>
        <w:rPr>
          <w:rStyle w:val="26"/>
          <w:rFonts w:hint="eastAsia" w:ascii="仿宋" w:hAnsi="仿宋" w:eastAsia="仿宋"/>
          <w:b w:val="0"/>
          <w:bCs w:val="0"/>
        </w:rPr>
        <w:t>般公共预算财政拨款支出决算表</w:t>
      </w:r>
      <w:bookmarkEnd w:id="104"/>
      <w:bookmarkEnd w:id="105"/>
    </w:p>
    <w:p>
      <w:pPr>
        <w:pStyle w:val="3"/>
        <w:rPr>
          <w:rFonts w:ascii="仿宋" w:hAnsi="仿宋" w:eastAsia="仿宋"/>
          <w:color w:val="000000"/>
        </w:rPr>
      </w:pPr>
      <w:bookmarkStart w:id="106" w:name="_Toc52180106"/>
      <w:bookmarkStart w:id="107" w:name="_Toc15396625"/>
      <w:r>
        <w:rPr>
          <w:rStyle w:val="26"/>
          <w:rFonts w:hint="eastAsia" w:ascii="仿宋" w:hAnsi="仿宋" w:eastAsia="仿宋"/>
          <w:b w:val="0"/>
          <w:bCs w:val="0"/>
        </w:rPr>
        <w:t>七、</w:t>
      </w:r>
      <w:r>
        <w:rPr>
          <w:rFonts w:hint="eastAsia" w:ascii="仿宋" w:hAnsi="仿宋" w:eastAsia="仿宋"/>
          <w:b w:val="0"/>
          <w:color w:val="000000"/>
        </w:rPr>
        <w:t>一</w:t>
      </w:r>
      <w:r>
        <w:rPr>
          <w:rStyle w:val="26"/>
          <w:rFonts w:hint="eastAsia" w:ascii="仿宋" w:hAnsi="仿宋" w:eastAsia="仿宋"/>
          <w:b w:val="0"/>
          <w:bCs w:val="0"/>
        </w:rPr>
        <w:t>般公共预算财政拨款支出决算明细表</w:t>
      </w:r>
      <w:bookmarkEnd w:id="106"/>
      <w:bookmarkEnd w:id="107"/>
    </w:p>
    <w:p>
      <w:pPr>
        <w:pStyle w:val="3"/>
        <w:rPr>
          <w:rFonts w:ascii="仿宋" w:hAnsi="仿宋" w:eastAsia="仿宋"/>
          <w:color w:val="000000"/>
        </w:rPr>
      </w:pPr>
      <w:bookmarkStart w:id="108" w:name="_Toc52180107"/>
      <w:bookmarkStart w:id="109" w:name="_Toc15396626"/>
      <w:r>
        <w:rPr>
          <w:rStyle w:val="26"/>
          <w:rFonts w:hint="eastAsia" w:ascii="仿宋" w:hAnsi="仿宋" w:eastAsia="仿宋"/>
          <w:b w:val="0"/>
          <w:bCs w:val="0"/>
        </w:rPr>
        <w:t>八、</w:t>
      </w:r>
      <w:r>
        <w:rPr>
          <w:rFonts w:hint="eastAsia" w:ascii="仿宋" w:hAnsi="仿宋" w:eastAsia="仿宋"/>
          <w:b w:val="0"/>
          <w:color w:val="000000"/>
        </w:rPr>
        <w:t>一</w:t>
      </w:r>
      <w:r>
        <w:rPr>
          <w:rStyle w:val="26"/>
          <w:rFonts w:hint="eastAsia" w:ascii="仿宋" w:hAnsi="仿宋" w:eastAsia="仿宋"/>
          <w:b w:val="0"/>
          <w:bCs w:val="0"/>
        </w:rPr>
        <w:t>般公共预算财政拨款基本支出决算表</w:t>
      </w:r>
      <w:bookmarkEnd w:id="108"/>
      <w:bookmarkEnd w:id="109"/>
    </w:p>
    <w:p>
      <w:pPr>
        <w:pStyle w:val="3"/>
        <w:rPr>
          <w:rFonts w:ascii="仿宋" w:hAnsi="仿宋" w:eastAsia="仿宋"/>
          <w:color w:val="000000"/>
        </w:rPr>
      </w:pPr>
      <w:bookmarkStart w:id="110" w:name="_Toc52180108"/>
      <w:bookmarkStart w:id="111" w:name="_Toc15396627"/>
      <w:r>
        <w:rPr>
          <w:rStyle w:val="26"/>
          <w:rFonts w:hint="eastAsia" w:ascii="仿宋" w:hAnsi="仿宋" w:eastAsia="仿宋"/>
          <w:b w:val="0"/>
          <w:bCs w:val="0"/>
        </w:rPr>
        <w:t>九、</w:t>
      </w:r>
      <w:r>
        <w:rPr>
          <w:rFonts w:hint="eastAsia" w:ascii="仿宋" w:hAnsi="仿宋" w:eastAsia="仿宋"/>
          <w:b w:val="0"/>
          <w:color w:val="000000"/>
        </w:rPr>
        <w:t>一</w:t>
      </w:r>
      <w:r>
        <w:rPr>
          <w:rStyle w:val="26"/>
          <w:rFonts w:hint="eastAsia" w:ascii="仿宋" w:hAnsi="仿宋" w:eastAsia="仿宋"/>
          <w:b w:val="0"/>
          <w:bCs w:val="0"/>
        </w:rPr>
        <w:t>般公共预算财政拨款项目支出决算表</w:t>
      </w:r>
      <w:bookmarkEnd w:id="110"/>
      <w:bookmarkEnd w:id="111"/>
    </w:p>
    <w:p>
      <w:pPr>
        <w:pStyle w:val="3"/>
        <w:rPr>
          <w:rFonts w:ascii="仿宋" w:hAnsi="仿宋" w:eastAsia="仿宋"/>
          <w:color w:val="000000"/>
        </w:rPr>
      </w:pPr>
      <w:bookmarkStart w:id="112" w:name="_Toc52180109"/>
      <w:bookmarkStart w:id="113" w:name="_Toc15396628"/>
      <w:r>
        <w:rPr>
          <w:rStyle w:val="26"/>
          <w:rFonts w:hint="eastAsia" w:ascii="仿宋" w:hAnsi="仿宋" w:eastAsia="仿宋"/>
          <w:b w:val="0"/>
          <w:bCs w:val="0"/>
        </w:rPr>
        <w:t>十、</w:t>
      </w:r>
      <w:r>
        <w:rPr>
          <w:rFonts w:hint="eastAsia" w:ascii="仿宋" w:hAnsi="仿宋" w:eastAsia="仿宋"/>
          <w:b w:val="0"/>
          <w:color w:val="000000"/>
        </w:rPr>
        <w:t>一</w:t>
      </w:r>
      <w:r>
        <w:rPr>
          <w:rStyle w:val="26"/>
          <w:rFonts w:hint="eastAsia" w:ascii="仿宋" w:hAnsi="仿宋" w:eastAsia="仿宋"/>
          <w:b w:val="0"/>
          <w:bCs w:val="0"/>
        </w:rPr>
        <w:t>般公共预算财政拨款“三公”经费支出决算表</w:t>
      </w:r>
      <w:bookmarkEnd w:id="112"/>
      <w:bookmarkEnd w:id="113"/>
    </w:p>
    <w:p>
      <w:pPr>
        <w:pStyle w:val="3"/>
        <w:rPr>
          <w:rFonts w:ascii="仿宋" w:hAnsi="仿宋" w:eastAsia="仿宋"/>
          <w:color w:val="000000"/>
        </w:rPr>
      </w:pPr>
      <w:bookmarkStart w:id="114" w:name="_Toc52180110"/>
      <w:bookmarkStart w:id="115" w:name="_Toc15396629"/>
      <w:r>
        <w:rPr>
          <w:rStyle w:val="26"/>
          <w:rFonts w:hint="eastAsia" w:ascii="仿宋" w:hAnsi="仿宋" w:eastAsia="仿宋"/>
          <w:b w:val="0"/>
          <w:bCs w:val="0"/>
        </w:rPr>
        <w:t>十一、</w:t>
      </w:r>
      <w:r>
        <w:rPr>
          <w:rFonts w:hint="eastAsia" w:ascii="仿宋" w:hAnsi="仿宋" w:eastAsia="仿宋"/>
          <w:b w:val="0"/>
          <w:color w:val="000000"/>
        </w:rPr>
        <w:t>政</w:t>
      </w:r>
      <w:r>
        <w:rPr>
          <w:rStyle w:val="26"/>
          <w:rFonts w:hint="eastAsia" w:ascii="仿宋" w:hAnsi="仿宋" w:eastAsia="仿宋"/>
          <w:b w:val="0"/>
          <w:bCs w:val="0"/>
        </w:rPr>
        <w:t>府性基金预算财政拨款收入支出决算表</w:t>
      </w:r>
      <w:bookmarkEnd w:id="114"/>
      <w:bookmarkEnd w:id="115"/>
    </w:p>
    <w:p>
      <w:pPr>
        <w:pStyle w:val="3"/>
        <w:rPr>
          <w:rFonts w:ascii="仿宋" w:hAnsi="仿宋" w:eastAsia="仿宋"/>
          <w:color w:val="000000"/>
        </w:rPr>
      </w:pPr>
      <w:bookmarkStart w:id="116" w:name="_Toc52180111"/>
      <w:bookmarkStart w:id="117" w:name="_Toc15396630"/>
      <w:r>
        <w:rPr>
          <w:rStyle w:val="26"/>
          <w:rFonts w:hint="eastAsia" w:ascii="仿宋" w:hAnsi="仿宋" w:eastAsia="仿宋"/>
          <w:b w:val="0"/>
          <w:bCs w:val="0"/>
        </w:rPr>
        <w:t>十二、</w:t>
      </w:r>
      <w:r>
        <w:rPr>
          <w:rFonts w:hint="eastAsia" w:ascii="仿宋" w:hAnsi="仿宋" w:eastAsia="仿宋"/>
          <w:b w:val="0"/>
          <w:color w:val="000000"/>
        </w:rPr>
        <w:t>政</w:t>
      </w:r>
      <w:r>
        <w:rPr>
          <w:rStyle w:val="26"/>
          <w:rFonts w:hint="eastAsia" w:ascii="仿宋" w:hAnsi="仿宋" w:eastAsia="仿宋"/>
          <w:b w:val="0"/>
          <w:bCs w:val="0"/>
        </w:rPr>
        <w:t>府性基金预算财政拨款“三公”经费支出决算表</w:t>
      </w:r>
      <w:bookmarkEnd w:id="116"/>
      <w:bookmarkEnd w:id="117"/>
    </w:p>
    <w:p>
      <w:pPr>
        <w:pStyle w:val="3"/>
        <w:rPr>
          <w:rFonts w:ascii="仿宋" w:hAnsi="仿宋" w:eastAsia="仿宋"/>
          <w:color w:val="000000" w:themeColor="text1"/>
        </w:rPr>
      </w:pPr>
      <w:bookmarkStart w:id="118" w:name="_Toc52180112"/>
      <w:bookmarkStart w:id="119" w:name="_Toc15396631"/>
      <w:r>
        <w:rPr>
          <w:rStyle w:val="26"/>
          <w:rFonts w:hint="eastAsia" w:ascii="仿宋" w:hAnsi="仿宋" w:eastAsia="仿宋"/>
          <w:b w:val="0"/>
          <w:bCs w:val="0"/>
        </w:rPr>
        <w:t>十三、</w:t>
      </w:r>
      <w:r>
        <w:rPr>
          <w:rFonts w:hint="eastAsia" w:ascii="仿宋" w:hAnsi="仿宋" w:eastAsia="仿宋"/>
          <w:b w:val="0"/>
          <w:color w:val="000000"/>
        </w:rPr>
        <w:t>国</w:t>
      </w:r>
      <w:r>
        <w:rPr>
          <w:rStyle w:val="26"/>
          <w:rFonts w:hint="eastAsia" w:ascii="仿宋" w:hAnsi="仿宋" w:eastAsia="仿宋"/>
          <w:b w:val="0"/>
          <w:bCs w:val="0"/>
        </w:rPr>
        <w:t>有资本经营预算支出决算表</w:t>
      </w:r>
      <w:bookmarkEnd w:id="118"/>
      <w:bookmarkEnd w:id="119"/>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宋黑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21</w:t>
        </w:r>
        <w:r>
          <w:rPr>
            <w:lang w:val="zh-CN"/>
          </w:rP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000001FA"/>
    <w:rsid w:val="000166AF"/>
    <w:rsid w:val="000222C6"/>
    <w:rsid w:val="0002549F"/>
    <w:rsid w:val="00030983"/>
    <w:rsid w:val="00032E44"/>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6BC3"/>
    <w:rsid w:val="000E7119"/>
    <w:rsid w:val="00110424"/>
    <w:rsid w:val="00114E9B"/>
    <w:rsid w:val="001265B1"/>
    <w:rsid w:val="00142216"/>
    <w:rsid w:val="00144D6A"/>
    <w:rsid w:val="0014729F"/>
    <w:rsid w:val="00157BAB"/>
    <w:rsid w:val="001654D1"/>
    <w:rsid w:val="00174518"/>
    <w:rsid w:val="0018106D"/>
    <w:rsid w:val="001877A7"/>
    <w:rsid w:val="00191536"/>
    <w:rsid w:val="00196687"/>
    <w:rsid w:val="001C0962"/>
    <w:rsid w:val="001C4109"/>
    <w:rsid w:val="001D7531"/>
    <w:rsid w:val="001E737D"/>
    <w:rsid w:val="001F0592"/>
    <w:rsid w:val="001F0E34"/>
    <w:rsid w:val="001F7506"/>
    <w:rsid w:val="002006CD"/>
    <w:rsid w:val="00202B36"/>
    <w:rsid w:val="00204B7A"/>
    <w:rsid w:val="00204CDE"/>
    <w:rsid w:val="0021101A"/>
    <w:rsid w:val="00220536"/>
    <w:rsid w:val="00225C9A"/>
    <w:rsid w:val="00235629"/>
    <w:rsid w:val="00260C38"/>
    <w:rsid w:val="002616C0"/>
    <w:rsid w:val="00265372"/>
    <w:rsid w:val="002662AA"/>
    <w:rsid w:val="00280496"/>
    <w:rsid w:val="00294DC9"/>
    <w:rsid w:val="00295495"/>
    <w:rsid w:val="002A31DE"/>
    <w:rsid w:val="002B2613"/>
    <w:rsid w:val="002D19B0"/>
    <w:rsid w:val="002D6D05"/>
    <w:rsid w:val="002F1818"/>
    <w:rsid w:val="002F567B"/>
    <w:rsid w:val="003139EB"/>
    <w:rsid w:val="003216A9"/>
    <w:rsid w:val="00335A74"/>
    <w:rsid w:val="003377B6"/>
    <w:rsid w:val="00360848"/>
    <w:rsid w:val="0036561B"/>
    <w:rsid w:val="0037013F"/>
    <w:rsid w:val="00380C92"/>
    <w:rsid w:val="0039529C"/>
    <w:rsid w:val="003A484F"/>
    <w:rsid w:val="003A4883"/>
    <w:rsid w:val="003B0BE0"/>
    <w:rsid w:val="003B0C1B"/>
    <w:rsid w:val="003B688C"/>
    <w:rsid w:val="003C0291"/>
    <w:rsid w:val="003C39AE"/>
    <w:rsid w:val="003C7B60"/>
    <w:rsid w:val="003D0C0F"/>
    <w:rsid w:val="003D1FB2"/>
    <w:rsid w:val="003D66DA"/>
    <w:rsid w:val="003E1310"/>
    <w:rsid w:val="003E6F55"/>
    <w:rsid w:val="004004A2"/>
    <w:rsid w:val="00406254"/>
    <w:rsid w:val="00410E0A"/>
    <w:rsid w:val="00416CD4"/>
    <w:rsid w:val="004223DE"/>
    <w:rsid w:val="0042254B"/>
    <w:rsid w:val="00434489"/>
    <w:rsid w:val="00437085"/>
    <w:rsid w:val="00443880"/>
    <w:rsid w:val="004464F4"/>
    <w:rsid w:val="00463837"/>
    <w:rsid w:val="00471401"/>
    <w:rsid w:val="00473F31"/>
    <w:rsid w:val="0048263A"/>
    <w:rsid w:val="00484116"/>
    <w:rsid w:val="00487E5D"/>
    <w:rsid w:val="004A6640"/>
    <w:rsid w:val="004A711F"/>
    <w:rsid w:val="004B199D"/>
    <w:rsid w:val="004B4690"/>
    <w:rsid w:val="004E0A2D"/>
    <w:rsid w:val="004E206B"/>
    <w:rsid w:val="004E6DF7"/>
    <w:rsid w:val="004F0FBD"/>
    <w:rsid w:val="004F403E"/>
    <w:rsid w:val="00505A47"/>
    <w:rsid w:val="00512FDA"/>
    <w:rsid w:val="00520DA0"/>
    <w:rsid w:val="005214B1"/>
    <w:rsid w:val="005225A2"/>
    <w:rsid w:val="00534FE7"/>
    <w:rsid w:val="005624DB"/>
    <w:rsid w:val="005664BB"/>
    <w:rsid w:val="00566FFA"/>
    <w:rsid w:val="0057481D"/>
    <w:rsid w:val="00575F0B"/>
    <w:rsid w:val="0058486E"/>
    <w:rsid w:val="00585B33"/>
    <w:rsid w:val="0059014D"/>
    <w:rsid w:val="005B32F8"/>
    <w:rsid w:val="005B5C64"/>
    <w:rsid w:val="005C152C"/>
    <w:rsid w:val="005C62F3"/>
    <w:rsid w:val="005C6BD0"/>
    <w:rsid w:val="005C6C4C"/>
    <w:rsid w:val="005D1C8B"/>
    <w:rsid w:val="005D468D"/>
    <w:rsid w:val="005D5CED"/>
    <w:rsid w:val="005F1A4C"/>
    <w:rsid w:val="005F4A69"/>
    <w:rsid w:val="00605688"/>
    <w:rsid w:val="006070AF"/>
    <w:rsid w:val="00607E6C"/>
    <w:rsid w:val="006101B1"/>
    <w:rsid w:val="00614E44"/>
    <w:rsid w:val="0062270A"/>
    <w:rsid w:val="00622830"/>
    <w:rsid w:val="00623DA0"/>
    <w:rsid w:val="00630AEF"/>
    <w:rsid w:val="006325F8"/>
    <w:rsid w:val="00633463"/>
    <w:rsid w:val="00634C9A"/>
    <w:rsid w:val="006402F8"/>
    <w:rsid w:val="006440E4"/>
    <w:rsid w:val="0066343B"/>
    <w:rsid w:val="00664777"/>
    <w:rsid w:val="006748A4"/>
    <w:rsid w:val="00681A31"/>
    <w:rsid w:val="00683E73"/>
    <w:rsid w:val="00691631"/>
    <w:rsid w:val="006A3141"/>
    <w:rsid w:val="006A5E34"/>
    <w:rsid w:val="006B2422"/>
    <w:rsid w:val="006B2B9A"/>
    <w:rsid w:val="006C1937"/>
    <w:rsid w:val="006F020C"/>
    <w:rsid w:val="007127B7"/>
    <w:rsid w:val="00716060"/>
    <w:rsid w:val="0071798E"/>
    <w:rsid w:val="00722076"/>
    <w:rsid w:val="00727533"/>
    <w:rsid w:val="007416B6"/>
    <w:rsid w:val="00746F48"/>
    <w:rsid w:val="00750B3D"/>
    <w:rsid w:val="0075404D"/>
    <w:rsid w:val="0076182A"/>
    <w:rsid w:val="00767B7E"/>
    <w:rsid w:val="00767C26"/>
    <w:rsid w:val="007770C3"/>
    <w:rsid w:val="00784D24"/>
    <w:rsid w:val="00785FBA"/>
    <w:rsid w:val="00786E4A"/>
    <w:rsid w:val="007875EB"/>
    <w:rsid w:val="0079426B"/>
    <w:rsid w:val="007D0620"/>
    <w:rsid w:val="007D1682"/>
    <w:rsid w:val="007D312A"/>
    <w:rsid w:val="007D3F19"/>
    <w:rsid w:val="007E23B0"/>
    <w:rsid w:val="007F1991"/>
    <w:rsid w:val="007F2C2F"/>
    <w:rsid w:val="007F55FC"/>
    <w:rsid w:val="007F5665"/>
    <w:rsid w:val="00800112"/>
    <w:rsid w:val="00813348"/>
    <w:rsid w:val="008253BB"/>
    <w:rsid w:val="008337DA"/>
    <w:rsid w:val="00833962"/>
    <w:rsid w:val="0083706E"/>
    <w:rsid w:val="008408F6"/>
    <w:rsid w:val="008423A5"/>
    <w:rsid w:val="00850625"/>
    <w:rsid w:val="00853718"/>
    <w:rsid w:val="00854788"/>
    <w:rsid w:val="00855221"/>
    <w:rsid w:val="00860645"/>
    <w:rsid w:val="00870BEA"/>
    <w:rsid w:val="00871F71"/>
    <w:rsid w:val="00872FD8"/>
    <w:rsid w:val="00885AF4"/>
    <w:rsid w:val="00885DCC"/>
    <w:rsid w:val="008939CD"/>
    <w:rsid w:val="008B768C"/>
    <w:rsid w:val="008C1EB2"/>
    <w:rsid w:val="008C4DB1"/>
    <w:rsid w:val="008C4EAF"/>
    <w:rsid w:val="008C5176"/>
    <w:rsid w:val="008C7FD0"/>
    <w:rsid w:val="008D3A73"/>
    <w:rsid w:val="008E1DE7"/>
    <w:rsid w:val="008E2B3C"/>
    <w:rsid w:val="008E707C"/>
    <w:rsid w:val="00900B08"/>
    <w:rsid w:val="00902155"/>
    <w:rsid w:val="00902FA3"/>
    <w:rsid w:val="00907724"/>
    <w:rsid w:val="00907E70"/>
    <w:rsid w:val="00914532"/>
    <w:rsid w:val="00923564"/>
    <w:rsid w:val="0092392E"/>
    <w:rsid w:val="00930379"/>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E98"/>
    <w:rsid w:val="009C37FB"/>
    <w:rsid w:val="009D0219"/>
    <w:rsid w:val="009D3447"/>
    <w:rsid w:val="009D4711"/>
    <w:rsid w:val="009D4F99"/>
    <w:rsid w:val="009F1185"/>
    <w:rsid w:val="009F18CD"/>
    <w:rsid w:val="009F2A13"/>
    <w:rsid w:val="009F7527"/>
    <w:rsid w:val="00A039ED"/>
    <w:rsid w:val="00A04EB0"/>
    <w:rsid w:val="00A0576B"/>
    <w:rsid w:val="00A13CC1"/>
    <w:rsid w:val="00A16847"/>
    <w:rsid w:val="00A237D8"/>
    <w:rsid w:val="00A268C4"/>
    <w:rsid w:val="00A27131"/>
    <w:rsid w:val="00A307CD"/>
    <w:rsid w:val="00A331C8"/>
    <w:rsid w:val="00A35117"/>
    <w:rsid w:val="00A40A00"/>
    <w:rsid w:val="00A4142F"/>
    <w:rsid w:val="00A422EB"/>
    <w:rsid w:val="00A45BB7"/>
    <w:rsid w:val="00A46202"/>
    <w:rsid w:val="00A56DF2"/>
    <w:rsid w:val="00A56E6E"/>
    <w:rsid w:val="00A67AB5"/>
    <w:rsid w:val="00A733B2"/>
    <w:rsid w:val="00A741C2"/>
    <w:rsid w:val="00A91760"/>
    <w:rsid w:val="00A93B00"/>
    <w:rsid w:val="00A93C21"/>
    <w:rsid w:val="00AB64C9"/>
    <w:rsid w:val="00AB6654"/>
    <w:rsid w:val="00AC3C6A"/>
    <w:rsid w:val="00AD0F83"/>
    <w:rsid w:val="00AD1B09"/>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46D39"/>
    <w:rsid w:val="00B53C56"/>
    <w:rsid w:val="00B53D91"/>
    <w:rsid w:val="00B56B9E"/>
    <w:rsid w:val="00B57DAF"/>
    <w:rsid w:val="00B63BD2"/>
    <w:rsid w:val="00B70073"/>
    <w:rsid w:val="00B77EA6"/>
    <w:rsid w:val="00B81598"/>
    <w:rsid w:val="00B841F1"/>
    <w:rsid w:val="00B944D6"/>
    <w:rsid w:val="00BB30AA"/>
    <w:rsid w:val="00BB4DF0"/>
    <w:rsid w:val="00BC289F"/>
    <w:rsid w:val="00BC2D50"/>
    <w:rsid w:val="00BC5361"/>
    <w:rsid w:val="00BC5460"/>
    <w:rsid w:val="00BC6B50"/>
    <w:rsid w:val="00BD0E25"/>
    <w:rsid w:val="00BF5BD6"/>
    <w:rsid w:val="00C03E31"/>
    <w:rsid w:val="00C25306"/>
    <w:rsid w:val="00C30E69"/>
    <w:rsid w:val="00C33E72"/>
    <w:rsid w:val="00C354B2"/>
    <w:rsid w:val="00C35554"/>
    <w:rsid w:val="00C3737E"/>
    <w:rsid w:val="00C42709"/>
    <w:rsid w:val="00C533CC"/>
    <w:rsid w:val="00C5751C"/>
    <w:rsid w:val="00C61BFC"/>
    <w:rsid w:val="00C62B85"/>
    <w:rsid w:val="00C65438"/>
    <w:rsid w:val="00C867E3"/>
    <w:rsid w:val="00C91CBB"/>
    <w:rsid w:val="00CB1F8A"/>
    <w:rsid w:val="00CB4E70"/>
    <w:rsid w:val="00CB6E2A"/>
    <w:rsid w:val="00CC09B6"/>
    <w:rsid w:val="00CC0DEE"/>
    <w:rsid w:val="00CC666F"/>
    <w:rsid w:val="00CD1E3F"/>
    <w:rsid w:val="00CE44F6"/>
    <w:rsid w:val="00CE49DA"/>
    <w:rsid w:val="00CE7B61"/>
    <w:rsid w:val="00D00095"/>
    <w:rsid w:val="00D114F0"/>
    <w:rsid w:val="00D20620"/>
    <w:rsid w:val="00D20EE6"/>
    <w:rsid w:val="00D23975"/>
    <w:rsid w:val="00D254F7"/>
    <w:rsid w:val="00D26091"/>
    <w:rsid w:val="00D2685C"/>
    <w:rsid w:val="00D33F96"/>
    <w:rsid w:val="00D34E7C"/>
    <w:rsid w:val="00D35489"/>
    <w:rsid w:val="00D36AFE"/>
    <w:rsid w:val="00D51276"/>
    <w:rsid w:val="00D54F93"/>
    <w:rsid w:val="00D7035F"/>
    <w:rsid w:val="00D913F7"/>
    <w:rsid w:val="00D92060"/>
    <w:rsid w:val="00DA634F"/>
    <w:rsid w:val="00DA65AC"/>
    <w:rsid w:val="00DB1913"/>
    <w:rsid w:val="00DB57DE"/>
    <w:rsid w:val="00DC410D"/>
    <w:rsid w:val="00DC5A81"/>
    <w:rsid w:val="00DC68CA"/>
    <w:rsid w:val="00DC7CBA"/>
    <w:rsid w:val="00DD5D51"/>
    <w:rsid w:val="00DD73B7"/>
    <w:rsid w:val="00DF28BC"/>
    <w:rsid w:val="00DF34B9"/>
    <w:rsid w:val="00DF78F0"/>
    <w:rsid w:val="00E01053"/>
    <w:rsid w:val="00E07ACF"/>
    <w:rsid w:val="00E24473"/>
    <w:rsid w:val="00E331A1"/>
    <w:rsid w:val="00E33202"/>
    <w:rsid w:val="00E336A9"/>
    <w:rsid w:val="00E472B1"/>
    <w:rsid w:val="00E50624"/>
    <w:rsid w:val="00E568DF"/>
    <w:rsid w:val="00E64269"/>
    <w:rsid w:val="00E66797"/>
    <w:rsid w:val="00E82267"/>
    <w:rsid w:val="00E853CE"/>
    <w:rsid w:val="00E867B6"/>
    <w:rsid w:val="00E87F08"/>
    <w:rsid w:val="00EA010F"/>
    <w:rsid w:val="00ED1B63"/>
    <w:rsid w:val="00ED3C1F"/>
    <w:rsid w:val="00ED4085"/>
    <w:rsid w:val="00ED420E"/>
    <w:rsid w:val="00ED6FBE"/>
    <w:rsid w:val="00EE2F57"/>
    <w:rsid w:val="00EF4C34"/>
    <w:rsid w:val="00EF77C6"/>
    <w:rsid w:val="00F03890"/>
    <w:rsid w:val="00F05438"/>
    <w:rsid w:val="00F11D97"/>
    <w:rsid w:val="00F1361C"/>
    <w:rsid w:val="00F156F0"/>
    <w:rsid w:val="00F160C7"/>
    <w:rsid w:val="00F2408F"/>
    <w:rsid w:val="00F240E9"/>
    <w:rsid w:val="00F36D8F"/>
    <w:rsid w:val="00F417B1"/>
    <w:rsid w:val="00F45853"/>
    <w:rsid w:val="00F602DF"/>
    <w:rsid w:val="00F715E7"/>
    <w:rsid w:val="00F734D7"/>
    <w:rsid w:val="00F754A1"/>
    <w:rsid w:val="00F81FD9"/>
    <w:rsid w:val="00F841AA"/>
    <w:rsid w:val="00F84A94"/>
    <w:rsid w:val="00F87E96"/>
    <w:rsid w:val="00F9224D"/>
    <w:rsid w:val="00FA23E8"/>
    <w:rsid w:val="00FD3CC1"/>
    <w:rsid w:val="00FE2E6B"/>
    <w:rsid w:val="00FE5EF7"/>
    <w:rsid w:val="00FF0FF3"/>
    <w:rsid w:val="00FF160F"/>
    <w:rsid w:val="00FF1C88"/>
    <w:rsid w:val="00FF1E02"/>
    <w:rsid w:val="00FF30B4"/>
    <w:rsid w:val="00FF5CAE"/>
    <w:rsid w:val="0CAE17B6"/>
    <w:rsid w:val="10C055FF"/>
    <w:rsid w:val="16BB723D"/>
    <w:rsid w:val="240371BF"/>
    <w:rsid w:val="24CC0FEB"/>
    <w:rsid w:val="29FD04D3"/>
    <w:rsid w:val="302B6BFF"/>
    <w:rsid w:val="306E3F31"/>
    <w:rsid w:val="319F7F4E"/>
    <w:rsid w:val="3D405AE7"/>
    <w:rsid w:val="4ECE2238"/>
    <w:rsid w:val="639C63C0"/>
    <w:rsid w:val="72734D90"/>
    <w:rsid w:val="73145917"/>
    <w:rsid w:val="7D734B8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5">
    <w:name w:val="Body Text"/>
    <w:basedOn w:val="1"/>
    <w:link w:val="22"/>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8"/>
    <w:semiHidden/>
    <w:unhideWhenUsed/>
    <w:qFormat/>
    <w:uiPriority w:val="99"/>
    <w:rPr>
      <w:sz w:val="18"/>
      <w:szCs w:val="18"/>
    </w:rPr>
  </w:style>
  <w:style w:type="paragraph" w:styleId="8">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paragraph" w:styleId="12">
    <w:name w:val="Normal (Web)"/>
    <w:basedOn w:val="1"/>
    <w:uiPriority w:val="0"/>
    <w:pPr>
      <w:spacing w:before="100" w:beforeAutospacing="1" w:after="100" w:afterAutospacing="1"/>
      <w:jc w:val="left"/>
    </w:pPr>
    <w:rPr>
      <w:kern w:val="0"/>
      <w:sz w:val="24"/>
    </w:r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9"/>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8"/>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5"/>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4"/>
    <w:link w:val="2"/>
    <w:qFormat/>
    <w:uiPriority w:val="9"/>
    <w:rPr>
      <w:rFonts w:ascii="Times New Roman" w:hAnsi="Times New Roman"/>
      <w:b/>
      <w:bCs/>
      <w:kern w:val="44"/>
      <w:sz w:val="44"/>
      <w:szCs w:val="44"/>
    </w:rPr>
  </w:style>
  <w:style w:type="character" w:customStyle="1" w:styleId="26">
    <w:name w:val="标题 2 Char"/>
    <w:basedOn w:val="14"/>
    <w:link w:val="3"/>
    <w:qFormat/>
    <w:uiPriority w:val="9"/>
    <w:rPr>
      <w:rFonts w:asciiTheme="majorHAnsi" w:hAnsiTheme="majorHAnsi" w:eastAsiaTheme="majorEastAsia" w:cstheme="majorBidi"/>
      <w:b/>
      <w:bCs/>
      <w:kern w:val="2"/>
      <w:sz w:val="32"/>
      <w:szCs w:val="32"/>
    </w:rPr>
  </w:style>
  <w:style w:type="paragraph" w:customStyle="1" w:styleId="27">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8">
    <w:name w:val="批注框文本 Char"/>
    <w:basedOn w:val="14"/>
    <w:link w:val="7"/>
    <w:semiHidden/>
    <w:qFormat/>
    <w:uiPriority w:val="99"/>
    <w:rPr>
      <w:rFonts w:ascii="Times New Roman" w:hAnsi="Times New Roman"/>
      <w:kern w:val="2"/>
      <w:sz w:val="18"/>
      <w:szCs w:val="18"/>
    </w:rPr>
  </w:style>
  <w:style w:type="character" w:customStyle="1" w:styleId="29">
    <w:name w:val="标题 3 Char"/>
    <w:basedOn w:val="14"/>
    <w:link w:val="4"/>
    <w:qFormat/>
    <w:uiPriority w:val="9"/>
    <w:rPr>
      <w:rFonts w:ascii="Times New Roman" w:hAnsi="Times New Roman"/>
      <w:b/>
      <w:bCs/>
      <w:kern w:val="2"/>
      <w:sz w:val="32"/>
      <w:szCs w:val="32"/>
    </w:rPr>
  </w:style>
  <w:style w:type="paragraph" w:customStyle="1" w:styleId="30">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1">
    <w:name w:val="_Style 4"/>
    <w:basedOn w:val="1"/>
    <w:qFormat/>
    <w:uiPriority w:val="0"/>
    <w:pPr>
      <w:widowControl/>
      <w:spacing w:after="160" w:line="240" w:lineRule="exact"/>
      <w:jc w:val="left"/>
    </w:pPr>
  </w:style>
  <w:style w:type="paragraph" w:customStyle="1" w:styleId="32">
    <w:name w:val="Char"/>
    <w:basedOn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H:\2019&#24180;&#37096;&#38376;&#20915;&#31639;&#20844;&#24320;\2017&#20915;&#31639;&#20844;&#24320;&#22270;&#34920;&#21496;&#27861;.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H:\2019&#24180;&#37096;&#38376;&#20915;&#31639;&#20844;&#24320;\2017&#20915;&#31639;&#20844;&#24320;&#22270;&#34920;&#21496;&#27861;.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H:\2019&#24180;&#37096;&#38376;&#20915;&#31639;&#20844;&#24320;\2017&#20915;&#31639;&#20844;&#24320;&#22270;&#34920;&#21496;&#27861;.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H:\2019&#24180;&#37096;&#38376;&#20915;&#31639;&#20844;&#24320;\2017&#20915;&#31639;&#20844;&#24320;&#22270;&#34920;&#21496;&#27861;.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H:\2019&#24180;&#37096;&#38376;&#20915;&#31639;&#20844;&#24320;\2017&#20915;&#31639;&#20844;&#24320;&#22270;&#34920;&#21496;&#27861;.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H:\2019&#24180;&#37096;&#38376;&#20915;&#31639;&#20844;&#24320;\2017&#20915;&#31639;&#20844;&#24320;&#22270;&#34920;&#21496;&#2786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2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1   </a:t>
            </a:r>
            <a:r>
              <a:rPr lang="zh-CN" altLang="en-US"/>
              <a:t>收入变动情况</a:t>
            </a:r>
            <a:endParaRPr lang="zh-CN" altLang="en-US"/>
          </a:p>
        </c:rich>
      </c:tx>
      <c:layout/>
      <c:overlay val="0"/>
      <c:spPr>
        <a:noFill/>
        <a:ln w="25400">
          <a:noFill/>
        </a:ln>
      </c:spPr>
    </c:title>
    <c:autoTitleDeleted val="0"/>
    <c:plotArea>
      <c:layout>
        <c:manualLayout>
          <c:layoutTarget val="inner"/>
          <c:xMode val="edge"/>
          <c:yMode val="edge"/>
          <c:x val="0.080575324730517"/>
          <c:y val="0.187969455938807"/>
          <c:w val="0.775096417415695"/>
          <c:h val="0.683299954878685"/>
        </c:manualLayout>
      </c:layout>
      <c:barChart>
        <c:barDir val="col"/>
        <c:grouping val="clustered"/>
        <c:varyColors val="0"/>
        <c:ser>
          <c:idx val="0"/>
          <c:order val="0"/>
          <c:tx>
            <c:strRef>
              <c:f>Sheet1!$A$58</c:f>
              <c:strCache>
                <c:ptCount val="1"/>
                <c:pt idx="0">
                  <c:v>收入</c:v>
                </c:pt>
              </c:strCache>
            </c:strRef>
          </c:tx>
          <c:spPr>
            <a:solidFill>
              <a:srgbClr val="9999FF"/>
            </a:solidFill>
            <a:ln w="12700">
              <a:solidFill>
                <a:srgbClr val="000000"/>
              </a:solidFill>
              <a:prstDash val="solid"/>
            </a:ln>
          </c:spPr>
          <c:invertIfNegative val="0"/>
          <c:dLbls>
            <c:dLbl>
              <c:idx val="0"/>
              <c:layout>
                <c:manualLayout>
                  <c:x val="0"/>
                  <c:y val="-0.02070393374741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w="25400">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Sheet1!$B$58:$C$58</c:f>
              <c:strCache>
                <c:ptCount val="2"/>
                <c:pt idx="0">
                  <c:v>2018年</c:v>
                </c:pt>
                <c:pt idx="1">
                  <c:v>2019年</c:v>
                </c:pt>
              </c:strCache>
            </c:strRef>
          </c:cat>
          <c:val>
            <c:numRef>
              <c:f>Sheet1!$B$59:$C$59</c:f>
              <c:numCache>
                <c:formatCode>General</c:formatCode>
                <c:ptCount val="2"/>
                <c:pt idx="0">
                  <c:v>219.28</c:v>
                </c:pt>
                <c:pt idx="1">
                  <c:v>429.33</c:v>
                </c:pt>
              </c:numCache>
            </c:numRef>
          </c:val>
        </c:ser>
        <c:dLbls>
          <c:showLegendKey val="0"/>
          <c:showVal val="1"/>
          <c:showCatName val="0"/>
          <c:showSerName val="0"/>
          <c:showPercent val="0"/>
          <c:showBubbleSize val="0"/>
        </c:dLbls>
        <c:gapWidth val="150"/>
        <c:axId val="465030528"/>
        <c:axId val="472475904"/>
      </c:barChart>
      <c:catAx>
        <c:axId val="465030528"/>
        <c:scaling>
          <c:orientation val="minMax"/>
        </c:scaling>
        <c:delete val="0"/>
        <c:axPos val="b"/>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72475904"/>
        <c:crosses val="autoZero"/>
        <c:auto val="1"/>
        <c:lblAlgn val="ctr"/>
        <c:lblOffset val="100"/>
        <c:noMultiLvlLbl val="0"/>
      </c:catAx>
      <c:valAx>
        <c:axId val="472475904"/>
        <c:scaling>
          <c:orientation val="minMax"/>
        </c:scaling>
        <c:delete val="0"/>
        <c:axPos val="l"/>
        <c:majorGridlines>
          <c:spPr>
            <a:ln w="3175" cap="flat" cmpd="sng" algn="ctr">
              <a:solidFill>
                <a:srgbClr val="000000"/>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65030528"/>
        <c:crosses val="autoZero"/>
        <c:crossBetween val="between"/>
      </c:valAx>
      <c:spPr>
        <a:solidFill>
          <a:srgbClr val="C0C0C0"/>
        </a:solidFill>
        <a:ln w="12700">
          <a:solidFill>
            <a:srgbClr val="808080"/>
          </a:solidFill>
          <a:prstDash val="solid"/>
        </a:ln>
      </c:spPr>
    </c:plotArea>
    <c:legend>
      <c:legendPos val="r"/>
      <c:layout>
        <c:manualLayout>
          <c:xMode val="edge"/>
          <c:yMode val="edge"/>
          <c:x val="0.654343809869197"/>
          <c:y val="0.106309646076849"/>
          <c:w val="0.195652450821517"/>
          <c:h val="0.0537897952678447"/>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6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2    </a:t>
            </a:r>
            <a:r>
              <a:rPr lang="zh-CN" altLang="en-US"/>
              <a:t>收入决算结构图</a:t>
            </a:r>
            <a:endParaRPr lang="zh-CN" altLang="en-US"/>
          </a:p>
        </c:rich>
      </c:tx>
      <c:layout>
        <c:manualLayout>
          <c:xMode val="edge"/>
          <c:yMode val="edge"/>
          <c:x val="0.203610918027432"/>
          <c:y val="0"/>
        </c:manualLayout>
      </c:layout>
      <c:overlay val="0"/>
      <c:spPr>
        <a:noFill/>
        <a:ln w="25400">
          <a:noFill/>
        </a:ln>
      </c:spPr>
    </c:title>
    <c:autoTitleDeleted val="0"/>
    <c:plotArea>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Pt>
            <c:idx val="5"/>
            <c:bubble3D val="0"/>
            <c:spPr>
              <a:solidFill>
                <a:srgbClr val="FF8080"/>
              </a:solidFill>
              <a:ln w="12700">
                <a:solidFill>
                  <a:srgbClr val="000000"/>
                </a:solidFill>
                <a:prstDash val="solid"/>
              </a:ln>
            </c:spPr>
          </c:dPt>
          <c:dLbls>
            <c:dLbl>
              <c:idx val="2"/>
              <c:layout>
                <c:manualLayout>
                  <c:x val="-0.16324069328612"/>
                  <c:y val="0.110840860194967"/>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3"/>
              <c:layout>
                <c:manualLayout>
                  <c:x val="-0.00199808973582444"/>
                  <c:y val="-0.0769804130355592"/>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4"/>
              <c:layout>
                <c:manualLayout>
                  <c:x val="-0.207619391510972"/>
                  <c:y val="-0.0473244225254761"/>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5"/>
              <c:layout>
                <c:manualLayout>
                  <c:x val="0.18365279783814"/>
                  <c:y val="-0.00580603581135988"/>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numFmt formatCode="0%" sourceLinked="0"/>
            <c:spPr>
              <a:noFill/>
              <a:ln w="25400">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3175" cap="flat" cmpd="sng" algn="ctr">
                      <a:solidFill>
                        <a:srgbClr val="000000"/>
                      </a:solidFill>
                      <a:prstDash val="solid"/>
                      <a:round/>
                    </a:ln>
                  </c:spPr>
                </c15:leaderLines>
              </c:ext>
            </c:extLst>
          </c:dLbls>
          <c:cat>
            <c:strRef>
              <c:f>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Sheet1!$C$3:$C$8</c:f>
              <c:numCache>
                <c:formatCode>General</c:formatCode>
                <c:ptCount val="6"/>
                <c:pt idx="0">
                  <c:v>428.32</c:v>
                </c:pt>
                <c:pt idx="1">
                  <c:v>1.01</c:v>
                </c:pt>
                <c:pt idx="2">
                  <c:v>0</c:v>
                </c:pt>
                <c:pt idx="3">
                  <c:v>0</c:v>
                </c:pt>
                <c:pt idx="4">
                  <c:v>0</c:v>
                </c:pt>
                <c:pt idx="5">
                  <c:v>0</c:v>
                </c:pt>
              </c:numCache>
            </c:numRef>
          </c:val>
        </c:ser>
        <c:ser>
          <c:idx val="1"/>
          <c:order val="1"/>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Pt>
            <c:idx val="5"/>
            <c:bubble3D val="0"/>
            <c:spPr>
              <a:solidFill>
                <a:srgbClr val="FF8080"/>
              </a:solidFill>
              <a:ln w="12700">
                <a:solidFill>
                  <a:srgbClr val="000000"/>
                </a:solidFill>
                <a:prstDash val="solid"/>
              </a:ln>
            </c:spPr>
          </c:dPt>
          <c:dLbls>
            <c:delete val="1"/>
          </c:dLbls>
          <c:cat>
            <c:strRef>
              <c:f>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Sheet1!$D$3:$D$8</c:f>
              <c:numCache>
                <c:formatCode>0%</c:formatCode>
                <c:ptCount val="6"/>
                <c:pt idx="0">
                  <c:v>0.9976</c:v>
                </c:pt>
                <c:pt idx="1">
                  <c:v>0.0024</c:v>
                </c:pt>
                <c:pt idx="2">
                  <c:v>0</c:v>
                </c:pt>
                <c:pt idx="3">
                  <c:v>0</c:v>
                </c:pt>
                <c:pt idx="4">
                  <c:v>0</c:v>
                </c:pt>
                <c:pt idx="5">
                  <c:v>0</c:v>
                </c:pt>
              </c:numCache>
            </c:numRef>
          </c:val>
        </c:ser>
        <c:dLbls>
          <c:showLegendKey val="0"/>
          <c:showVal val="0"/>
          <c:showCatName val="0"/>
          <c:showSerName val="0"/>
          <c:showPercent val="0"/>
          <c:showBubbleSize val="0"/>
          <c:showLeaderLines val="0"/>
        </c:dLbls>
        <c:firstSliceAng val="0"/>
      </c:pieChart>
      <c:spPr>
        <a:noFill/>
        <a:ln w="25400">
          <a:noFill/>
        </a:ln>
      </c:spPr>
    </c:plotArea>
    <c:legend>
      <c:legendPos val="r"/>
      <c:layout>
        <c:manualLayout>
          <c:xMode val="edge"/>
          <c:yMode val="edge"/>
          <c:x val="0.645624555590195"/>
          <c:y val="0.282548858624127"/>
          <c:w val="0.328551162733677"/>
          <c:h val="0.709142233409575"/>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3    </a:t>
            </a:r>
            <a:r>
              <a:rPr lang="zh-CN" altLang="en-US"/>
              <a:t>支出决算结构图</a:t>
            </a:r>
            <a:endParaRPr lang="zh-CN" altLang="en-US"/>
          </a:p>
        </c:rich>
      </c:tx>
      <c:layout/>
      <c:overlay val="0"/>
      <c:spPr>
        <a:noFill/>
        <a:ln w="25400">
          <a:noFill/>
        </a:ln>
      </c:spPr>
    </c:title>
    <c:autoTitleDeleted val="0"/>
    <c:plotArea>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Lbls>
            <c:dLbl>
              <c:idx val="1"/>
              <c:layout>
                <c:manualLayout>
                  <c:x val="-0.0643002560038635"/>
                  <c:y val="0.0211134627442724"/>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264621907447943"/>
                  <c:y val="0.011506142071263"/>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25400">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3175" cap="flat" cmpd="sng" algn="ctr">
                      <a:solidFill>
                        <a:srgbClr val="000000"/>
                      </a:solidFill>
                      <a:prstDash val="solid"/>
                      <a:round/>
                    </a:ln>
                  </c:spPr>
                </c15:leaderLines>
              </c:ext>
            </c:extLst>
          </c:dLbls>
          <c:cat>
            <c:strRef>
              <c:f>Sheet1!$B$34:$B$38</c:f>
              <c:strCache>
                <c:ptCount val="5"/>
                <c:pt idx="0">
                  <c:v>基本支出</c:v>
                </c:pt>
                <c:pt idx="1">
                  <c:v>项目支出</c:v>
                </c:pt>
                <c:pt idx="2">
                  <c:v>上缴上级支出</c:v>
                </c:pt>
                <c:pt idx="3">
                  <c:v>经营支出</c:v>
                </c:pt>
                <c:pt idx="4">
                  <c:v>对附属单位补助支出</c:v>
                </c:pt>
              </c:strCache>
            </c:strRef>
          </c:cat>
          <c:val>
            <c:numRef>
              <c:f>Sheet1!$C$34:$C$38</c:f>
              <c:numCache>
                <c:formatCode>General</c:formatCode>
                <c:ptCount val="5"/>
                <c:pt idx="0">
                  <c:v>282.67</c:v>
                </c:pt>
                <c:pt idx="1">
                  <c:v>259.14</c:v>
                </c:pt>
                <c:pt idx="2">
                  <c:v>0</c:v>
                </c:pt>
                <c:pt idx="3">
                  <c:v>0</c:v>
                </c:pt>
                <c:pt idx="4">
                  <c:v>0</c:v>
                </c:pt>
              </c:numCache>
            </c:numRef>
          </c:val>
        </c:ser>
        <c:ser>
          <c:idx val="1"/>
          <c:order val="1"/>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Lbls>
            <c:delete val="1"/>
          </c:dLbls>
          <c:cat>
            <c:strRef>
              <c:f>Sheet1!$B$34:$B$38</c:f>
              <c:strCache>
                <c:ptCount val="5"/>
                <c:pt idx="0">
                  <c:v>基本支出</c:v>
                </c:pt>
                <c:pt idx="1">
                  <c:v>项目支出</c:v>
                </c:pt>
                <c:pt idx="2">
                  <c:v>上缴上级支出</c:v>
                </c:pt>
                <c:pt idx="3">
                  <c:v>经营支出</c:v>
                </c:pt>
                <c:pt idx="4">
                  <c:v>对附属单位补助支出</c:v>
                </c:pt>
              </c:strCache>
            </c:strRef>
          </c:cat>
          <c:val>
            <c:numRef>
              <c:f>Sheet1!$D$34:$D$38</c:f>
              <c:numCache>
                <c:formatCode>0.00%</c:formatCode>
                <c:ptCount val="5"/>
                <c:pt idx="0">
                  <c:v>0.8313</c:v>
                </c:pt>
                <c:pt idx="1">
                  <c:v>0.1687</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0"/>
        </c:dLbls>
        <c:firstSliceAng val="0"/>
      </c:pieChart>
      <c:spPr>
        <a:noFill/>
        <a:ln w="25400">
          <a:noFill/>
        </a:ln>
      </c:spPr>
    </c:plotArea>
    <c:legend>
      <c:legendPos val="r"/>
      <c:layout>
        <c:manualLayout>
          <c:xMode val="edge"/>
          <c:yMode val="edge"/>
          <c:x val="0.743553008595989"/>
          <c:y val="0.477900552486188"/>
          <c:w val="0.236389684813754"/>
          <c:h val="0.309392265193371"/>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5      </a:t>
            </a:r>
            <a:r>
              <a:rPr lang="zh-CN" altLang="en-US"/>
              <a:t>一般公共预算财政拨款支出决算变动情况</a:t>
            </a:r>
            <a:endParaRPr lang="zh-CN" altLang="en-US"/>
          </a:p>
        </c:rich>
      </c:tx>
      <c:layout>
        <c:manualLayout>
          <c:xMode val="edge"/>
          <c:yMode val="edge"/>
          <c:x val="0.110608705557375"/>
          <c:y val="0.0329566854990584"/>
        </c:manualLayout>
      </c:layout>
      <c:overlay val="0"/>
      <c:spPr>
        <a:noFill/>
        <a:ln w="25400">
          <a:noFill/>
        </a:ln>
      </c:spPr>
    </c:title>
    <c:autoTitleDeleted val="0"/>
    <c:plotArea>
      <c:layout/>
      <c:barChart>
        <c:barDir val="col"/>
        <c:grouping val="clustered"/>
        <c:varyColors val="0"/>
        <c:ser>
          <c:idx val="0"/>
          <c:order val="0"/>
          <c:tx>
            <c:strRef>
              <c:f>Sheet1!$A$85</c:f>
              <c:strCache>
                <c:ptCount val="1"/>
                <c:pt idx="0">
                  <c:v>一般公共预算财政拨款支出</c:v>
                </c:pt>
              </c:strCache>
            </c:strRef>
          </c:tx>
          <c:spPr>
            <a:solidFill>
              <a:srgbClr val="9999FF"/>
            </a:solidFill>
            <a:ln w="12700">
              <a:solidFill>
                <a:srgbClr val="000000"/>
              </a:solidFill>
              <a:prstDash val="solid"/>
            </a:ln>
          </c:spPr>
          <c:invertIfNegative val="0"/>
          <c:dLbls>
            <c:spPr>
              <a:noFill/>
              <a:ln w="25400">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Sheet1!$B$84:$C$84</c:f>
              <c:strCache>
                <c:ptCount val="2"/>
                <c:pt idx="0">
                  <c:v>2018年</c:v>
                </c:pt>
                <c:pt idx="1">
                  <c:v>2019年</c:v>
                </c:pt>
              </c:strCache>
            </c:strRef>
          </c:cat>
          <c:val>
            <c:numRef>
              <c:f>Sheet1!$B$85:$C$85</c:f>
              <c:numCache>
                <c:formatCode>General</c:formatCode>
                <c:ptCount val="2"/>
                <c:pt idx="0">
                  <c:v>262.09</c:v>
                </c:pt>
                <c:pt idx="1">
                  <c:v>541.8</c:v>
                </c:pt>
              </c:numCache>
            </c:numRef>
          </c:val>
        </c:ser>
        <c:dLbls>
          <c:showLegendKey val="0"/>
          <c:showVal val="1"/>
          <c:showCatName val="0"/>
          <c:showSerName val="0"/>
          <c:showPercent val="0"/>
          <c:showBubbleSize val="0"/>
        </c:dLbls>
        <c:gapWidth val="150"/>
        <c:axId val="470938368"/>
        <c:axId val="470941056"/>
      </c:barChart>
      <c:catAx>
        <c:axId val="470938368"/>
        <c:scaling>
          <c:orientation val="minMax"/>
        </c:scaling>
        <c:delete val="0"/>
        <c:axPos val="b"/>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70941056"/>
        <c:crosses val="autoZero"/>
        <c:auto val="1"/>
        <c:lblAlgn val="ctr"/>
        <c:lblOffset val="100"/>
        <c:noMultiLvlLbl val="0"/>
      </c:catAx>
      <c:valAx>
        <c:axId val="470941056"/>
        <c:scaling>
          <c:orientation val="minMax"/>
        </c:scaling>
        <c:delete val="0"/>
        <c:axPos val="l"/>
        <c:majorGridlines>
          <c:spPr>
            <a:ln w="3175" cap="flat" cmpd="sng" algn="ctr">
              <a:solidFill>
                <a:srgbClr val="000000"/>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70938368"/>
        <c:crosses val="autoZero"/>
        <c:crossBetween val="between"/>
      </c:valAx>
      <c:spPr>
        <a:solidFill>
          <a:srgbClr val="C0C0C0"/>
        </a:solidFill>
        <a:ln w="12700">
          <a:solidFill>
            <a:srgbClr val="808080"/>
          </a:solidFill>
          <a:prstDash val="solid"/>
        </a:ln>
      </c:spPr>
    </c:plotArea>
    <c:legend>
      <c:legendPos val="r"/>
      <c:layout>
        <c:manualLayout>
          <c:xMode val="edge"/>
          <c:yMode val="edge"/>
          <c:x val="0.680696661828737"/>
          <c:y val="0.541436464088398"/>
          <c:w val="0.309143686502177"/>
          <c:h val="0.0662983425414365"/>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6    </a:t>
            </a:r>
            <a:r>
              <a:rPr lang="zh-CN" altLang="en-US"/>
              <a:t>一般公共预算财政拨款支出决算结构</a:t>
            </a:r>
            <a:endParaRPr lang="zh-CN" altLang="en-US"/>
          </a:p>
        </c:rich>
      </c:tx>
      <c:layout>
        <c:manualLayout>
          <c:xMode val="edge"/>
          <c:yMode val="edge"/>
          <c:x val="0.127848799668738"/>
          <c:y val="0"/>
        </c:manualLayout>
      </c:layout>
      <c:overlay val="0"/>
      <c:spPr>
        <a:noFill/>
        <a:ln w="25400">
          <a:noFill/>
        </a:ln>
      </c:spPr>
    </c:title>
    <c:autoTitleDeleted val="0"/>
    <c:plotArea>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Lbls>
            <c:dLbl>
              <c:idx val="2"/>
              <c:layout>
                <c:manualLayout>
                  <c:x val="0.358772300579724"/>
                  <c:y val="0.0727138279516885"/>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229486284393377"/>
                  <c:y val="0.0456001971900419"/>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25400">
                <a:noFill/>
              </a:ln>
              <a:effectLst/>
            </c:spPr>
            <c:txPr>
              <a:bodyPr rot="0" spcFirstLastPara="0" vertOverflow="ellipsis" vert="horz" wrap="square" lIns="38100" tIns="19050" rIns="38100" bIns="19050" anchor="ctr" anchorCtr="1"/>
              <a:lstStyle/>
              <a:p>
                <a:pPr>
                  <a:defRPr lang="zh-CN" sz="10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3175" cap="flat" cmpd="sng" algn="ctr">
                      <a:solidFill>
                        <a:srgbClr val="000000"/>
                      </a:solidFill>
                      <a:prstDash val="solid"/>
                      <a:round/>
                    </a:ln>
                  </c:spPr>
                </c15:leaderLines>
              </c:ext>
            </c:extLst>
          </c:dLbls>
          <c:cat>
            <c:strRef>
              <c:f>Sheet1!$A$110:$A$113</c:f>
              <c:strCache>
                <c:ptCount val="4"/>
                <c:pt idx="0">
                  <c:v>一般公共服务支出</c:v>
                </c:pt>
                <c:pt idx="1">
                  <c:v>文化旅游支出</c:v>
                </c:pt>
                <c:pt idx="2">
                  <c:v>社会保障和就业支出</c:v>
                </c:pt>
                <c:pt idx="3">
                  <c:v>住房保障支出</c:v>
                </c:pt>
              </c:strCache>
            </c:strRef>
          </c:cat>
          <c:val>
            <c:numRef>
              <c:f>Sheet1!$B$110:$B$113</c:f>
              <c:numCache>
                <c:formatCode>General</c:formatCode>
                <c:ptCount val="4"/>
                <c:pt idx="0">
                  <c:v>439.08</c:v>
                </c:pt>
                <c:pt idx="1">
                  <c:v>48</c:v>
                </c:pt>
                <c:pt idx="2">
                  <c:v>28.86</c:v>
                </c:pt>
                <c:pt idx="3">
                  <c:v>25.86</c:v>
                </c:pt>
              </c:numCache>
            </c:numRef>
          </c:val>
        </c:ser>
        <c:ser>
          <c:idx val="1"/>
          <c:order val="1"/>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Lbls>
            <c:delete val="1"/>
          </c:dLbls>
          <c:cat>
            <c:strRef>
              <c:f>Sheet1!$A$110:$A$113</c:f>
              <c:strCache>
                <c:ptCount val="4"/>
                <c:pt idx="0">
                  <c:v>一般公共服务支出</c:v>
                </c:pt>
                <c:pt idx="1">
                  <c:v>文化旅游支出</c:v>
                </c:pt>
                <c:pt idx="2">
                  <c:v>社会保障和就业支出</c:v>
                </c:pt>
                <c:pt idx="3">
                  <c:v>住房保障支出</c:v>
                </c:pt>
              </c:strCache>
            </c:strRef>
          </c:cat>
          <c:val>
            <c:numRef>
              <c:f>Sheet1!$C$110:$C$113</c:f>
              <c:numCache>
                <c:formatCode>General</c:formatCode>
                <c:ptCount val="4"/>
                <c:pt idx="1">
                  <c:v>0</c:v>
                </c:pt>
                <c:pt idx="2" c:formatCode="0.00%">
                  <c:v>0.0947</c:v>
                </c:pt>
                <c:pt idx="3" c:formatCode="0.00%">
                  <c:v>0.0719</c:v>
                </c:pt>
              </c:numCache>
            </c:numRef>
          </c:val>
        </c:ser>
        <c:dLbls>
          <c:showLegendKey val="0"/>
          <c:showVal val="0"/>
          <c:showCatName val="0"/>
          <c:showSerName val="0"/>
          <c:showPercent val="0"/>
          <c:showBubbleSize val="0"/>
          <c:showLeaderLines val="0"/>
        </c:dLbls>
        <c:firstSliceAng val="0"/>
      </c:pieChart>
      <c:spPr>
        <a:noFill/>
        <a:ln w="25400">
          <a:noFill/>
        </a:ln>
      </c:spPr>
    </c:plotArea>
    <c:legend>
      <c:legendPos val="r"/>
      <c:layout>
        <c:manualLayout>
          <c:xMode val="edge"/>
          <c:yMode val="edge"/>
          <c:x val="0.739745403111741"/>
          <c:y val="0.475207090980811"/>
          <c:w val="0.233380480905234"/>
          <c:h val="0.283058136801613"/>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7   “</a:t>
            </a:r>
            <a:r>
              <a:rPr lang="zh-CN" altLang="en-US"/>
              <a:t>三公”经费财政拨款支出结构</a:t>
            </a:r>
            <a:endParaRPr lang="zh-CN" altLang="en-US"/>
          </a:p>
        </c:rich>
      </c:tx>
      <c:layout>
        <c:manualLayout>
          <c:xMode val="edge"/>
          <c:yMode val="edge"/>
          <c:x val="0.273508243100899"/>
          <c:y val="0.0648148148148148"/>
        </c:manualLayout>
      </c:layout>
      <c:overlay val="0"/>
      <c:spPr>
        <a:noFill/>
        <a:ln w="25400">
          <a:noFill/>
        </a:ln>
      </c:spPr>
    </c:title>
    <c:autoTitleDeleted val="0"/>
    <c:plotArea>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Lbls>
            <c:dLbl>
              <c:idx val="1"/>
              <c:layout>
                <c:manualLayout>
                  <c:x val="0.239960653658194"/>
                  <c:y val="0.152777777777778"/>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 sourceLinked="0"/>
            <c:spPr>
              <a:noFill/>
              <a:ln w="25400">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3175" cap="flat" cmpd="sng" algn="ctr">
                      <a:solidFill>
                        <a:srgbClr val="000000"/>
                      </a:solidFill>
                      <a:prstDash val="solid"/>
                      <a:round/>
                    </a:ln>
                  </c:spPr>
                </c15:leaderLines>
              </c:ext>
            </c:extLst>
          </c:dLbls>
          <c:cat>
            <c:strRef>
              <c:f>Sheet1!$B$138:$B$140</c:f>
              <c:strCache>
                <c:ptCount val="3"/>
                <c:pt idx="0">
                  <c:v>因公出国（境）费支出</c:v>
                </c:pt>
                <c:pt idx="1">
                  <c:v>公务用车购置及运行维护费支出</c:v>
                </c:pt>
                <c:pt idx="2">
                  <c:v>公务接待费支出</c:v>
                </c:pt>
              </c:strCache>
            </c:strRef>
          </c:cat>
          <c:val>
            <c:numRef>
              <c:f>Sheet1!$C$138:$C$140</c:f>
              <c:numCache>
                <c:formatCode>General</c:formatCode>
                <c:ptCount val="3"/>
                <c:pt idx="0">
                  <c:v>0</c:v>
                </c:pt>
                <c:pt idx="2">
                  <c:v>0.14</c:v>
                </c:pt>
              </c:numCache>
            </c:numRef>
          </c:val>
        </c:ser>
        <c:ser>
          <c:idx val="1"/>
          <c:order val="1"/>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Lbls>
            <c:delete val="1"/>
          </c:dLbls>
          <c:cat>
            <c:strRef>
              <c:f>Sheet1!$B$138:$B$140</c:f>
              <c:strCache>
                <c:ptCount val="3"/>
                <c:pt idx="0">
                  <c:v>因公出国（境）费支出</c:v>
                </c:pt>
                <c:pt idx="1">
                  <c:v>公务用车购置及运行维护费支出</c:v>
                </c:pt>
                <c:pt idx="2">
                  <c:v>公务接待费支出</c:v>
                </c:pt>
              </c:strCache>
            </c:strRef>
          </c:cat>
          <c:val>
            <c:numRef>
              <c:f>Sheet1!$D$140:$D$142</c:f>
              <c:numCache>
                <c:formatCode>General</c:formatCode>
                <c:ptCount val="3"/>
                <c:pt idx="0">
                  <c:v>0</c:v>
                </c:pt>
                <c:pt idx="1" c:formatCode="0%">
                  <c:v>0.7971</c:v>
                </c:pt>
                <c:pt idx="2" c:formatCode="0%">
                  <c:v>0.2029</c:v>
                </c:pt>
              </c:numCache>
            </c:numRef>
          </c:val>
        </c:ser>
        <c:dLbls>
          <c:showLegendKey val="0"/>
          <c:showVal val="0"/>
          <c:showCatName val="0"/>
          <c:showSerName val="0"/>
          <c:showPercent val="0"/>
          <c:showBubbleSize val="0"/>
          <c:showLeaderLines val="0"/>
        </c:dLbls>
        <c:firstSliceAng val="0"/>
      </c:pieChart>
      <c:spPr>
        <a:noFill/>
        <a:ln w="25400">
          <a:noFill/>
        </a:ln>
      </c:spPr>
    </c:plotArea>
    <c:legend>
      <c:legendPos val="r"/>
      <c:layout>
        <c:manualLayout>
          <c:xMode val="edge"/>
          <c:yMode val="edge"/>
          <c:x val="0.640000925927265"/>
          <c:y val="0.437673722182472"/>
          <c:w val="0.339259750086444"/>
          <c:h val="0.357341203554043"/>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9F1B5B-24F1-43A9-A54D-2157346F9655}">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31</Pages>
  <Words>2534</Words>
  <Characters>14447</Characters>
  <Lines>120</Lines>
  <Paragraphs>33</Paragraphs>
  <TotalTime>150</TotalTime>
  <ScaleCrop>false</ScaleCrop>
  <LinksUpToDate>false</LinksUpToDate>
  <CharactersWithSpaces>16948</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2020-10-27T14:17:00Z</dcterms:created>
  <dc:creator>曹颖</dc:creator>
  <cp:lastModifiedBy>错位节拍~正版</cp:lastModifiedBy>
  <cp:lastPrinted>2020-10-28T02:29:00Z</cp:lastPrinted>
  <dcterms:modified xsi:type="dcterms:W3CDTF">2021-09-08T02:23:13Z</dcterms:modified>
  <dc:title>四川省***</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C8782F0781A640188D1F86193E7B912D</vt:lpwstr>
  </property>
</Properties>
</file>