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203" w:rightChars="97"/>
        <w:jc w:val="left"/>
        <w:textAlignment w:val="auto"/>
        <w:rPr>
          <w:rFonts w:hint="eastAsia" w:ascii="方正小标宋简体" w:eastAsia="方正小标宋简体"/>
          <w:color w:val="FF0000"/>
          <w:sz w:val="96"/>
          <w:szCs w:val="96"/>
        </w:rPr>
      </w:pPr>
    </w:p>
    <w:p>
      <w:pPr>
        <w:spacing w:line="700" w:lineRule="exact"/>
        <w:rPr>
          <w:rFonts w:ascii="Times New Roman" w:hAnsi="Times New Roman" w:eastAsia="黑体" w:cs="Times New Roman"/>
          <w:sz w:val="32"/>
          <w:szCs w:val="32"/>
        </w:rPr>
      </w:pPr>
      <w:r>
        <w:rPr>
          <w:rFonts w:ascii="Times New Roman" w:hAnsi="Times New Roman" w:eastAsia="黑体" w:cs="Times New Roman"/>
          <w:sz w:val="32"/>
          <w:szCs w:val="32"/>
        </w:rPr>
        <w:t>附件1</w:t>
      </w:r>
    </w:p>
    <w:p>
      <w:pPr>
        <w:spacing w:line="7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不予处罚事项清单</w:t>
      </w:r>
    </w:p>
    <w:p>
      <w:pPr>
        <w:spacing w:line="700" w:lineRule="exact"/>
        <w:jc w:val="center"/>
        <w:rPr>
          <w:rFonts w:ascii="Times New Roman" w:hAnsi="Times New Roman" w:eastAsia="方正小标宋_GBK" w:cs="Times New Roman"/>
          <w:sz w:val="44"/>
          <w:szCs w:val="4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544"/>
        <w:gridCol w:w="5386"/>
        <w:gridCol w:w="255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70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序号</w:t>
            </w:r>
          </w:p>
        </w:tc>
        <w:tc>
          <w:tcPr>
            <w:tcW w:w="3544" w:type="dxa"/>
            <w:vAlign w:val="center"/>
          </w:tcPr>
          <w:p>
            <w:pPr>
              <w:spacing w:line="70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处罚事项</w:t>
            </w:r>
          </w:p>
        </w:tc>
        <w:tc>
          <w:tcPr>
            <w:tcW w:w="5386" w:type="dxa"/>
            <w:vAlign w:val="center"/>
          </w:tcPr>
          <w:p>
            <w:pPr>
              <w:spacing w:line="70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不予处罚的情形</w:t>
            </w:r>
          </w:p>
        </w:tc>
        <w:tc>
          <w:tcPr>
            <w:tcW w:w="2552" w:type="dxa"/>
            <w:vAlign w:val="center"/>
          </w:tcPr>
          <w:p>
            <w:pPr>
              <w:spacing w:line="70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不予处罚的依据</w:t>
            </w:r>
          </w:p>
        </w:tc>
        <w:tc>
          <w:tcPr>
            <w:tcW w:w="1559" w:type="dxa"/>
            <w:vAlign w:val="center"/>
          </w:tcPr>
          <w:p>
            <w:pPr>
              <w:spacing w:line="700" w:lineRule="exact"/>
              <w:jc w:val="center"/>
              <w:rPr>
                <w:rFonts w:ascii="Times New Roman" w:hAnsi="Times New Roman" w:eastAsia="黑体" w:cs="Times New Roman"/>
                <w:sz w:val="32"/>
                <w:szCs w:val="32"/>
              </w:rPr>
            </w:pPr>
            <w:r>
              <w:rPr>
                <w:rFonts w:ascii="Times New Roman" w:hAnsi="Times New Roman" w:eastAsia="黑体" w:cs="Times New Roman"/>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959" w:type="dxa"/>
            <w:vAlign w:val="center"/>
          </w:tcPr>
          <w:p>
            <w:pPr>
              <w:spacing w:line="400" w:lineRule="exact"/>
              <w:jc w:val="center"/>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940</w:t>
            </w:r>
          </w:p>
        </w:tc>
        <w:tc>
          <w:tcPr>
            <w:tcW w:w="3544" w:type="dxa"/>
            <w:vAlign w:val="center"/>
          </w:tcPr>
          <w:p>
            <w:pPr>
              <w:spacing w:line="300" w:lineRule="exact"/>
              <w:jc w:val="lef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对未经批准，擅自建设殡葬设施的处罚</w:t>
            </w:r>
          </w:p>
        </w:tc>
        <w:tc>
          <w:tcPr>
            <w:tcW w:w="5386" w:type="dxa"/>
            <w:vAlign w:val="center"/>
          </w:tcPr>
          <w:p>
            <w:pPr>
              <w:spacing w:line="300" w:lineRule="exac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（一）违法行为轻微并及时纠正，没有造成危害后果。</w:t>
            </w:r>
          </w:p>
          <w:p>
            <w:pPr>
              <w:spacing w:line="300" w:lineRule="exac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（二）初次违法且危害后果轻微并及时改正的。</w:t>
            </w:r>
          </w:p>
        </w:tc>
        <w:tc>
          <w:tcPr>
            <w:tcW w:w="2552" w:type="dxa"/>
            <w:vAlign w:val="center"/>
          </w:tcPr>
          <w:p>
            <w:pPr>
              <w:spacing w:line="300" w:lineRule="exact"/>
              <w:jc w:val="center"/>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《中华人民共和国行政处罚法》第三十三条第一款</w:t>
            </w:r>
          </w:p>
        </w:tc>
        <w:tc>
          <w:tcPr>
            <w:tcW w:w="1559" w:type="dxa"/>
          </w:tcPr>
          <w:p>
            <w:pPr>
              <w:spacing w:line="700" w:lineRule="exact"/>
              <w:rPr>
                <w:rFonts w:hint="eastAsia" w:ascii="方正仿宋_GB2312" w:hAnsi="方正仿宋_GB2312" w:eastAsia="方正仿宋_GB2312" w:cs="方正仿宋_GB2312"/>
                <w:sz w:val="30"/>
                <w:szCs w:val="30"/>
              </w:rPr>
            </w:pPr>
          </w:p>
        </w:tc>
      </w:tr>
    </w:tbl>
    <w:p>
      <w:pPr>
        <w:spacing w:line="700" w:lineRule="exact"/>
        <w:rPr>
          <w:rFonts w:ascii="Times New Roman" w:hAnsi="Times New Roman" w:eastAsia="方正小标宋_GBK" w:cs="Times New Roman"/>
          <w:sz w:val="44"/>
          <w:szCs w:val="44"/>
        </w:rPr>
      </w:pPr>
    </w:p>
    <w:p>
      <w:pPr>
        <w:spacing w:line="700" w:lineRule="exact"/>
        <w:rPr>
          <w:rFonts w:ascii="Times New Roman" w:hAnsi="Times New Roman" w:eastAsia="方正小标宋_GBK" w:cs="Times New Roman"/>
          <w:sz w:val="44"/>
          <w:szCs w:val="44"/>
        </w:rPr>
      </w:pPr>
    </w:p>
    <w:p>
      <w:pPr>
        <w:spacing w:line="700" w:lineRule="exact"/>
        <w:rPr>
          <w:rFonts w:ascii="Times New Roman" w:hAnsi="Times New Roman" w:eastAsia="方正小标宋_GBK" w:cs="Times New Roman"/>
          <w:sz w:val="44"/>
          <w:szCs w:val="44"/>
        </w:rPr>
      </w:pPr>
    </w:p>
    <w:p>
      <w:pPr>
        <w:spacing w:line="700" w:lineRule="exact"/>
        <w:rPr>
          <w:rFonts w:ascii="Times New Roman" w:hAnsi="Times New Roman" w:eastAsia="黑体" w:cs="Times New Roman"/>
          <w:sz w:val="32"/>
          <w:szCs w:val="32"/>
        </w:rPr>
      </w:pPr>
    </w:p>
    <w:p>
      <w:pPr>
        <w:spacing w:line="700" w:lineRule="exact"/>
        <w:rPr>
          <w:rFonts w:ascii="Times New Roman" w:hAnsi="Times New Roman" w:eastAsia="黑体" w:cs="Times New Roman"/>
          <w:sz w:val="32"/>
          <w:szCs w:val="32"/>
        </w:rPr>
      </w:pPr>
      <w:r>
        <w:rPr>
          <w:rFonts w:ascii="Times New Roman" w:hAnsi="Times New Roman" w:eastAsia="黑体" w:cs="Times New Roman"/>
          <w:sz w:val="32"/>
          <w:szCs w:val="32"/>
        </w:rPr>
        <w:t>附件2</w:t>
      </w:r>
    </w:p>
    <w:p>
      <w:pPr>
        <w:spacing w:line="7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 xml:space="preserve">减轻处罚事项清单 </w:t>
      </w:r>
    </w:p>
    <w:p>
      <w:pPr>
        <w:spacing w:line="700" w:lineRule="exact"/>
        <w:jc w:val="center"/>
        <w:rPr>
          <w:rFonts w:ascii="Times New Roman" w:hAnsi="Times New Roman" w:eastAsia="方正小标宋_GBK" w:cs="Times New Roman"/>
          <w:sz w:val="44"/>
          <w:szCs w:val="44"/>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544"/>
        <w:gridCol w:w="5386"/>
        <w:gridCol w:w="2552"/>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序号</w:t>
            </w:r>
          </w:p>
        </w:tc>
        <w:tc>
          <w:tcPr>
            <w:tcW w:w="3544" w:type="dxa"/>
            <w:vAlign w:val="center"/>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处罚事项</w:t>
            </w:r>
          </w:p>
        </w:tc>
        <w:tc>
          <w:tcPr>
            <w:tcW w:w="5386" w:type="dxa"/>
            <w:vAlign w:val="center"/>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减轻处罚的情形</w:t>
            </w:r>
          </w:p>
        </w:tc>
        <w:tc>
          <w:tcPr>
            <w:tcW w:w="2552" w:type="dxa"/>
            <w:vAlign w:val="center"/>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减轻处罚的依据</w:t>
            </w:r>
          </w:p>
        </w:tc>
        <w:tc>
          <w:tcPr>
            <w:tcW w:w="1733" w:type="dxa"/>
            <w:vAlign w:val="center"/>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0" w:hRule="atLeast"/>
        </w:trPr>
        <w:tc>
          <w:tcPr>
            <w:tcW w:w="959" w:type="dxa"/>
            <w:vAlign w:val="center"/>
          </w:tcPr>
          <w:p>
            <w:pPr>
              <w:spacing w:line="400" w:lineRule="exact"/>
              <w:jc w:val="center"/>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940</w:t>
            </w:r>
          </w:p>
        </w:tc>
        <w:tc>
          <w:tcPr>
            <w:tcW w:w="3544" w:type="dxa"/>
            <w:vAlign w:val="center"/>
          </w:tcPr>
          <w:p>
            <w:pPr>
              <w:spacing w:line="300" w:lineRule="exact"/>
              <w:jc w:val="lef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对未经批准，擅自建设殡葬设施的处罚</w:t>
            </w:r>
          </w:p>
        </w:tc>
        <w:tc>
          <w:tcPr>
            <w:tcW w:w="5386" w:type="dxa"/>
          </w:tcPr>
          <w:p>
            <w:pPr>
              <w:spacing w:line="300" w:lineRule="exact"/>
              <w:rPr>
                <w:rFonts w:hint="eastAsia" w:ascii="方正仿宋_GB2312" w:hAnsi="方正仿宋_GB2312" w:eastAsia="方正仿宋_GB2312" w:cs="方正仿宋_GB2312"/>
                <w:sz w:val="30"/>
                <w:szCs w:val="30"/>
              </w:rPr>
            </w:pPr>
          </w:p>
          <w:p>
            <w:pPr>
              <w:spacing w:line="300" w:lineRule="exac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（一）主动消除或者减轻违法行为危害后果的；</w:t>
            </w:r>
          </w:p>
          <w:p>
            <w:pPr>
              <w:spacing w:line="300" w:lineRule="exac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（二）受他人胁迫或者诱骗实施违法行为的；</w:t>
            </w:r>
          </w:p>
          <w:p>
            <w:pPr>
              <w:spacing w:line="300" w:lineRule="exac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（三）主动供述行政机关尚未掌握的违法行为的；</w:t>
            </w:r>
          </w:p>
          <w:p>
            <w:pPr>
              <w:spacing w:line="300" w:lineRule="exac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（四）配合行政机关查处违法行为有立功表现的；</w:t>
            </w:r>
          </w:p>
          <w:p>
            <w:pPr>
              <w:spacing w:line="300" w:lineRule="exac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（五）法律、法规、规章规定其他应当减轻行政处罚的。</w:t>
            </w:r>
          </w:p>
        </w:tc>
        <w:tc>
          <w:tcPr>
            <w:tcW w:w="2552" w:type="dxa"/>
            <w:vAlign w:val="center"/>
          </w:tcPr>
          <w:p>
            <w:pPr>
              <w:spacing w:line="300" w:lineRule="exact"/>
              <w:jc w:val="center"/>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《中华人民共和国行政处罚法》第三十二条</w:t>
            </w:r>
          </w:p>
        </w:tc>
        <w:tc>
          <w:tcPr>
            <w:tcW w:w="1733" w:type="dxa"/>
          </w:tcPr>
          <w:p>
            <w:pPr>
              <w:spacing w:line="700" w:lineRule="exact"/>
              <w:rPr>
                <w:rFonts w:hint="eastAsia" w:ascii="方正仿宋_GB2312" w:hAnsi="方正仿宋_GB2312" w:eastAsia="方正仿宋_GB2312" w:cs="方正仿宋_GB2312"/>
                <w:sz w:val="30"/>
                <w:szCs w:val="30"/>
              </w:rPr>
            </w:pPr>
          </w:p>
        </w:tc>
      </w:tr>
    </w:tbl>
    <w:p>
      <w:pPr>
        <w:spacing w:line="700" w:lineRule="exact"/>
        <w:rPr>
          <w:rFonts w:ascii="Times New Roman" w:hAnsi="Times New Roman" w:eastAsia="黑体" w:cs="Times New Roman"/>
          <w:sz w:val="32"/>
          <w:szCs w:val="32"/>
        </w:rPr>
      </w:pPr>
    </w:p>
    <w:p>
      <w:pPr>
        <w:spacing w:line="700" w:lineRule="exact"/>
        <w:rPr>
          <w:rFonts w:ascii="Times New Roman" w:hAnsi="Times New Roman" w:eastAsia="黑体" w:cs="Times New Roman"/>
          <w:sz w:val="32"/>
          <w:szCs w:val="32"/>
        </w:rPr>
      </w:pPr>
    </w:p>
    <w:p>
      <w:pPr>
        <w:spacing w:line="700" w:lineRule="exact"/>
        <w:rPr>
          <w:rFonts w:ascii="Times New Roman" w:hAnsi="Times New Roman" w:eastAsia="黑体" w:cs="Times New Roman"/>
          <w:sz w:val="32"/>
          <w:szCs w:val="32"/>
        </w:rPr>
      </w:pPr>
      <w:bookmarkStart w:id="0" w:name="_GoBack"/>
      <w:bookmarkEnd w:id="0"/>
      <w:r>
        <w:rPr>
          <w:rFonts w:ascii="Times New Roman" w:hAnsi="Times New Roman" w:eastAsia="黑体" w:cs="Times New Roman"/>
          <w:sz w:val="32"/>
          <w:szCs w:val="32"/>
        </w:rPr>
        <w:t>附件3</w:t>
      </w:r>
    </w:p>
    <w:p>
      <w:pPr>
        <w:spacing w:line="70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从轻处罚事项清单</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544"/>
        <w:gridCol w:w="5386"/>
        <w:gridCol w:w="2552"/>
        <w:gridCol w:w="17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序号</w:t>
            </w:r>
          </w:p>
        </w:tc>
        <w:tc>
          <w:tcPr>
            <w:tcW w:w="3544" w:type="dxa"/>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处罚事项</w:t>
            </w:r>
          </w:p>
        </w:tc>
        <w:tc>
          <w:tcPr>
            <w:tcW w:w="5386" w:type="dxa"/>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从轻处罚的情形</w:t>
            </w:r>
          </w:p>
        </w:tc>
        <w:tc>
          <w:tcPr>
            <w:tcW w:w="2552" w:type="dxa"/>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从轻处罚的依据</w:t>
            </w:r>
          </w:p>
        </w:tc>
        <w:tc>
          <w:tcPr>
            <w:tcW w:w="1733" w:type="dxa"/>
          </w:tcPr>
          <w:p>
            <w:pPr>
              <w:jc w:val="center"/>
              <w:rPr>
                <w:rFonts w:ascii="Times New Roman" w:hAnsi="Times New Roman" w:eastAsia="黑体" w:cs="Times New Roman"/>
                <w:sz w:val="32"/>
                <w:szCs w:val="32"/>
              </w:rPr>
            </w:pPr>
            <w:r>
              <w:rPr>
                <w:rFonts w:ascii="Times New Roman" w:hAnsi="Times New Roman" w:eastAsia="黑体" w:cs="Times New Roman"/>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5" w:hRule="atLeast"/>
        </w:trPr>
        <w:tc>
          <w:tcPr>
            <w:tcW w:w="959" w:type="dxa"/>
            <w:vAlign w:val="center"/>
          </w:tcPr>
          <w:p>
            <w:pPr>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936</w:t>
            </w:r>
          </w:p>
        </w:tc>
        <w:tc>
          <w:tcPr>
            <w:tcW w:w="3544" w:type="dxa"/>
          </w:tcPr>
          <w:p>
            <w:pPr>
              <w:spacing w:line="300" w:lineRule="exact"/>
              <w:rPr>
                <w:rFonts w:hint="eastAsia" w:ascii="方正仿宋_GB2312" w:hAnsi="方正仿宋_GB2312" w:eastAsia="方正仿宋_GB2312" w:cs="方正仿宋_GB2312"/>
                <w:sz w:val="28"/>
                <w:szCs w:val="28"/>
              </w:rPr>
            </w:pPr>
          </w:p>
          <w:p>
            <w:pPr>
              <w:spacing w:line="300"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对社会团体涂改、出租、出借《社会团体法人登记证书》，或者出租、出借社会团体印章的，超出章程规定的宗旨和业务范围进行活动，拒不接受或者不按照规定接受监督检查，不按照规定办理变更登记，违反规定设立分支机构、代表机构，对分支机构、代表机构疏于管理造成严重后果，从事营利性的经营活动，侵占、私分、挪用社会团体资产或者所接受的捐赠、资助，违反国家有关规定收取费用、筹集资金或者接受、使用捐赠、资助等情形的处罚</w:t>
            </w:r>
          </w:p>
        </w:tc>
        <w:tc>
          <w:tcPr>
            <w:tcW w:w="5386" w:type="dxa"/>
            <w:vAlign w:val="center"/>
          </w:tcPr>
          <w:p>
            <w:pPr>
              <w:spacing w:line="300" w:lineRule="exact"/>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主动消除或者减轻涂改、出租、出借《社会团体法人登记证书》，或者出租、出借社会团体印章的，超出章程规定的宗旨和业务范围进行活动，不按照规定办理变更登记，从事营利性的经营活动，侵占、私分、挪用社会团体资产或者所接受的捐赠、资助，违反国家有关规定收取费用、筹集资金或者接受、使用捐赠、资助等违法行为危害后果，受他人胁迫，配合行政机关查处违法行为有立功表现和其他依法从轻行政处罚的情形。</w:t>
            </w:r>
          </w:p>
        </w:tc>
        <w:tc>
          <w:tcPr>
            <w:tcW w:w="2552" w:type="dxa"/>
            <w:vAlign w:val="center"/>
          </w:tcPr>
          <w:p>
            <w:pPr>
              <w:jc w:val="center"/>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《中华人民共和国行政处罚法》第三十二条</w:t>
            </w:r>
          </w:p>
        </w:tc>
        <w:tc>
          <w:tcPr>
            <w:tcW w:w="1733" w:type="dxa"/>
          </w:tcPr>
          <w:p>
            <w:pPr>
              <w:jc w:val="center"/>
              <w:rPr>
                <w:rFonts w:hint="eastAsia" w:ascii="方正仿宋_GB2312" w:hAnsi="方正仿宋_GB2312" w:eastAsia="方正仿宋_GB2312" w:cs="方正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0" w:hRule="atLeast"/>
        </w:trPr>
        <w:tc>
          <w:tcPr>
            <w:tcW w:w="959" w:type="dxa"/>
            <w:vAlign w:val="center"/>
          </w:tcPr>
          <w:p>
            <w:pPr>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938</w:t>
            </w:r>
          </w:p>
        </w:tc>
        <w:tc>
          <w:tcPr>
            <w:tcW w:w="3544" w:type="dxa"/>
          </w:tcPr>
          <w:p>
            <w:pPr>
              <w:spacing w:line="300" w:lineRule="exact"/>
              <w:rPr>
                <w:rFonts w:hint="eastAsia" w:ascii="方正仿宋_GB2312" w:hAnsi="方正仿宋_GB2312" w:eastAsia="方正仿宋_GB2312" w:cs="方正仿宋_GB2312"/>
                <w:sz w:val="28"/>
                <w:szCs w:val="28"/>
              </w:rPr>
            </w:pPr>
          </w:p>
          <w:p>
            <w:pPr>
              <w:spacing w:line="300" w:lineRule="exac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对民办非企业单位涂改、出租、出借民办非企业单位登记证书，或者出租、出借民办非企业单位印章，超出其章程规定的宗旨和业务范围进行活动，拒不接受或者不按照规定接受监督检查，不按照规定办理变更登记的，设立分支机构，从事营利性的经营活动，侵占、私分、挪用民办非企业单位的资产或者所接受的捐赠、资助，违反国家有关规定收取费用、筹集资金或者接受使用捐赠、资助等情形的处罚</w:t>
            </w:r>
          </w:p>
        </w:tc>
        <w:tc>
          <w:tcPr>
            <w:tcW w:w="5386" w:type="dxa"/>
          </w:tcPr>
          <w:p>
            <w:pPr>
              <w:spacing w:line="300" w:lineRule="exact"/>
              <w:jc w:val="left"/>
              <w:rPr>
                <w:rFonts w:hint="eastAsia" w:ascii="方正仿宋_GB2312" w:hAnsi="方正仿宋_GB2312" w:eastAsia="方正仿宋_GB2312" w:cs="方正仿宋_GB2312"/>
                <w:sz w:val="28"/>
                <w:szCs w:val="28"/>
              </w:rPr>
            </w:pPr>
          </w:p>
          <w:p>
            <w:pPr>
              <w:spacing w:line="300" w:lineRule="exact"/>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主动消除或者减轻民办非企业单位涂改、出租、出借民办非企业单位登记证书，或者出租、出借民办非企业单位印章，超出其章程规定的宗旨和业务范围进行活动，不按照规定办理变更登记的，设立分支机构，从事营利性的经营活动，侵占、私分、挪用民办非企业单位的资产或者所接受的捐赠、资助，违反国家有关规定收取费用、筹集资金或者接受使用捐赠、资助等违法行为危害后果，受他人胁迫，配合行政机关查处违法行为有立功表现和其他依法从轻行政处罚的情形。</w:t>
            </w:r>
          </w:p>
        </w:tc>
        <w:tc>
          <w:tcPr>
            <w:tcW w:w="2552" w:type="dxa"/>
            <w:vAlign w:val="center"/>
          </w:tcPr>
          <w:p>
            <w:pPr>
              <w:jc w:val="center"/>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《中华人民共和国行政处罚法》第三十二条</w:t>
            </w:r>
          </w:p>
        </w:tc>
        <w:tc>
          <w:tcPr>
            <w:tcW w:w="1733" w:type="dxa"/>
          </w:tcPr>
          <w:p>
            <w:pPr>
              <w:jc w:val="center"/>
              <w:rPr>
                <w:rFonts w:hint="eastAsia" w:ascii="方正仿宋_GB2312" w:hAnsi="方正仿宋_GB2312" w:eastAsia="方正仿宋_GB2312" w:cs="方正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400" w:lineRule="exact"/>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940</w:t>
            </w:r>
          </w:p>
        </w:tc>
        <w:tc>
          <w:tcPr>
            <w:tcW w:w="3544" w:type="dxa"/>
            <w:vAlign w:val="center"/>
          </w:tcPr>
          <w:p>
            <w:pPr>
              <w:spacing w:line="300" w:lineRule="exact"/>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对未经批准，擅自建设殡葬设施的处罚</w:t>
            </w:r>
          </w:p>
        </w:tc>
        <w:tc>
          <w:tcPr>
            <w:tcW w:w="5386" w:type="dxa"/>
          </w:tcPr>
          <w:p>
            <w:pPr>
              <w:spacing w:line="300" w:lineRule="exact"/>
              <w:jc w:val="left"/>
              <w:rPr>
                <w:rFonts w:hint="eastAsia" w:ascii="方正仿宋_GB2312" w:hAnsi="方正仿宋_GB2312" w:eastAsia="方正仿宋_GB2312" w:cs="方正仿宋_GB2312"/>
                <w:sz w:val="28"/>
                <w:szCs w:val="28"/>
              </w:rPr>
            </w:pPr>
          </w:p>
          <w:p>
            <w:pPr>
              <w:spacing w:line="300" w:lineRule="exact"/>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（一）主动消除或者减轻违法行为危害后果的；</w:t>
            </w:r>
          </w:p>
          <w:p>
            <w:pPr>
              <w:spacing w:line="300" w:lineRule="exact"/>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（二）受他人胁迫或者诱骗实施违法行为的；</w:t>
            </w:r>
          </w:p>
          <w:p>
            <w:pPr>
              <w:spacing w:line="300" w:lineRule="exact"/>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（三）主动供述行政机关尚未掌握的违法行为的；</w:t>
            </w:r>
          </w:p>
          <w:p>
            <w:pPr>
              <w:spacing w:line="300" w:lineRule="exact"/>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（四）配合行政机关查处违法行为有立功表现的；</w:t>
            </w:r>
          </w:p>
          <w:p>
            <w:pPr>
              <w:spacing w:line="300" w:lineRule="exact"/>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（五）法律、法规、规章规定其他应当从轻行政处罚的。</w:t>
            </w:r>
          </w:p>
        </w:tc>
        <w:tc>
          <w:tcPr>
            <w:tcW w:w="2552" w:type="dxa"/>
            <w:vAlign w:val="center"/>
          </w:tcPr>
          <w:p>
            <w:pPr>
              <w:spacing w:line="300" w:lineRule="exact"/>
              <w:jc w:val="left"/>
              <w:rPr>
                <w:rFonts w:hint="eastAsia" w:ascii="方正仿宋_GB2312" w:hAnsi="方正仿宋_GB2312" w:eastAsia="方正仿宋_GB2312" w:cs="方正仿宋_GB2312"/>
                <w:sz w:val="30"/>
                <w:szCs w:val="30"/>
              </w:rPr>
            </w:pPr>
            <w:r>
              <w:rPr>
                <w:rFonts w:hint="eastAsia" w:ascii="方正仿宋_GB2312" w:hAnsi="方正仿宋_GB2312" w:eastAsia="方正仿宋_GB2312" w:cs="方正仿宋_GB2312"/>
                <w:sz w:val="30"/>
                <w:szCs w:val="30"/>
              </w:rPr>
              <w:t>《中华人民共和国行政处罚法》第三十二条</w:t>
            </w:r>
          </w:p>
        </w:tc>
        <w:tc>
          <w:tcPr>
            <w:tcW w:w="1733" w:type="dxa"/>
          </w:tcPr>
          <w:p>
            <w:pPr>
              <w:spacing w:line="700" w:lineRule="exact"/>
              <w:rPr>
                <w:rFonts w:hint="eastAsia" w:ascii="方正仿宋_GB2312" w:hAnsi="方正仿宋_GB2312" w:eastAsia="方正仿宋_GB2312" w:cs="方正仿宋_GB2312"/>
                <w:sz w:val="30"/>
                <w:szCs w:val="30"/>
              </w:rPr>
            </w:pPr>
          </w:p>
        </w:tc>
      </w:tr>
    </w:tbl>
    <w:p>
      <w:pPr>
        <w:keepNext w:val="0"/>
        <w:keepLines w:val="0"/>
        <w:pageBreakBefore w:val="0"/>
        <w:widowControl w:val="0"/>
        <w:pBdr>
          <w:bottom w:val="none" w:color="auto" w:sz="0" w:space="0"/>
        </w:pBdr>
        <w:kinsoku/>
        <w:wordWrap/>
        <w:overflowPunct/>
        <w:topLinePunct w:val="0"/>
        <w:autoSpaceDE/>
        <w:autoSpaceDN/>
        <w:bidi w:val="0"/>
        <w:adjustRightInd/>
        <w:snapToGrid/>
        <w:spacing w:line="20" w:lineRule="exact"/>
        <w:textAlignment w:val="auto"/>
        <w:rPr>
          <w:rFonts w:hint="eastAsia" w:ascii="Times New Roman" w:hAnsi="Times New Roman" w:eastAsia="方正小标宋_GBK" w:cs="Times New Roman"/>
          <w:sz w:val="44"/>
          <w:szCs w:val="44"/>
          <w:lang w:val="en-US" w:eastAsia="zh-CN"/>
        </w:rPr>
      </w:pPr>
    </w:p>
    <w:sectPr>
      <w:footerReference r:id="rId3" w:type="default"/>
      <w:footerReference r:id="rId4" w:type="even"/>
      <w:pgSz w:w="16838" w:h="11906" w:orient="landscape"/>
      <w:pgMar w:top="1797" w:right="1440" w:bottom="1797" w:left="1440"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auto"/>
    <w:pitch w:val="default"/>
    <w:sig w:usb0="A00002BF" w:usb1="38CF7CFA" w:usb2="00082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4081271"/>
      <w:docPartObj>
        <w:docPartGallery w:val="autotext"/>
      </w:docPartObj>
    </w:sdtPr>
    <w:sdtEndPr>
      <w:rPr>
        <w:rFonts w:asciiTheme="majorEastAsia" w:hAnsiTheme="majorEastAsia" w:eastAsiaTheme="majorEastAsia"/>
        <w:sz w:val="28"/>
        <w:szCs w:val="28"/>
      </w:rPr>
    </w:sdtEndPr>
    <w:sdtContent>
      <w:p>
        <w:pPr>
          <w:pStyle w:val="3"/>
          <w:jc w:val="right"/>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5 -</w:t>
        </w:r>
        <w:r>
          <w:rPr>
            <w:rFonts w:asciiTheme="majorEastAsia" w:hAnsiTheme="majorEastAsia" w:eastAsiaTheme="majorEastAsia"/>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4193805"/>
      <w:docPartObj>
        <w:docPartGallery w:val="autotext"/>
      </w:docPartObj>
    </w:sdtPr>
    <w:sdtEndPr>
      <w:rPr>
        <w:rFonts w:asciiTheme="majorEastAsia" w:hAnsiTheme="majorEastAsia" w:eastAsiaTheme="majorEastAsia"/>
        <w:sz w:val="28"/>
        <w:szCs w:val="28"/>
      </w:rPr>
    </w:sdtEndPr>
    <w:sdtContent>
      <w:p>
        <w:pPr>
          <w:pStyle w:val="3"/>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4 -</w:t>
        </w:r>
        <w:r>
          <w:rPr>
            <w:rFonts w:asciiTheme="majorEastAsia" w:hAnsiTheme="majorEastAsia" w:eastAsiaTheme="majorEastAsia"/>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4D3"/>
    <w:rsid w:val="000C7AE3"/>
    <w:rsid w:val="000E5867"/>
    <w:rsid w:val="00133A99"/>
    <w:rsid w:val="002629B6"/>
    <w:rsid w:val="002D7B1B"/>
    <w:rsid w:val="00314C1F"/>
    <w:rsid w:val="00392556"/>
    <w:rsid w:val="004400B5"/>
    <w:rsid w:val="00525BB7"/>
    <w:rsid w:val="0058780A"/>
    <w:rsid w:val="005A5AD9"/>
    <w:rsid w:val="006342B2"/>
    <w:rsid w:val="00772EB1"/>
    <w:rsid w:val="00854783"/>
    <w:rsid w:val="009234D3"/>
    <w:rsid w:val="00A42C14"/>
    <w:rsid w:val="00A56FD9"/>
    <w:rsid w:val="00AE7F23"/>
    <w:rsid w:val="00AF5BC0"/>
    <w:rsid w:val="00CA3FDE"/>
    <w:rsid w:val="00CC3EBC"/>
    <w:rsid w:val="00E94555"/>
    <w:rsid w:val="00EC0D4B"/>
    <w:rsid w:val="00ED34FC"/>
    <w:rsid w:val="00F408E3"/>
    <w:rsid w:val="01F86CD9"/>
    <w:rsid w:val="050A565A"/>
    <w:rsid w:val="14590BC6"/>
    <w:rsid w:val="1507640A"/>
    <w:rsid w:val="1F2F40BE"/>
    <w:rsid w:val="313A146E"/>
    <w:rsid w:val="51370304"/>
    <w:rsid w:val="513C297C"/>
    <w:rsid w:val="5D237AAA"/>
    <w:rsid w:val="6C8F5495"/>
    <w:rsid w:val="767A007A"/>
    <w:rsid w:val="78C30DE0"/>
    <w:rsid w:val="7C9E47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日期 Char"/>
    <w:basedOn w:val="7"/>
    <w:link w:val="2"/>
    <w:semiHidden/>
    <w:qFormat/>
    <w:uiPriority w:val="99"/>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Win7w.Com</Company>
  <Pages>5</Pages>
  <Words>255</Words>
  <Characters>1458</Characters>
  <Lines>12</Lines>
  <Paragraphs>3</Paragraphs>
  <TotalTime>13</TotalTime>
  <ScaleCrop>false</ScaleCrop>
  <LinksUpToDate>false</LinksUpToDate>
  <CharactersWithSpaces>1710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2021-06-16T05:01:00Z</dcterms:created>
  <dc:creator>张冰清</dc:creator>
  <cp:lastModifiedBy>我是土匪1420605177</cp:lastModifiedBy>
  <dcterms:modified xsi:type="dcterms:W3CDTF">2021-08-11T10:24:27Z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6D7D3D80F66949A8B689CCAFDF290F6E</vt:lpwstr>
  </property>
  <property fmtid="{D5CDD505-2E9C-101B-9397-08002B2CF9AE}" pid="4" name="KSOSaveFontToCloudKey">
    <vt:lpwstr>28222201_cloud</vt:lpwstr>
  </property>
</Properties>
</file>