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18"/>
      </w:pPr>
      <w:r>
        <w:rPr>
          <w:lang w:val="zh-CN"/>
        </w:rPr>
        <w:t>目录</w:t>
      </w:r>
    </w:p>
    <w:p>
      <w:pPr>
        <w:pStyle w:val="10"/>
        <w:tabs>
          <w:tab w:val="right" w:leader="dot" w:pos="8296"/>
        </w:tabs>
        <w:rPr>
          <w:kern w:val="2"/>
          <w:sz w:val="21"/>
        </w:rPr>
      </w:pPr>
      <w:r>
        <w:rPr>
          <w:rFonts w:hint="eastAsia" w:ascii="仿宋_GB2312" w:eastAsia="仿宋_GB2312"/>
          <w:sz w:val="32"/>
          <w:szCs w:val="32"/>
        </w:rPr>
        <w:fldChar w:fldCharType="begin"/>
      </w:r>
      <w:r>
        <w:rPr>
          <w:rFonts w:hint="eastAsia" w:ascii="仿宋_GB2312" w:eastAsia="仿宋_GB2312"/>
          <w:sz w:val="32"/>
          <w:szCs w:val="32"/>
        </w:rPr>
        <w:instrText xml:space="preserve"> TOC \o "1-3" \h \z \u </w:instrText>
      </w:r>
      <w:r>
        <w:rPr>
          <w:rFonts w:hint="eastAsia" w:ascii="仿宋_GB2312" w:eastAsia="仿宋_GB2312"/>
          <w:sz w:val="32"/>
          <w:szCs w:val="32"/>
        </w:rPr>
        <w:fldChar w:fldCharType="separate"/>
      </w:r>
      <w:r>
        <w:fldChar w:fldCharType="begin"/>
      </w:r>
      <w:r>
        <w:instrText xml:space="preserve"> HYPERLINK \l "_Toc38444556" </w:instrText>
      </w:r>
      <w:r>
        <w:fldChar w:fldCharType="separate"/>
      </w:r>
      <w:r>
        <w:rPr>
          <w:rStyle w:val="14"/>
          <w:rFonts w:hint="eastAsia" w:eastAsia="黑体"/>
        </w:rPr>
        <w:t>一、主要职责</w:t>
      </w:r>
      <w:r>
        <w:tab/>
      </w:r>
      <w:r>
        <w:fldChar w:fldCharType="begin"/>
      </w:r>
      <w:r>
        <w:instrText xml:space="preserve"> PAGEREF _Toc38444556 \h </w:instrText>
      </w:r>
      <w:r>
        <w:fldChar w:fldCharType="separate"/>
      </w:r>
      <w:r>
        <w:t>2</w:t>
      </w:r>
      <w:r>
        <w:fldChar w:fldCharType="end"/>
      </w:r>
      <w:r>
        <w:fldChar w:fldCharType="end"/>
      </w:r>
    </w:p>
    <w:p>
      <w:pPr>
        <w:pStyle w:val="10"/>
        <w:tabs>
          <w:tab w:val="right" w:leader="dot" w:pos="8296"/>
        </w:tabs>
        <w:rPr>
          <w:kern w:val="2"/>
          <w:sz w:val="21"/>
        </w:rPr>
      </w:pPr>
      <w:r>
        <w:fldChar w:fldCharType="begin"/>
      </w:r>
      <w:r>
        <w:instrText xml:space="preserve"> HYPERLINK \l "_Toc38444557" </w:instrText>
      </w:r>
      <w:r>
        <w:fldChar w:fldCharType="separate"/>
      </w:r>
      <w:r>
        <w:rPr>
          <w:rStyle w:val="14"/>
          <w:rFonts w:hint="eastAsia" w:ascii="黑体" w:eastAsia="黑体"/>
        </w:rPr>
        <w:t>二、基本情况</w:t>
      </w:r>
      <w:r>
        <w:tab/>
      </w:r>
      <w:r>
        <w:fldChar w:fldCharType="begin"/>
      </w:r>
      <w:r>
        <w:instrText xml:space="preserve"> PAGEREF _Toc38444557 \h </w:instrText>
      </w:r>
      <w:r>
        <w:fldChar w:fldCharType="separate"/>
      </w:r>
      <w:r>
        <w:t>2</w:t>
      </w:r>
      <w:r>
        <w:fldChar w:fldCharType="end"/>
      </w:r>
      <w:r>
        <w:fldChar w:fldCharType="end"/>
      </w:r>
    </w:p>
    <w:p>
      <w:pPr>
        <w:pStyle w:val="10"/>
        <w:tabs>
          <w:tab w:val="right" w:leader="dot" w:pos="8296"/>
        </w:tabs>
        <w:rPr>
          <w:kern w:val="2"/>
          <w:sz w:val="21"/>
        </w:rPr>
      </w:pPr>
      <w:r>
        <w:fldChar w:fldCharType="begin"/>
      </w:r>
      <w:r>
        <w:instrText xml:space="preserve"> HYPERLINK \l "_Toc38444558" </w:instrText>
      </w:r>
      <w:r>
        <w:fldChar w:fldCharType="separate"/>
      </w:r>
      <w:r>
        <w:rPr>
          <w:rStyle w:val="14"/>
          <w:rFonts w:hint="eastAsia" w:ascii="黑体" w:eastAsia="黑体"/>
        </w:rPr>
        <w:t>三、</w:t>
      </w:r>
      <w:r>
        <w:rPr>
          <w:rStyle w:val="14"/>
          <w:rFonts w:ascii="黑体" w:eastAsia="黑体"/>
        </w:rPr>
        <w:t>2020</w:t>
      </w:r>
      <w:r>
        <w:rPr>
          <w:rStyle w:val="14"/>
          <w:rFonts w:hint="eastAsia" w:ascii="黑体" w:eastAsia="黑体"/>
        </w:rPr>
        <w:t>年主要工作任务</w:t>
      </w:r>
      <w:r>
        <w:tab/>
      </w:r>
      <w:r>
        <w:fldChar w:fldCharType="begin"/>
      </w:r>
      <w:r>
        <w:instrText xml:space="preserve"> PAGEREF _Toc38444558 \h </w:instrText>
      </w:r>
      <w:r>
        <w:fldChar w:fldCharType="separate"/>
      </w:r>
      <w:r>
        <w:t>3</w:t>
      </w:r>
      <w:r>
        <w:fldChar w:fldCharType="end"/>
      </w:r>
      <w:r>
        <w:fldChar w:fldCharType="end"/>
      </w:r>
    </w:p>
    <w:p>
      <w:pPr>
        <w:pStyle w:val="11"/>
        <w:rPr>
          <w:kern w:val="2"/>
          <w:sz w:val="21"/>
        </w:rPr>
      </w:pPr>
      <w:r>
        <w:fldChar w:fldCharType="begin"/>
      </w:r>
      <w:r>
        <w:instrText xml:space="preserve"> HYPERLINK \l "_Toc38444559" </w:instrText>
      </w:r>
      <w:r>
        <w:fldChar w:fldCharType="separate"/>
      </w:r>
      <w:r>
        <w:rPr>
          <w:rStyle w:val="14"/>
          <w:rFonts w:hint="eastAsia" w:ascii="仿宋_GB2312" w:eastAsia="仿宋_GB2312"/>
        </w:rPr>
        <w:t>（一）力做好财政预决算工作，严格执行年初预算，确保全年收支平衡</w:t>
      </w:r>
      <w:r>
        <w:tab/>
      </w:r>
      <w:r>
        <w:fldChar w:fldCharType="begin"/>
      </w:r>
      <w:r>
        <w:instrText xml:space="preserve"> PAGEREF _Toc38444559 \h </w:instrText>
      </w:r>
      <w:r>
        <w:fldChar w:fldCharType="separate"/>
      </w:r>
      <w:r>
        <w:t>3</w:t>
      </w:r>
      <w:r>
        <w:fldChar w:fldCharType="end"/>
      </w:r>
      <w:r>
        <w:fldChar w:fldCharType="end"/>
      </w:r>
    </w:p>
    <w:p>
      <w:pPr>
        <w:pStyle w:val="11"/>
        <w:rPr>
          <w:kern w:val="2"/>
          <w:sz w:val="21"/>
        </w:rPr>
      </w:pPr>
      <w:r>
        <w:fldChar w:fldCharType="begin"/>
      </w:r>
      <w:r>
        <w:instrText xml:space="preserve"> HYPERLINK \l "_Toc38444560" </w:instrText>
      </w:r>
      <w:r>
        <w:fldChar w:fldCharType="separate"/>
      </w:r>
      <w:r>
        <w:rPr>
          <w:rStyle w:val="14"/>
          <w:rFonts w:hint="eastAsia" w:ascii="仿宋_GB2312" w:eastAsia="仿宋_GB2312"/>
        </w:rPr>
        <w:t>（二）积极进行世行贷款的收缴工作</w:t>
      </w:r>
      <w:r>
        <w:tab/>
      </w:r>
      <w:r>
        <w:fldChar w:fldCharType="begin"/>
      </w:r>
      <w:r>
        <w:instrText xml:space="preserve"> PAGEREF _Toc38444560 \h </w:instrText>
      </w:r>
      <w:r>
        <w:fldChar w:fldCharType="separate"/>
      </w:r>
      <w:r>
        <w:t>3</w:t>
      </w:r>
      <w:r>
        <w:fldChar w:fldCharType="end"/>
      </w:r>
      <w:r>
        <w:fldChar w:fldCharType="end"/>
      </w:r>
    </w:p>
    <w:p>
      <w:pPr>
        <w:pStyle w:val="11"/>
        <w:rPr>
          <w:kern w:val="2"/>
          <w:sz w:val="21"/>
        </w:rPr>
      </w:pPr>
      <w:r>
        <w:fldChar w:fldCharType="begin"/>
      </w:r>
      <w:r>
        <w:instrText xml:space="preserve"> HYPERLINK \l "_Toc38444561" </w:instrText>
      </w:r>
      <w:r>
        <w:fldChar w:fldCharType="separate"/>
      </w:r>
      <w:r>
        <w:rPr>
          <w:rStyle w:val="14"/>
          <w:rFonts w:hint="eastAsia" w:ascii="仿宋_GB2312" w:eastAsia="仿宋_GB2312"/>
        </w:rPr>
        <w:t>（三）加强专项资金的规范管理和使用</w:t>
      </w:r>
      <w:r>
        <w:tab/>
      </w:r>
      <w:r>
        <w:fldChar w:fldCharType="begin"/>
      </w:r>
      <w:r>
        <w:instrText xml:space="preserve"> PAGEREF _Toc38444561 \h </w:instrText>
      </w:r>
      <w:r>
        <w:fldChar w:fldCharType="separate"/>
      </w:r>
      <w:r>
        <w:t>3</w:t>
      </w:r>
      <w:r>
        <w:fldChar w:fldCharType="end"/>
      </w:r>
      <w:r>
        <w:fldChar w:fldCharType="end"/>
      </w:r>
    </w:p>
    <w:p>
      <w:pPr>
        <w:pStyle w:val="11"/>
        <w:rPr>
          <w:kern w:val="2"/>
          <w:sz w:val="21"/>
        </w:rPr>
      </w:pPr>
      <w:r>
        <w:fldChar w:fldCharType="begin"/>
      </w:r>
      <w:r>
        <w:instrText xml:space="preserve"> HYPERLINK \l "_Toc38444562" </w:instrText>
      </w:r>
      <w:r>
        <w:fldChar w:fldCharType="separate"/>
      </w:r>
      <w:r>
        <w:rPr>
          <w:rStyle w:val="14"/>
          <w:rFonts w:hint="eastAsia" w:ascii="仿宋_GB2312" w:eastAsia="仿宋_GB2312"/>
        </w:rPr>
        <w:t>（四）积极向上争取项目和资金，增强镇级财力</w:t>
      </w:r>
      <w:r>
        <w:tab/>
      </w:r>
      <w:r>
        <w:fldChar w:fldCharType="begin"/>
      </w:r>
      <w:r>
        <w:instrText xml:space="preserve"> PAGEREF _Toc38444562 \h </w:instrText>
      </w:r>
      <w:r>
        <w:fldChar w:fldCharType="separate"/>
      </w:r>
      <w:r>
        <w:t>3</w:t>
      </w:r>
      <w:r>
        <w:fldChar w:fldCharType="end"/>
      </w:r>
      <w:r>
        <w:fldChar w:fldCharType="end"/>
      </w:r>
    </w:p>
    <w:p>
      <w:pPr>
        <w:pStyle w:val="11"/>
        <w:rPr>
          <w:kern w:val="2"/>
          <w:sz w:val="21"/>
        </w:rPr>
      </w:pPr>
      <w:r>
        <w:fldChar w:fldCharType="begin"/>
      </w:r>
      <w:r>
        <w:instrText xml:space="preserve"> HYPERLINK \l "_Toc38444563" </w:instrText>
      </w:r>
      <w:r>
        <w:fldChar w:fldCharType="separate"/>
      </w:r>
      <w:r>
        <w:rPr>
          <w:rStyle w:val="14"/>
          <w:rFonts w:hint="eastAsia" w:ascii="仿宋_GB2312" w:eastAsia="仿宋_GB2312"/>
        </w:rPr>
        <w:t>（五）严格执行《机关内务管理制度》，加强镇级财务管理</w:t>
      </w:r>
      <w:r>
        <w:tab/>
      </w:r>
      <w:r>
        <w:fldChar w:fldCharType="begin"/>
      </w:r>
      <w:r>
        <w:instrText xml:space="preserve"> PAGEREF _Toc38444563 \h </w:instrText>
      </w:r>
      <w:r>
        <w:fldChar w:fldCharType="separate"/>
      </w:r>
      <w:r>
        <w:t>4</w:t>
      </w:r>
      <w:r>
        <w:fldChar w:fldCharType="end"/>
      </w:r>
      <w:r>
        <w:fldChar w:fldCharType="end"/>
      </w:r>
    </w:p>
    <w:p>
      <w:pPr>
        <w:pStyle w:val="6"/>
        <w:tabs>
          <w:tab w:val="right" w:leader="dot" w:pos="8296"/>
        </w:tabs>
        <w:rPr>
          <w:kern w:val="2"/>
          <w:sz w:val="21"/>
        </w:rPr>
      </w:pPr>
      <w:r>
        <w:fldChar w:fldCharType="begin"/>
      </w:r>
      <w:r>
        <w:instrText xml:space="preserve"> HYPERLINK \l "_Toc38444564" </w:instrText>
      </w:r>
      <w:r>
        <w:fldChar w:fldCharType="separate"/>
      </w:r>
      <w:r>
        <w:rPr>
          <w:rStyle w:val="14"/>
          <w:rFonts w:ascii="仿宋_GB2312" w:eastAsia="仿宋_GB2312"/>
        </w:rPr>
        <w:t>1.</w:t>
      </w:r>
      <w:r>
        <w:rPr>
          <w:rStyle w:val="14"/>
          <w:rFonts w:hint="eastAsia" w:ascii="仿宋_GB2312" w:eastAsia="仿宋_GB2312"/>
        </w:rPr>
        <w:t>费用开支管理</w:t>
      </w:r>
      <w:r>
        <w:tab/>
      </w:r>
      <w:r>
        <w:fldChar w:fldCharType="begin"/>
      </w:r>
      <w:r>
        <w:instrText xml:space="preserve"> PAGEREF _Toc38444564 \h </w:instrText>
      </w:r>
      <w:r>
        <w:fldChar w:fldCharType="separate"/>
      </w:r>
      <w:r>
        <w:t>4</w:t>
      </w:r>
      <w:r>
        <w:fldChar w:fldCharType="end"/>
      </w:r>
      <w:r>
        <w:fldChar w:fldCharType="end"/>
      </w:r>
    </w:p>
    <w:p>
      <w:pPr>
        <w:pStyle w:val="6"/>
        <w:tabs>
          <w:tab w:val="right" w:leader="dot" w:pos="8296"/>
        </w:tabs>
        <w:rPr>
          <w:kern w:val="2"/>
          <w:sz w:val="21"/>
        </w:rPr>
      </w:pPr>
      <w:r>
        <w:fldChar w:fldCharType="begin"/>
      </w:r>
      <w:r>
        <w:instrText xml:space="preserve"> HYPERLINK \l "_Toc38444565" </w:instrText>
      </w:r>
      <w:r>
        <w:fldChar w:fldCharType="separate"/>
      </w:r>
      <w:r>
        <w:rPr>
          <w:rStyle w:val="14"/>
          <w:rFonts w:ascii="仿宋_GB2312" w:eastAsia="仿宋_GB2312"/>
        </w:rPr>
        <w:t>2.</w:t>
      </w:r>
      <w:r>
        <w:rPr>
          <w:rStyle w:val="14"/>
          <w:rFonts w:hint="eastAsia" w:ascii="仿宋_GB2312" w:eastAsia="仿宋_GB2312"/>
        </w:rPr>
        <w:t>拨款管理</w:t>
      </w:r>
      <w:r>
        <w:tab/>
      </w:r>
      <w:r>
        <w:fldChar w:fldCharType="begin"/>
      </w:r>
      <w:r>
        <w:instrText xml:space="preserve"> PAGEREF _Toc38444565 \h </w:instrText>
      </w:r>
      <w:r>
        <w:fldChar w:fldCharType="separate"/>
      </w:r>
      <w:r>
        <w:t>4</w:t>
      </w:r>
      <w:r>
        <w:fldChar w:fldCharType="end"/>
      </w:r>
      <w:r>
        <w:fldChar w:fldCharType="end"/>
      </w:r>
    </w:p>
    <w:p>
      <w:pPr>
        <w:pStyle w:val="6"/>
        <w:tabs>
          <w:tab w:val="right" w:leader="dot" w:pos="8296"/>
        </w:tabs>
        <w:rPr>
          <w:kern w:val="2"/>
          <w:sz w:val="21"/>
        </w:rPr>
      </w:pPr>
      <w:r>
        <w:fldChar w:fldCharType="begin"/>
      </w:r>
      <w:r>
        <w:instrText xml:space="preserve"> HYPERLINK \l "_Toc38444566" </w:instrText>
      </w:r>
      <w:r>
        <w:fldChar w:fldCharType="separate"/>
      </w:r>
      <w:r>
        <w:rPr>
          <w:rStyle w:val="14"/>
          <w:rFonts w:ascii="仿宋_GB2312" w:eastAsia="仿宋_GB2312"/>
        </w:rPr>
        <w:t>3.</w:t>
      </w:r>
      <w:r>
        <w:rPr>
          <w:rStyle w:val="14"/>
          <w:rFonts w:hint="eastAsia" w:ascii="仿宋_GB2312" w:eastAsia="仿宋_GB2312"/>
        </w:rPr>
        <w:t>票据管理</w:t>
      </w:r>
      <w:r>
        <w:tab/>
      </w:r>
      <w:r>
        <w:fldChar w:fldCharType="begin"/>
      </w:r>
      <w:r>
        <w:instrText xml:space="preserve"> PAGEREF _Toc38444566 \h </w:instrText>
      </w:r>
      <w:r>
        <w:fldChar w:fldCharType="separate"/>
      </w:r>
      <w:r>
        <w:t>5</w:t>
      </w:r>
      <w:r>
        <w:fldChar w:fldCharType="end"/>
      </w:r>
      <w:r>
        <w:fldChar w:fldCharType="end"/>
      </w:r>
    </w:p>
    <w:p>
      <w:pPr>
        <w:pStyle w:val="11"/>
        <w:rPr>
          <w:kern w:val="2"/>
          <w:sz w:val="21"/>
        </w:rPr>
      </w:pPr>
      <w:r>
        <w:fldChar w:fldCharType="begin"/>
      </w:r>
      <w:r>
        <w:instrText xml:space="preserve"> HYPERLINK \l "_Toc38444567" </w:instrText>
      </w:r>
      <w:r>
        <w:fldChar w:fldCharType="separate"/>
      </w:r>
      <w:r>
        <w:rPr>
          <w:rStyle w:val="14"/>
          <w:rFonts w:hint="eastAsia" w:ascii="仿宋_GB2312" w:eastAsia="仿宋_GB2312"/>
        </w:rPr>
        <w:t>（六）进一步加强村（社区）财务的监管和督查</w:t>
      </w:r>
      <w:r>
        <w:tab/>
      </w:r>
      <w:r>
        <w:fldChar w:fldCharType="begin"/>
      </w:r>
      <w:r>
        <w:instrText xml:space="preserve"> PAGEREF _Toc38444567 \h </w:instrText>
      </w:r>
      <w:r>
        <w:fldChar w:fldCharType="separate"/>
      </w:r>
      <w:r>
        <w:t>5</w:t>
      </w:r>
      <w:r>
        <w:fldChar w:fldCharType="end"/>
      </w:r>
      <w:r>
        <w:fldChar w:fldCharType="end"/>
      </w:r>
    </w:p>
    <w:p>
      <w:pPr>
        <w:pStyle w:val="11"/>
        <w:rPr>
          <w:kern w:val="2"/>
          <w:sz w:val="21"/>
        </w:rPr>
      </w:pPr>
      <w:r>
        <w:fldChar w:fldCharType="begin"/>
      </w:r>
      <w:r>
        <w:instrText xml:space="preserve"> HYPERLINK \l "_Toc38444568" </w:instrText>
      </w:r>
      <w:r>
        <w:fldChar w:fldCharType="separate"/>
      </w:r>
      <w:r>
        <w:rPr>
          <w:rStyle w:val="14"/>
          <w:rFonts w:hint="eastAsia" w:ascii="仿宋_GB2312" w:eastAsia="仿宋_GB2312"/>
        </w:rPr>
        <w:t>（七）做好各类涉农补贴项目的登记、核查、上报和发放工作。</w:t>
      </w:r>
      <w:r>
        <w:tab/>
      </w:r>
      <w:r>
        <w:fldChar w:fldCharType="begin"/>
      </w:r>
      <w:r>
        <w:instrText xml:space="preserve"> PAGEREF _Toc38444568 \h </w:instrText>
      </w:r>
      <w:r>
        <w:fldChar w:fldCharType="separate"/>
      </w:r>
      <w:r>
        <w:t>5</w:t>
      </w:r>
      <w:r>
        <w:fldChar w:fldCharType="end"/>
      </w:r>
      <w:r>
        <w:fldChar w:fldCharType="end"/>
      </w:r>
    </w:p>
    <w:p>
      <w:pPr>
        <w:pStyle w:val="11"/>
        <w:rPr>
          <w:kern w:val="2"/>
          <w:sz w:val="21"/>
        </w:rPr>
      </w:pPr>
      <w:r>
        <w:fldChar w:fldCharType="begin"/>
      </w:r>
      <w:r>
        <w:instrText xml:space="preserve"> HYPERLINK \l "_Toc38444569" </w:instrText>
      </w:r>
      <w:r>
        <w:fldChar w:fldCharType="separate"/>
      </w:r>
      <w:r>
        <w:rPr>
          <w:rStyle w:val="14"/>
          <w:rFonts w:hint="eastAsia" w:ascii="仿宋_GB2312" w:eastAsia="仿宋_GB2312"/>
        </w:rPr>
        <w:t>（八）做好镇党委、政府交办的其他事项和工作。</w:t>
      </w:r>
      <w:r>
        <w:tab/>
      </w:r>
      <w:r>
        <w:fldChar w:fldCharType="begin"/>
      </w:r>
      <w:r>
        <w:instrText xml:space="preserve"> PAGEREF _Toc38444569 \h </w:instrText>
      </w:r>
      <w:r>
        <w:fldChar w:fldCharType="separate"/>
      </w:r>
      <w:r>
        <w:t>5</w:t>
      </w:r>
      <w:r>
        <w:fldChar w:fldCharType="end"/>
      </w:r>
      <w:r>
        <w:fldChar w:fldCharType="end"/>
      </w:r>
    </w:p>
    <w:p>
      <w:pPr>
        <w:pStyle w:val="10"/>
        <w:tabs>
          <w:tab w:val="right" w:leader="dot" w:pos="8296"/>
        </w:tabs>
        <w:rPr>
          <w:kern w:val="2"/>
          <w:sz w:val="21"/>
        </w:rPr>
      </w:pPr>
      <w:r>
        <w:fldChar w:fldCharType="begin"/>
      </w:r>
      <w:r>
        <w:instrText xml:space="preserve"> HYPERLINK \l "_Toc38444570" </w:instrText>
      </w:r>
      <w:r>
        <w:fldChar w:fldCharType="separate"/>
      </w:r>
      <w:r>
        <w:rPr>
          <w:rStyle w:val="14"/>
          <w:rFonts w:hint="eastAsia" w:ascii="黑体" w:eastAsia="黑体"/>
        </w:rPr>
        <w:t>四、收支预算总体情况</w:t>
      </w:r>
      <w:r>
        <w:tab/>
      </w:r>
      <w:r>
        <w:fldChar w:fldCharType="begin"/>
      </w:r>
      <w:r>
        <w:instrText xml:space="preserve"> PAGEREF _Toc38444570 \h </w:instrText>
      </w:r>
      <w:r>
        <w:fldChar w:fldCharType="separate"/>
      </w:r>
      <w:r>
        <w:t>5</w:t>
      </w:r>
      <w:r>
        <w:fldChar w:fldCharType="end"/>
      </w:r>
      <w:r>
        <w:fldChar w:fldCharType="end"/>
      </w:r>
    </w:p>
    <w:p>
      <w:pPr>
        <w:pStyle w:val="10"/>
        <w:tabs>
          <w:tab w:val="right" w:leader="dot" w:pos="8296"/>
        </w:tabs>
        <w:rPr>
          <w:kern w:val="2"/>
          <w:sz w:val="21"/>
        </w:rPr>
      </w:pPr>
      <w:r>
        <w:fldChar w:fldCharType="begin"/>
      </w:r>
      <w:r>
        <w:instrText xml:space="preserve"> HYPERLINK \l "_Toc38444571" </w:instrText>
      </w:r>
      <w:r>
        <w:fldChar w:fldCharType="separate"/>
      </w:r>
      <w:r>
        <w:rPr>
          <w:rStyle w:val="14"/>
          <w:rFonts w:hint="eastAsia" w:ascii="黑体" w:eastAsia="黑体"/>
        </w:rPr>
        <w:t>五、预算收支情况增减变化情况</w:t>
      </w:r>
      <w:r>
        <w:tab/>
      </w:r>
      <w:r>
        <w:fldChar w:fldCharType="begin"/>
      </w:r>
      <w:r>
        <w:instrText xml:space="preserve"> PAGEREF _Toc38444571 \h </w:instrText>
      </w:r>
      <w:r>
        <w:fldChar w:fldCharType="separate"/>
      </w:r>
      <w:r>
        <w:t>6</w:t>
      </w:r>
      <w:r>
        <w:fldChar w:fldCharType="end"/>
      </w:r>
      <w:r>
        <w:fldChar w:fldCharType="end"/>
      </w:r>
    </w:p>
    <w:p>
      <w:pPr>
        <w:pStyle w:val="10"/>
        <w:tabs>
          <w:tab w:val="right" w:leader="dot" w:pos="8296"/>
        </w:tabs>
        <w:rPr>
          <w:kern w:val="2"/>
          <w:sz w:val="21"/>
        </w:rPr>
      </w:pPr>
      <w:r>
        <w:fldChar w:fldCharType="begin"/>
      </w:r>
      <w:r>
        <w:instrText xml:space="preserve"> HYPERLINK \l "_Toc38444572" </w:instrText>
      </w:r>
      <w:r>
        <w:fldChar w:fldCharType="separate"/>
      </w:r>
      <w:r>
        <w:rPr>
          <w:rStyle w:val="14"/>
          <w:rFonts w:hint="eastAsia" w:eastAsia="黑体"/>
        </w:rPr>
        <w:t>七、</w:t>
      </w:r>
      <w:r>
        <w:rPr>
          <w:rStyle w:val="14"/>
          <w:rFonts w:eastAsia="黑体"/>
        </w:rPr>
        <w:t>“</w:t>
      </w:r>
      <w:r>
        <w:rPr>
          <w:rStyle w:val="14"/>
          <w:rFonts w:hint="eastAsia" w:eastAsia="黑体"/>
        </w:rPr>
        <w:t>三公</w:t>
      </w:r>
      <w:r>
        <w:rPr>
          <w:rStyle w:val="14"/>
          <w:rFonts w:eastAsia="黑体"/>
        </w:rPr>
        <w:t>”</w:t>
      </w:r>
      <w:r>
        <w:rPr>
          <w:rStyle w:val="14"/>
          <w:rFonts w:hint="eastAsia" w:eastAsia="黑体"/>
        </w:rPr>
        <w:t>经费财政拨款预算安排情况</w:t>
      </w:r>
      <w:r>
        <w:tab/>
      </w:r>
      <w:r>
        <w:fldChar w:fldCharType="begin"/>
      </w:r>
      <w:r>
        <w:instrText xml:space="preserve"> PAGEREF _Toc38444572 \h </w:instrText>
      </w:r>
      <w:r>
        <w:fldChar w:fldCharType="separate"/>
      </w:r>
      <w:r>
        <w:t>7</w:t>
      </w:r>
      <w:r>
        <w:fldChar w:fldCharType="end"/>
      </w:r>
      <w:r>
        <w:fldChar w:fldCharType="end"/>
      </w:r>
    </w:p>
    <w:p>
      <w:pPr>
        <w:pStyle w:val="11"/>
        <w:rPr>
          <w:kern w:val="2"/>
          <w:sz w:val="21"/>
        </w:rPr>
      </w:pPr>
      <w:r>
        <w:fldChar w:fldCharType="begin"/>
      </w:r>
      <w:r>
        <w:instrText xml:space="preserve"> HYPERLINK \l "_Toc38444573" </w:instrText>
      </w:r>
      <w:r>
        <w:fldChar w:fldCharType="separate"/>
      </w:r>
      <w:r>
        <w:rPr>
          <w:rStyle w:val="14"/>
          <w:rFonts w:hint="eastAsia" w:ascii="楷体_GB2312" w:eastAsia="楷体_GB2312"/>
        </w:rPr>
        <w:t>（一）因公出国（境）经费</w:t>
      </w:r>
      <w:r>
        <w:tab/>
      </w:r>
      <w:r>
        <w:fldChar w:fldCharType="begin"/>
      </w:r>
      <w:r>
        <w:instrText xml:space="preserve"> PAGEREF _Toc38444573 \h </w:instrText>
      </w:r>
      <w:r>
        <w:fldChar w:fldCharType="separate"/>
      </w:r>
      <w:r>
        <w:t>7</w:t>
      </w:r>
      <w:r>
        <w:fldChar w:fldCharType="end"/>
      </w:r>
      <w:r>
        <w:fldChar w:fldCharType="end"/>
      </w:r>
    </w:p>
    <w:p>
      <w:pPr>
        <w:pStyle w:val="11"/>
        <w:rPr>
          <w:kern w:val="2"/>
          <w:sz w:val="21"/>
        </w:rPr>
      </w:pPr>
      <w:r>
        <w:fldChar w:fldCharType="begin"/>
      </w:r>
      <w:r>
        <w:instrText xml:space="preserve"> HYPERLINK \l "_Toc38444574" </w:instrText>
      </w:r>
      <w:r>
        <w:fldChar w:fldCharType="separate"/>
      </w:r>
      <w:r>
        <w:rPr>
          <w:rStyle w:val="14"/>
          <w:rFonts w:hint="eastAsia" w:ascii="楷体_GB2312" w:eastAsia="楷体_GB2312"/>
        </w:rPr>
        <w:t>（二）公务接待费</w:t>
      </w:r>
      <w:r>
        <w:tab/>
      </w:r>
      <w:r>
        <w:fldChar w:fldCharType="begin"/>
      </w:r>
      <w:r>
        <w:instrText xml:space="preserve"> PAGEREF _Toc38444574 \h </w:instrText>
      </w:r>
      <w:r>
        <w:fldChar w:fldCharType="separate"/>
      </w:r>
      <w:r>
        <w:t>8</w:t>
      </w:r>
      <w:r>
        <w:fldChar w:fldCharType="end"/>
      </w:r>
      <w:r>
        <w:fldChar w:fldCharType="end"/>
      </w:r>
    </w:p>
    <w:p>
      <w:pPr>
        <w:pStyle w:val="11"/>
        <w:rPr>
          <w:kern w:val="2"/>
          <w:sz w:val="21"/>
        </w:rPr>
      </w:pPr>
      <w:r>
        <w:fldChar w:fldCharType="begin"/>
      </w:r>
      <w:r>
        <w:instrText xml:space="preserve"> HYPERLINK \l "_Toc38444575" </w:instrText>
      </w:r>
      <w:r>
        <w:fldChar w:fldCharType="separate"/>
      </w:r>
      <w:r>
        <w:rPr>
          <w:rStyle w:val="14"/>
          <w:rFonts w:hint="eastAsia" w:ascii="楷体_GB2312" w:eastAsia="楷体_GB2312"/>
        </w:rPr>
        <w:t>（三）公务用车购置及运行维护费</w:t>
      </w:r>
      <w:r>
        <w:tab/>
      </w:r>
      <w:r>
        <w:fldChar w:fldCharType="begin"/>
      </w:r>
      <w:r>
        <w:instrText xml:space="preserve"> PAGEREF _Toc38444575 \h </w:instrText>
      </w:r>
      <w:r>
        <w:fldChar w:fldCharType="separate"/>
      </w:r>
      <w:r>
        <w:t>8</w:t>
      </w:r>
      <w:r>
        <w:fldChar w:fldCharType="end"/>
      </w:r>
      <w:r>
        <w:fldChar w:fldCharType="end"/>
      </w:r>
    </w:p>
    <w:p>
      <w:pPr>
        <w:pStyle w:val="10"/>
        <w:tabs>
          <w:tab w:val="right" w:leader="dot" w:pos="8296"/>
        </w:tabs>
        <w:rPr>
          <w:kern w:val="2"/>
          <w:sz w:val="21"/>
        </w:rPr>
      </w:pPr>
      <w:r>
        <w:fldChar w:fldCharType="begin"/>
      </w:r>
      <w:r>
        <w:instrText xml:space="preserve"> HYPERLINK \l "_Toc38444576" </w:instrText>
      </w:r>
      <w:r>
        <w:fldChar w:fldCharType="separate"/>
      </w:r>
      <w:r>
        <w:rPr>
          <w:rStyle w:val="14"/>
          <w:rFonts w:hint="eastAsia" w:eastAsia="黑体"/>
        </w:rPr>
        <w:t>八、其他重要事项的情况说明</w:t>
      </w:r>
      <w:r>
        <w:tab/>
      </w:r>
      <w:r>
        <w:fldChar w:fldCharType="begin"/>
      </w:r>
      <w:r>
        <w:instrText xml:space="preserve"> PAGEREF _Toc38444576 \h </w:instrText>
      </w:r>
      <w:r>
        <w:fldChar w:fldCharType="separate"/>
      </w:r>
      <w:r>
        <w:t>8</w:t>
      </w:r>
      <w:r>
        <w:fldChar w:fldCharType="end"/>
      </w:r>
      <w:r>
        <w:fldChar w:fldCharType="end"/>
      </w:r>
    </w:p>
    <w:p>
      <w:pPr>
        <w:pStyle w:val="11"/>
        <w:rPr>
          <w:kern w:val="2"/>
          <w:sz w:val="21"/>
        </w:rPr>
      </w:pPr>
      <w:r>
        <w:fldChar w:fldCharType="begin"/>
      </w:r>
      <w:r>
        <w:instrText xml:space="preserve"> HYPERLINK \l "_Toc38444577" </w:instrText>
      </w:r>
      <w:r>
        <w:fldChar w:fldCharType="separate"/>
      </w:r>
      <w:r>
        <w:rPr>
          <w:rStyle w:val="14"/>
          <w:rFonts w:hint="eastAsia" w:ascii="仿宋_GB2312" w:eastAsia="仿宋_GB2312"/>
        </w:rPr>
        <w:t>（一）业务运行经费</w:t>
      </w:r>
      <w:r>
        <w:tab/>
      </w:r>
      <w:r>
        <w:fldChar w:fldCharType="begin"/>
      </w:r>
      <w:r>
        <w:instrText xml:space="preserve"> PAGEREF _Toc38444577 \h </w:instrText>
      </w:r>
      <w:r>
        <w:fldChar w:fldCharType="separate"/>
      </w:r>
      <w:r>
        <w:t>8</w:t>
      </w:r>
      <w:r>
        <w:fldChar w:fldCharType="end"/>
      </w:r>
      <w:r>
        <w:fldChar w:fldCharType="end"/>
      </w:r>
    </w:p>
    <w:p>
      <w:pPr>
        <w:pStyle w:val="11"/>
        <w:rPr>
          <w:kern w:val="2"/>
          <w:sz w:val="21"/>
        </w:rPr>
      </w:pPr>
      <w:r>
        <w:fldChar w:fldCharType="begin"/>
      </w:r>
      <w:r>
        <w:instrText xml:space="preserve"> HYPERLINK \l "_Toc38444578" </w:instrText>
      </w:r>
      <w:r>
        <w:fldChar w:fldCharType="separate"/>
      </w:r>
      <w:r>
        <w:rPr>
          <w:rStyle w:val="14"/>
          <w:rFonts w:hint="eastAsia" w:ascii="仿宋_GB2312" w:eastAsia="仿宋_GB2312"/>
        </w:rPr>
        <w:t>（二）国有资产占用情况</w:t>
      </w:r>
      <w:r>
        <w:tab/>
      </w:r>
      <w:r>
        <w:fldChar w:fldCharType="begin"/>
      </w:r>
      <w:r>
        <w:instrText xml:space="preserve"> PAGEREF _Toc38444578 \h </w:instrText>
      </w:r>
      <w:r>
        <w:fldChar w:fldCharType="separate"/>
      </w:r>
      <w:r>
        <w:t>9</w:t>
      </w:r>
      <w:r>
        <w:fldChar w:fldCharType="end"/>
      </w:r>
      <w:r>
        <w:fldChar w:fldCharType="end"/>
      </w:r>
    </w:p>
    <w:p>
      <w:pPr>
        <w:pStyle w:val="11"/>
        <w:rPr>
          <w:kern w:val="2"/>
          <w:sz w:val="21"/>
        </w:rPr>
      </w:pPr>
      <w:r>
        <w:fldChar w:fldCharType="begin"/>
      </w:r>
      <w:r>
        <w:instrText xml:space="preserve"> HYPERLINK \l "_Toc38444579" </w:instrText>
      </w:r>
      <w:r>
        <w:fldChar w:fldCharType="separate"/>
      </w:r>
      <w:r>
        <w:rPr>
          <w:rStyle w:val="14"/>
          <w:rFonts w:hint="eastAsia" w:ascii="仿宋_GB2312" w:eastAsia="仿宋_GB2312"/>
        </w:rPr>
        <w:t>（三）绩效目标设置情况</w:t>
      </w:r>
      <w:r>
        <w:tab/>
      </w:r>
      <w:r>
        <w:fldChar w:fldCharType="begin"/>
      </w:r>
      <w:r>
        <w:instrText xml:space="preserve"> PAGEREF _Toc38444579 \h </w:instrText>
      </w:r>
      <w:r>
        <w:fldChar w:fldCharType="separate"/>
      </w:r>
      <w:r>
        <w:t>9</w:t>
      </w:r>
      <w:r>
        <w:fldChar w:fldCharType="end"/>
      </w:r>
      <w:r>
        <w:fldChar w:fldCharType="end"/>
      </w:r>
    </w:p>
    <w:p>
      <w:pPr>
        <w:pStyle w:val="11"/>
        <w:rPr>
          <w:kern w:val="2"/>
          <w:sz w:val="21"/>
        </w:rPr>
      </w:pPr>
      <w:r>
        <w:fldChar w:fldCharType="begin"/>
      </w:r>
      <w:r>
        <w:instrText xml:space="preserve"> HYPERLINK \l "_Toc38444580" </w:instrText>
      </w:r>
      <w:r>
        <w:fldChar w:fldCharType="separate"/>
      </w:r>
      <w:r>
        <w:rPr>
          <w:rStyle w:val="14"/>
          <w:rFonts w:hint="eastAsia" w:ascii="仿宋_GB2312" w:eastAsia="仿宋_GB2312"/>
        </w:rPr>
        <w:t>（四）、政府采购安排情况</w:t>
      </w:r>
      <w:r>
        <w:tab/>
      </w:r>
      <w:r>
        <w:fldChar w:fldCharType="begin"/>
      </w:r>
      <w:r>
        <w:instrText xml:space="preserve"> PAGEREF _Toc38444580 \h </w:instrText>
      </w:r>
      <w:r>
        <w:fldChar w:fldCharType="separate"/>
      </w:r>
      <w:r>
        <w:t>9</w:t>
      </w:r>
      <w:r>
        <w:fldChar w:fldCharType="end"/>
      </w:r>
      <w:r>
        <w:fldChar w:fldCharType="end"/>
      </w:r>
    </w:p>
    <w:p>
      <w:pPr>
        <w:pStyle w:val="10"/>
        <w:tabs>
          <w:tab w:val="right" w:leader="dot" w:pos="8296"/>
        </w:tabs>
        <w:rPr>
          <w:kern w:val="2"/>
          <w:sz w:val="21"/>
        </w:rPr>
      </w:pPr>
      <w:r>
        <w:fldChar w:fldCharType="begin"/>
      </w:r>
      <w:r>
        <w:instrText xml:space="preserve"> HYPERLINK \l "_Toc38444581" </w:instrText>
      </w:r>
      <w:r>
        <w:fldChar w:fldCharType="separate"/>
      </w:r>
      <w:r>
        <w:rPr>
          <w:rStyle w:val="14"/>
          <w:rFonts w:hint="eastAsia" w:ascii="黑体" w:eastAsia="黑体"/>
        </w:rPr>
        <w:t>九、名词解释</w:t>
      </w:r>
      <w:r>
        <w:tab/>
      </w:r>
      <w:r>
        <w:fldChar w:fldCharType="begin"/>
      </w:r>
      <w:r>
        <w:instrText xml:space="preserve"> PAGEREF _Toc38444581 \h </w:instrText>
      </w:r>
      <w:r>
        <w:fldChar w:fldCharType="separate"/>
      </w:r>
      <w:r>
        <w:t>9</w:t>
      </w:r>
      <w:r>
        <w:fldChar w:fldCharType="end"/>
      </w:r>
      <w:r>
        <w:fldChar w:fldCharType="end"/>
      </w:r>
    </w:p>
    <w:p>
      <w:pPr>
        <w:spacing w:line="340" w:lineRule="exact"/>
      </w:pPr>
      <w:r>
        <w:rPr>
          <w:rFonts w:hint="eastAsia" w:ascii="仿宋_GB2312" w:eastAsia="仿宋_GB2312"/>
          <w:sz w:val="32"/>
          <w:szCs w:val="32"/>
        </w:rPr>
        <w:fldChar w:fldCharType="end"/>
      </w:r>
    </w:p>
    <w:p>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盐边县</w:t>
      </w:r>
      <w:r>
        <w:rPr>
          <w:rFonts w:hint="eastAsia" w:ascii="方正小标宋简体" w:hAnsi="宋体" w:eastAsia="方正小标宋简体"/>
          <w:sz w:val="36"/>
          <w:szCs w:val="36"/>
          <w:lang w:eastAsia="zh-CN"/>
        </w:rPr>
        <w:t>永兴</w:t>
      </w:r>
      <w:r>
        <w:rPr>
          <w:rFonts w:hint="eastAsia" w:ascii="方正小标宋简体" w:hAnsi="宋体" w:eastAsia="方正小标宋简体"/>
          <w:sz w:val="36"/>
          <w:szCs w:val="36"/>
        </w:rPr>
        <w:t>镇人民政府</w:t>
      </w:r>
    </w:p>
    <w:p>
      <w:pPr>
        <w:spacing w:line="60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2020年部门预算编制说明</w:t>
      </w:r>
    </w:p>
    <w:p>
      <w:pPr>
        <w:spacing w:line="579" w:lineRule="exact"/>
        <w:rPr>
          <w:rFonts w:eastAsia="楷体"/>
          <w:b/>
          <w:color w:val="FF0000"/>
          <w:sz w:val="32"/>
          <w:szCs w:val="32"/>
        </w:rPr>
      </w:pPr>
    </w:p>
    <w:p>
      <w:pPr>
        <w:widowControl/>
        <w:snapToGrid w:val="0"/>
        <w:spacing w:line="560" w:lineRule="exact"/>
        <w:ind w:firstLine="640" w:firstLineChars="200"/>
        <w:rPr>
          <w:rFonts w:eastAsia="仿宋_GB2312"/>
          <w:sz w:val="32"/>
          <w:szCs w:val="32"/>
        </w:rPr>
      </w:pPr>
      <w:r>
        <w:rPr>
          <w:rFonts w:hint="eastAsia" w:eastAsia="仿宋_GB2312"/>
          <w:sz w:val="32"/>
          <w:szCs w:val="32"/>
        </w:rPr>
        <w:t>根据</w:t>
      </w:r>
      <w:r>
        <w:rPr>
          <w:rFonts w:hint="eastAsia" w:eastAsia="仿宋_GB2312"/>
          <w:sz w:val="32"/>
          <w:szCs w:val="32"/>
          <w:lang w:eastAsia="zh-CN"/>
        </w:rPr>
        <w:t>永兴</w:t>
      </w:r>
      <w:r>
        <w:rPr>
          <w:rFonts w:hint="eastAsia" w:eastAsia="仿宋_GB2312"/>
          <w:sz w:val="32"/>
          <w:szCs w:val="32"/>
        </w:rPr>
        <w:t>镇第十九届</w:t>
      </w:r>
      <w:r>
        <w:rPr>
          <w:rFonts w:hint="eastAsia" w:eastAsia="仿宋_GB2312"/>
          <w:sz w:val="32"/>
          <w:szCs w:val="32"/>
          <w:lang w:eastAsia="zh-CN"/>
        </w:rPr>
        <w:t>一</w:t>
      </w:r>
      <w:r>
        <w:rPr>
          <w:rFonts w:hint="eastAsia" w:eastAsia="仿宋_GB2312"/>
          <w:sz w:val="32"/>
          <w:szCs w:val="32"/>
        </w:rPr>
        <w:t>次会议批准的盐边县2020年财政预算，2020年3月31日县财政局以《盐边县财政局关于印发2019年部门预算批复的通知》（盐边财政〔2019〕8号）批复了2019年县级部门预算，并对2020年部门预算公开作了明确要求。现</w:t>
      </w:r>
      <w:r>
        <w:rPr>
          <w:rFonts w:eastAsia="仿宋_GB2312"/>
          <w:sz w:val="32"/>
          <w:szCs w:val="32"/>
        </w:rPr>
        <w:t>按照《</w:t>
      </w:r>
      <w:r>
        <w:rPr>
          <w:rFonts w:hint="eastAsia" w:eastAsia="仿宋_GB2312"/>
          <w:sz w:val="32"/>
          <w:szCs w:val="32"/>
        </w:rPr>
        <w:t>中华人民共和国</w:t>
      </w:r>
      <w:r>
        <w:rPr>
          <w:rFonts w:eastAsia="仿宋_GB2312"/>
          <w:sz w:val="32"/>
          <w:szCs w:val="32"/>
        </w:rPr>
        <w:t>预算法》</w:t>
      </w:r>
      <w:r>
        <w:rPr>
          <w:rFonts w:hint="eastAsia" w:eastAsia="仿宋_GB2312"/>
          <w:sz w:val="32"/>
          <w:szCs w:val="32"/>
        </w:rPr>
        <w:t>相关规定</w:t>
      </w:r>
      <w:r>
        <w:rPr>
          <w:rFonts w:eastAsia="仿宋_GB2312"/>
          <w:sz w:val="32"/>
          <w:szCs w:val="32"/>
        </w:rPr>
        <w:t>，现将我单位20</w:t>
      </w:r>
      <w:r>
        <w:rPr>
          <w:rFonts w:hint="eastAsia" w:eastAsia="仿宋_GB2312"/>
          <w:sz w:val="32"/>
          <w:szCs w:val="32"/>
        </w:rPr>
        <w:t>20</w:t>
      </w:r>
      <w:r>
        <w:rPr>
          <w:rFonts w:eastAsia="仿宋_GB2312"/>
          <w:sz w:val="32"/>
          <w:szCs w:val="32"/>
        </w:rPr>
        <w:t>年部门预算说明如下:</w:t>
      </w:r>
    </w:p>
    <w:p>
      <w:pPr>
        <w:pStyle w:val="2"/>
        <w:rPr>
          <w:rFonts w:eastAsia="仿宋_GB2312"/>
          <w:sz w:val="32"/>
          <w:szCs w:val="32"/>
        </w:rPr>
      </w:pPr>
      <w:bookmarkStart w:id="0" w:name="_Toc38444556"/>
      <w:r>
        <w:rPr>
          <w:rFonts w:eastAsia="黑体"/>
          <w:sz w:val="32"/>
          <w:szCs w:val="32"/>
        </w:rPr>
        <w:t>一、主要职责</w:t>
      </w:r>
      <w:bookmarkEnd w:id="0"/>
    </w:p>
    <w:p>
      <w:pPr>
        <w:pStyle w:val="5"/>
        <w:adjustRightInd w:val="0"/>
        <w:snapToGrid w:val="0"/>
        <w:spacing w:beforeLines="0" w:line="560" w:lineRule="exact"/>
        <w:ind w:firstLine="640" w:firstLineChars="200"/>
        <w:rPr>
          <w:bCs/>
          <w:kern w:val="2"/>
          <w:sz w:val="32"/>
          <w:szCs w:val="32"/>
        </w:rPr>
      </w:pPr>
      <w:r>
        <w:rPr>
          <w:rFonts w:hint="eastAsia"/>
          <w:bCs/>
          <w:kern w:val="2"/>
          <w:sz w:val="32"/>
          <w:szCs w:val="32"/>
        </w:rPr>
        <w:t>（一）主要职能。</w:t>
      </w:r>
    </w:p>
    <w:p>
      <w:pPr>
        <w:widowControl/>
        <w:snapToGrid w:val="0"/>
        <w:spacing w:line="560" w:lineRule="exact"/>
        <w:ind w:firstLine="640" w:firstLineChars="200"/>
        <w:rPr>
          <w:rFonts w:eastAsia="仿宋_GB2312"/>
          <w:sz w:val="32"/>
          <w:szCs w:val="32"/>
        </w:rPr>
      </w:pPr>
      <w:r>
        <w:rPr>
          <w:rFonts w:hint="eastAsia" w:eastAsia="仿宋_GB2312"/>
          <w:sz w:val="32"/>
          <w:szCs w:val="32"/>
          <w:lang w:eastAsia="zh-CN"/>
        </w:rPr>
        <w:t>永兴</w:t>
      </w:r>
      <w:r>
        <w:rPr>
          <w:rFonts w:hint="eastAsia" w:eastAsia="仿宋_GB2312"/>
          <w:sz w:val="32"/>
          <w:szCs w:val="32"/>
        </w:rPr>
        <w:t>镇人民政府主要维持政府基本运转，维护</w:t>
      </w:r>
      <w:r>
        <w:rPr>
          <w:rFonts w:hint="eastAsia" w:eastAsia="仿宋_GB2312"/>
          <w:sz w:val="32"/>
          <w:szCs w:val="32"/>
          <w:lang w:eastAsia="zh-CN"/>
        </w:rPr>
        <w:t>永兴</w:t>
      </w:r>
      <w:r>
        <w:rPr>
          <w:rFonts w:hint="eastAsia" w:eastAsia="仿宋_GB2312"/>
          <w:sz w:val="32"/>
          <w:szCs w:val="32"/>
        </w:rPr>
        <w:t>镇稳定，提高人民生活水平，保障人们生活品质，促进社会和谐。</w:t>
      </w:r>
    </w:p>
    <w:p>
      <w:pPr>
        <w:pStyle w:val="2"/>
        <w:rPr>
          <w:rFonts w:ascii="黑体" w:eastAsia="黑体"/>
          <w:color w:val="000000"/>
          <w:sz w:val="32"/>
          <w:szCs w:val="32"/>
        </w:rPr>
      </w:pPr>
      <w:bookmarkStart w:id="1" w:name="_Toc38444557"/>
      <w:r>
        <w:rPr>
          <w:rFonts w:hint="eastAsia" w:ascii="黑体" w:eastAsia="黑体"/>
          <w:color w:val="000000"/>
          <w:sz w:val="32"/>
          <w:szCs w:val="32"/>
        </w:rPr>
        <w:t>二、基本情况</w:t>
      </w:r>
      <w:bookmarkEnd w:id="1"/>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我单位2020年人员编制数为4</w:t>
      </w:r>
      <w:r>
        <w:rPr>
          <w:rFonts w:hint="eastAsia" w:ascii="仿宋_GB2312" w:eastAsia="仿宋_GB2312"/>
          <w:sz w:val="32"/>
          <w:szCs w:val="32"/>
          <w:lang w:val="en-US" w:eastAsia="zh-CN"/>
        </w:rPr>
        <w:t>6</w:t>
      </w:r>
      <w:r>
        <w:rPr>
          <w:rFonts w:hint="eastAsia" w:ascii="仿宋_GB2312" w:eastAsia="仿宋_GB2312"/>
          <w:sz w:val="32"/>
          <w:szCs w:val="32"/>
        </w:rPr>
        <w:t>人，其中行政编制2</w:t>
      </w:r>
      <w:r>
        <w:rPr>
          <w:rFonts w:hint="eastAsia" w:ascii="仿宋_GB2312" w:eastAsia="仿宋_GB2312"/>
          <w:sz w:val="32"/>
          <w:szCs w:val="32"/>
          <w:lang w:val="en-US" w:eastAsia="zh-CN"/>
        </w:rPr>
        <w:t>8</w:t>
      </w:r>
      <w:r>
        <w:rPr>
          <w:rFonts w:hint="eastAsia" w:ascii="仿宋_GB2312" w:eastAsia="仿宋_GB2312"/>
          <w:sz w:val="32"/>
          <w:szCs w:val="32"/>
        </w:rPr>
        <w:t>人、机关工勤人员</w:t>
      </w:r>
      <w:r>
        <w:rPr>
          <w:rFonts w:hint="eastAsia" w:ascii="仿宋_GB2312" w:eastAsia="仿宋_GB2312"/>
          <w:sz w:val="32"/>
          <w:szCs w:val="32"/>
          <w:lang w:val="en-US" w:eastAsia="zh-CN"/>
        </w:rPr>
        <w:t>2</w:t>
      </w:r>
      <w:r>
        <w:rPr>
          <w:rFonts w:hint="eastAsia" w:ascii="仿宋_GB2312" w:eastAsia="仿宋_GB2312"/>
          <w:sz w:val="32"/>
          <w:szCs w:val="32"/>
        </w:rPr>
        <w:t>人，事业编制1</w:t>
      </w:r>
      <w:r>
        <w:rPr>
          <w:rFonts w:hint="eastAsia" w:ascii="仿宋_GB2312" w:eastAsia="仿宋_GB2312"/>
          <w:sz w:val="32"/>
          <w:szCs w:val="32"/>
          <w:lang w:val="en-US" w:eastAsia="zh-CN"/>
        </w:rPr>
        <w:t>6</w:t>
      </w:r>
      <w:r>
        <w:rPr>
          <w:rFonts w:hint="eastAsia" w:ascii="仿宋_GB2312" w:eastAsia="仿宋_GB2312"/>
          <w:sz w:val="32"/>
          <w:szCs w:val="32"/>
        </w:rPr>
        <w:t>人；实有人数为4</w:t>
      </w:r>
      <w:r>
        <w:rPr>
          <w:rFonts w:hint="eastAsia" w:ascii="仿宋_GB2312" w:eastAsia="仿宋_GB2312"/>
          <w:sz w:val="32"/>
          <w:szCs w:val="32"/>
          <w:lang w:val="en-US" w:eastAsia="zh-CN"/>
        </w:rPr>
        <w:t>2</w:t>
      </w:r>
      <w:r>
        <w:rPr>
          <w:rFonts w:hint="eastAsia" w:ascii="仿宋_GB2312" w:eastAsia="仿宋_GB2312"/>
          <w:sz w:val="32"/>
          <w:szCs w:val="32"/>
        </w:rPr>
        <w:t>人，其中行政人员</w:t>
      </w:r>
      <w:r>
        <w:rPr>
          <w:rFonts w:hint="eastAsia" w:ascii="仿宋_GB2312" w:eastAsia="仿宋_GB2312"/>
          <w:sz w:val="32"/>
          <w:szCs w:val="32"/>
          <w:lang w:val="en-US" w:eastAsia="zh-CN"/>
        </w:rPr>
        <w:t>25</w:t>
      </w:r>
      <w:r>
        <w:rPr>
          <w:rFonts w:hint="eastAsia" w:ascii="仿宋_GB2312" w:eastAsia="仿宋_GB2312"/>
          <w:sz w:val="32"/>
          <w:szCs w:val="32"/>
        </w:rPr>
        <w:t>人、机关工勤</w:t>
      </w:r>
      <w:r>
        <w:rPr>
          <w:rFonts w:hint="eastAsia" w:ascii="仿宋_GB2312" w:eastAsia="仿宋_GB2312"/>
          <w:sz w:val="32"/>
          <w:szCs w:val="32"/>
          <w:lang w:val="en-US" w:eastAsia="zh-CN"/>
        </w:rPr>
        <w:t>2</w:t>
      </w:r>
      <w:r>
        <w:rPr>
          <w:rFonts w:hint="eastAsia" w:ascii="仿宋_GB2312" w:eastAsia="仿宋_GB2312"/>
          <w:sz w:val="32"/>
          <w:szCs w:val="32"/>
        </w:rPr>
        <w:t>人、事业人员1</w:t>
      </w:r>
      <w:r>
        <w:rPr>
          <w:rFonts w:hint="eastAsia" w:ascii="仿宋_GB2312" w:eastAsia="仿宋_GB2312"/>
          <w:sz w:val="32"/>
          <w:szCs w:val="32"/>
          <w:lang w:val="en-US" w:eastAsia="zh-CN"/>
        </w:rPr>
        <w:t>5</w:t>
      </w:r>
      <w:r>
        <w:rPr>
          <w:rFonts w:hint="eastAsia" w:ascii="仿宋_GB2312" w:eastAsia="仿宋_GB2312"/>
          <w:sz w:val="32"/>
          <w:szCs w:val="32"/>
        </w:rPr>
        <w:t>人；退休职工</w:t>
      </w:r>
      <w:r>
        <w:rPr>
          <w:rFonts w:hint="eastAsia" w:ascii="仿宋_GB2312" w:eastAsia="仿宋_GB2312"/>
          <w:sz w:val="32"/>
          <w:szCs w:val="32"/>
          <w:lang w:val="en-US" w:eastAsia="zh-CN"/>
        </w:rPr>
        <w:t>22</w:t>
      </w:r>
      <w:r>
        <w:rPr>
          <w:rFonts w:hint="eastAsia" w:ascii="仿宋_GB2312" w:eastAsia="仿宋_GB2312"/>
          <w:sz w:val="32"/>
          <w:szCs w:val="32"/>
        </w:rPr>
        <w:t>人、遗属</w:t>
      </w:r>
      <w:r>
        <w:rPr>
          <w:rFonts w:hint="eastAsia" w:ascii="仿宋_GB2312" w:eastAsia="仿宋_GB2312"/>
          <w:sz w:val="32"/>
          <w:szCs w:val="32"/>
          <w:lang w:val="en-US" w:eastAsia="zh-CN"/>
        </w:rPr>
        <w:t>3</w:t>
      </w:r>
      <w:r>
        <w:rPr>
          <w:rFonts w:hint="eastAsia" w:ascii="仿宋_GB2312" w:eastAsia="仿宋_GB2312"/>
          <w:sz w:val="32"/>
          <w:szCs w:val="32"/>
        </w:rPr>
        <w:t>人。车辆编制数3辆，实有数3辆。我单位内设</w:t>
      </w:r>
      <w:r>
        <w:rPr>
          <w:rFonts w:hint="eastAsia" w:ascii="仿宋_GB2312" w:eastAsia="仿宋_GB2312"/>
          <w:sz w:val="32"/>
          <w:szCs w:val="32"/>
          <w:lang w:eastAsia="zh-CN"/>
        </w:rPr>
        <w:t>永兴</w:t>
      </w:r>
      <w:r>
        <w:rPr>
          <w:rFonts w:hint="eastAsia" w:ascii="仿宋_GB2312" w:eastAsia="仿宋_GB2312"/>
          <w:sz w:val="32"/>
          <w:szCs w:val="32"/>
        </w:rPr>
        <w:t>镇人民政府一个行政单位和</w:t>
      </w:r>
      <w:r>
        <w:rPr>
          <w:rFonts w:hint="eastAsia" w:ascii="仿宋_GB2312" w:eastAsia="仿宋_GB2312"/>
          <w:sz w:val="32"/>
          <w:szCs w:val="32"/>
          <w:lang w:eastAsia="zh-CN"/>
        </w:rPr>
        <w:t>永兴</w:t>
      </w:r>
      <w:r>
        <w:rPr>
          <w:rFonts w:hint="eastAsia" w:ascii="仿宋_GB2312" w:eastAsia="仿宋_GB2312"/>
          <w:sz w:val="32"/>
          <w:szCs w:val="32"/>
        </w:rPr>
        <w:t>镇农业服务中心、</w:t>
      </w:r>
      <w:r>
        <w:rPr>
          <w:rFonts w:hint="eastAsia" w:ascii="仿宋_GB2312" w:eastAsia="仿宋_GB2312"/>
          <w:sz w:val="32"/>
          <w:szCs w:val="32"/>
          <w:lang w:eastAsia="zh-CN"/>
        </w:rPr>
        <w:t>永兴</w:t>
      </w:r>
      <w:r>
        <w:rPr>
          <w:rFonts w:hint="eastAsia" w:ascii="仿宋_GB2312" w:eastAsia="仿宋_GB2312"/>
          <w:sz w:val="32"/>
          <w:szCs w:val="32"/>
        </w:rPr>
        <w:t>镇宣传文化服务中心、</w:t>
      </w:r>
      <w:r>
        <w:rPr>
          <w:rFonts w:hint="eastAsia" w:ascii="仿宋_GB2312" w:eastAsia="仿宋_GB2312"/>
          <w:sz w:val="32"/>
          <w:szCs w:val="32"/>
          <w:lang w:eastAsia="zh-CN"/>
        </w:rPr>
        <w:t>永兴</w:t>
      </w:r>
      <w:r>
        <w:rPr>
          <w:rFonts w:hint="eastAsia" w:ascii="仿宋_GB2312" w:eastAsia="仿宋_GB2312"/>
          <w:sz w:val="32"/>
          <w:szCs w:val="32"/>
        </w:rPr>
        <w:t>镇劳动保障和就业服务中心三个事业单位。</w:t>
      </w:r>
    </w:p>
    <w:p>
      <w:pPr>
        <w:pStyle w:val="2"/>
        <w:rPr>
          <w:rFonts w:ascii="黑体" w:eastAsia="黑体"/>
          <w:color w:val="000000"/>
          <w:sz w:val="32"/>
          <w:szCs w:val="32"/>
        </w:rPr>
      </w:pPr>
      <w:bookmarkStart w:id="2" w:name="_Toc38444558"/>
      <w:r>
        <w:rPr>
          <w:rFonts w:hint="eastAsia" w:ascii="黑体" w:eastAsia="黑体"/>
          <w:color w:val="000000"/>
          <w:sz w:val="32"/>
          <w:szCs w:val="32"/>
        </w:rPr>
        <w:t>三、2020年主要工作任务</w:t>
      </w:r>
      <w:bookmarkEnd w:id="2"/>
    </w:p>
    <w:p>
      <w:pPr>
        <w:pStyle w:val="3"/>
        <w:rPr>
          <w:rFonts w:ascii="仿宋_GB2312" w:eastAsia="仿宋_GB2312"/>
        </w:rPr>
      </w:pPr>
      <w:bookmarkStart w:id="3" w:name="_Toc38444559"/>
      <w:r>
        <w:rPr>
          <w:rFonts w:hint="eastAsia" w:ascii="仿宋_GB2312" w:eastAsia="仿宋_GB2312"/>
        </w:rPr>
        <w:t>（一）力做好财政预决算工作，严格执行年初预算，确保全年收支平衡</w:t>
      </w:r>
      <w:bookmarkEnd w:id="3"/>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2020按照县财政局的要求，在县财力趋于紧张的情况下，我镇将努力做好财政预决算工作，年初做好资金预处的编制上报，年中严格按照的初县财政局下达的预算指标合理安排和使用资金，年终做好部门决算和财政决算工作，务必确保全年财政收支平衡。</w:t>
      </w:r>
    </w:p>
    <w:p>
      <w:pPr>
        <w:pStyle w:val="3"/>
        <w:rPr>
          <w:rFonts w:ascii="仿宋_GB2312" w:eastAsia="仿宋_GB2312"/>
        </w:rPr>
      </w:pPr>
      <w:bookmarkStart w:id="4" w:name="_Toc38444560"/>
      <w:r>
        <w:rPr>
          <w:rFonts w:hint="eastAsia" w:ascii="仿宋_GB2312" w:eastAsia="仿宋_GB2312"/>
        </w:rPr>
        <w:t>（二）积极进行世行贷款的收缴工作</w:t>
      </w:r>
      <w:bookmarkEnd w:id="4"/>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2020年我镇将继续进行世行贷款的收缴，加大征收管理力度，确保收缴工作顺利完成。</w:t>
      </w:r>
    </w:p>
    <w:p>
      <w:pPr>
        <w:pStyle w:val="3"/>
        <w:rPr>
          <w:rFonts w:ascii="仿宋_GB2312" w:eastAsia="仿宋_GB2312"/>
        </w:rPr>
      </w:pPr>
      <w:bookmarkStart w:id="5" w:name="_Toc38444561"/>
      <w:r>
        <w:rPr>
          <w:rFonts w:hint="eastAsia" w:ascii="仿宋_GB2312" w:eastAsia="仿宋_GB2312"/>
        </w:rPr>
        <w:t>（三）加强专项资金的规范管理和使用</w:t>
      </w:r>
      <w:bookmarkEnd w:id="5"/>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2020年是我镇将继续加强扶贫及其他专项资金的规范管理和使用，镇财政所将继续坚持客观、公正、公平、公开的原则，严格资金拨付程序，明确资金用途和使用范围，确保资金使用的合理情、合法性和合规性，有效促进全镇精准扶贫项目及其他项目的顺利推进。</w:t>
      </w:r>
    </w:p>
    <w:p>
      <w:pPr>
        <w:pStyle w:val="3"/>
        <w:rPr>
          <w:rFonts w:ascii="仿宋_GB2312" w:eastAsia="仿宋_GB2312"/>
        </w:rPr>
      </w:pPr>
      <w:bookmarkStart w:id="6" w:name="_Toc38444562"/>
      <w:r>
        <w:rPr>
          <w:rFonts w:hint="eastAsia" w:ascii="仿宋_GB2312" w:eastAsia="仿宋_GB2312"/>
        </w:rPr>
        <w:t>（四）积极向上争取项目和资金，增强镇级财力</w:t>
      </w:r>
      <w:bookmarkEnd w:id="6"/>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2020年，在保障日常工作正常运转的前提下，我们还要寻求新的发展，为此，镇财政所将加将与上级部门的密切联系，力求上级部门的支持和政策倾斜，多方筹措资金，不断增加可支配收入，为我镇各项事业的发展和进步提供有力的财力保障。</w:t>
      </w:r>
    </w:p>
    <w:p>
      <w:pPr>
        <w:pStyle w:val="3"/>
        <w:rPr>
          <w:rFonts w:ascii="仿宋_GB2312" w:eastAsia="仿宋_GB2312"/>
        </w:rPr>
      </w:pPr>
      <w:bookmarkStart w:id="7" w:name="_Toc38444563"/>
      <w:r>
        <w:rPr>
          <w:rFonts w:hint="eastAsia" w:ascii="仿宋_GB2312" w:eastAsia="仿宋_GB2312"/>
        </w:rPr>
        <w:t>（五）严格执行《机关内务管理制度》，加强镇级财务管理</w:t>
      </w:r>
      <w:bookmarkEnd w:id="7"/>
    </w:p>
    <w:p>
      <w:pPr>
        <w:pStyle w:val="4"/>
        <w:rPr>
          <w:rFonts w:ascii="仿宋_GB2312" w:eastAsia="仿宋_GB2312"/>
        </w:rPr>
      </w:pPr>
      <w:bookmarkStart w:id="8" w:name="_Toc38444564"/>
      <w:r>
        <w:rPr>
          <w:rFonts w:hint="eastAsia" w:ascii="仿宋_GB2312" w:eastAsia="仿宋_GB2312"/>
        </w:rPr>
        <w:t>1.费用开支管理</w:t>
      </w:r>
      <w:bookmarkEnd w:id="8"/>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镇财政的所有开支必须坚持先请示后开支的原则，凡遇中心工作和重大活动（费用高于1000元），必须由具体经办人以书面报告的形式，造发预算，报分管领导核实，经镇党委会通过，镇长签字、财政小组同意后方可开支，且开支额度必须控制在审批范围内;其他日常零星开支（费用低于1000元）在报销时，必须发票正规，填写规范，票面相符，报销凭证由经办人签字，经分管领导审核签字后，并于一周内到镇长处签批，最后到财政所进行报销。</w:t>
      </w:r>
    </w:p>
    <w:p>
      <w:pPr>
        <w:pStyle w:val="4"/>
        <w:rPr>
          <w:rFonts w:ascii="仿宋_GB2312" w:eastAsia="仿宋_GB2312"/>
        </w:rPr>
      </w:pPr>
      <w:bookmarkStart w:id="9" w:name="_Toc38444565"/>
      <w:r>
        <w:rPr>
          <w:rFonts w:hint="eastAsia" w:ascii="仿宋_GB2312" w:eastAsia="仿宋_GB2312"/>
        </w:rPr>
        <w:t>2.拨款管理</w:t>
      </w:r>
      <w:bookmarkEnd w:id="9"/>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镇财政所对在镇上有拨款的单位、村（社区）的拨款事项及额度做到心中有数，针对类似村级转移支付的拨款事项要编制好拨款计划，并报书记、镇长知晓。在拨付款项时，坚持支付原则，由出纳根据领导签批的款项及额度开据转账支票后，再交会计审核盖章后方可办理。在拨付财政专项资金锂，镇财下摆所做好参谋，确保资金专款专用。</w:t>
      </w:r>
    </w:p>
    <w:p>
      <w:pPr>
        <w:pStyle w:val="4"/>
        <w:rPr>
          <w:rFonts w:ascii="仿宋_GB2312" w:eastAsia="仿宋_GB2312"/>
        </w:rPr>
      </w:pPr>
      <w:bookmarkStart w:id="10" w:name="_Toc38444566"/>
      <w:r>
        <w:rPr>
          <w:rFonts w:hint="eastAsia" w:ascii="仿宋_GB2312" w:eastAsia="仿宋_GB2312"/>
        </w:rPr>
        <w:t>3.票据管理</w:t>
      </w:r>
      <w:bookmarkEnd w:id="10"/>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镇级财政票据管理实行领退制，从县财政局统一购买，用完后再到县财政局统一核销。为加强票据管理，财政票据由镇财政所出纳负责管理，政府各站办室需要开票时，只能在镇财政所代开，不予领用。</w:t>
      </w:r>
    </w:p>
    <w:p>
      <w:pPr>
        <w:pStyle w:val="3"/>
        <w:rPr>
          <w:rFonts w:ascii="仿宋_GB2312" w:eastAsia="仿宋_GB2312"/>
        </w:rPr>
      </w:pPr>
      <w:bookmarkStart w:id="11" w:name="_Toc38444567"/>
      <w:r>
        <w:rPr>
          <w:rFonts w:hint="eastAsia" w:ascii="仿宋_GB2312" w:eastAsia="仿宋_GB2312"/>
        </w:rPr>
        <w:t>（六）进一步加强村（社区）财务的监管和督查</w:t>
      </w:r>
      <w:bookmarkEnd w:id="11"/>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为加强对村（社区）财务的监管督查力度，定期对各村（社区）财务管理进行一次专项财务审计；定期不定期的对村（社区）各项资金拨付和使用情况进行督查。</w:t>
      </w:r>
    </w:p>
    <w:p>
      <w:pPr>
        <w:pStyle w:val="3"/>
        <w:rPr>
          <w:rFonts w:ascii="仿宋_GB2312" w:eastAsia="仿宋_GB2312"/>
        </w:rPr>
      </w:pPr>
      <w:bookmarkStart w:id="12" w:name="_Toc38444568"/>
      <w:r>
        <w:rPr>
          <w:rFonts w:hint="eastAsia" w:ascii="仿宋_GB2312" w:eastAsia="仿宋_GB2312"/>
        </w:rPr>
        <w:t>（七）做好各类涉农补贴项目的登记、核查、上报和发放工作。</w:t>
      </w:r>
      <w:bookmarkEnd w:id="12"/>
    </w:p>
    <w:p>
      <w:pPr>
        <w:pStyle w:val="3"/>
        <w:rPr>
          <w:rFonts w:ascii="仿宋_GB2312" w:eastAsia="仿宋_GB2312"/>
        </w:rPr>
      </w:pPr>
      <w:bookmarkStart w:id="13" w:name="_Toc38444569"/>
      <w:r>
        <w:rPr>
          <w:rFonts w:hint="eastAsia" w:ascii="仿宋_GB2312" w:eastAsia="仿宋_GB2312"/>
        </w:rPr>
        <w:t>（八）做好镇党委、政府交办的其他事项和工作。</w:t>
      </w:r>
      <w:bookmarkEnd w:id="13"/>
    </w:p>
    <w:p>
      <w:pPr>
        <w:pStyle w:val="2"/>
        <w:rPr>
          <w:rFonts w:ascii="黑体" w:eastAsia="黑体"/>
          <w:color w:val="000000"/>
          <w:sz w:val="32"/>
          <w:szCs w:val="32"/>
        </w:rPr>
      </w:pPr>
      <w:bookmarkStart w:id="14" w:name="_Toc38444570"/>
      <w:r>
        <w:rPr>
          <w:rFonts w:hint="eastAsia" w:ascii="黑体" w:eastAsia="黑体"/>
          <w:color w:val="000000"/>
          <w:sz w:val="32"/>
          <w:szCs w:val="32"/>
        </w:rPr>
        <w:t>四、收支预算总体情况</w:t>
      </w:r>
      <w:bookmarkEnd w:id="14"/>
    </w:p>
    <w:p>
      <w:pPr>
        <w:ind w:firstLine="960" w:firstLineChars="300"/>
        <w:rPr>
          <w:rFonts w:ascii="Times New Roman" w:hAnsi="Times New Roman" w:eastAsia="仿宋_GB2312" w:cs="Times New Roman"/>
          <w:color w:val="000000"/>
          <w:sz w:val="32"/>
          <w:szCs w:val="32"/>
        </w:rPr>
      </w:pPr>
      <w:r>
        <w:rPr>
          <w:rFonts w:ascii="仿宋_GB2312" w:eastAsia="仿宋_GB2312"/>
          <w:sz w:val="32"/>
          <w:szCs w:val="32"/>
        </w:rPr>
        <w:t>按照预算管理有关规定，目前部门预算的编制实行综合预算制度，即全部收入和支出都反映在预算中。</w:t>
      </w:r>
      <w:r>
        <w:rPr>
          <w:rFonts w:hint="eastAsia" w:ascii="仿宋_GB2312" w:eastAsia="仿宋_GB2312"/>
          <w:sz w:val="32"/>
          <w:szCs w:val="32"/>
        </w:rPr>
        <w:t>2020</w:t>
      </w:r>
      <w:r>
        <w:rPr>
          <w:rFonts w:ascii="仿宋_GB2312" w:eastAsia="仿宋_GB2312"/>
          <w:sz w:val="32"/>
          <w:szCs w:val="32"/>
        </w:rPr>
        <w:t>年</w:t>
      </w:r>
      <w:r>
        <w:rPr>
          <w:rFonts w:hint="eastAsia" w:ascii="仿宋_GB2312" w:eastAsia="仿宋_GB2312"/>
          <w:sz w:val="32"/>
          <w:szCs w:val="32"/>
          <w:lang w:eastAsia="zh-CN"/>
        </w:rPr>
        <w:t>永兴</w:t>
      </w:r>
      <w:r>
        <w:rPr>
          <w:rFonts w:hint="eastAsia" w:ascii="仿宋_GB2312" w:eastAsia="仿宋_GB2312"/>
          <w:sz w:val="32"/>
          <w:szCs w:val="32"/>
        </w:rPr>
        <w:t>镇人民政府</w:t>
      </w:r>
      <w:r>
        <w:rPr>
          <w:rFonts w:ascii="仿宋_GB2312" w:eastAsia="仿宋_GB2312"/>
          <w:sz w:val="32"/>
          <w:szCs w:val="32"/>
        </w:rPr>
        <w:t>单位收入预算总额为</w:t>
      </w:r>
      <w:r>
        <w:rPr>
          <w:rFonts w:hint="eastAsia" w:ascii="仿宋_GB2312" w:eastAsia="仿宋_GB2312"/>
          <w:sz w:val="32"/>
          <w:szCs w:val="32"/>
          <w:lang w:val="en-US" w:eastAsia="zh-CN"/>
        </w:rPr>
        <w:t>1370.94</w:t>
      </w:r>
      <w:r>
        <w:rPr>
          <w:rFonts w:ascii="仿宋_GB2312" w:eastAsia="仿宋_GB2312"/>
          <w:sz w:val="32"/>
          <w:szCs w:val="32"/>
        </w:rPr>
        <w:t>万元，其中：当年财政拨款收入</w:t>
      </w:r>
      <w:r>
        <w:rPr>
          <w:rFonts w:hint="eastAsia" w:ascii="仿宋_GB2312" w:eastAsia="仿宋_GB2312"/>
          <w:sz w:val="32"/>
          <w:szCs w:val="32"/>
          <w:lang w:val="en-US" w:eastAsia="zh-CN"/>
        </w:rPr>
        <w:t>1260.47</w:t>
      </w:r>
      <w:r>
        <w:rPr>
          <w:rFonts w:ascii="仿宋_GB2312" w:eastAsia="仿宋_GB2312"/>
          <w:sz w:val="32"/>
          <w:szCs w:val="32"/>
        </w:rPr>
        <w:t>万元，上年结转收入</w:t>
      </w:r>
      <w:r>
        <w:rPr>
          <w:rFonts w:hint="eastAsia" w:ascii="仿宋_GB2312" w:eastAsia="仿宋_GB2312"/>
          <w:sz w:val="32"/>
          <w:szCs w:val="32"/>
          <w:lang w:val="en-US" w:eastAsia="zh-CN"/>
        </w:rPr>
        <w:t>110.47</w:t>
      </w:r>
      <w:r>
        <w:rPr>
          <w:rFonts w:ascii="仿宋_GB2312" w:eastAsia="仿宋_GB2312"/>
          <w:sz w:val="32"/>
          <w:szCs w:val="32"/>
        </w:rPr>
        <w:t>万元。相应安排支出预算</w:t>
      </w:r>
      <w:r>
        <w:rPr>
          <w:rFonts w:hint="eastAsia" w:ascii="仿宋_GB2312" w:eastAsia="仿宋_GB2312"/>
          <w:sz w:val="32"/>
          <w:szCs w:val="32"/>
          <w:lang w:val="en-US" w:eastAsia="zh-CN"/>
        </w:rPr>
        <w:t>1260.47</w:t>
      </w:r>
      <w:r>
        <w:rPr>
          <w:rFonts w:ascii="仿宋_GB2312" w:eastAsia="仿宋_GB2312"/>
          <w:sz w:val="32"/>
          <w:szCs w:val="32"/>
        </w:rPr>
        <w:t>万元，其中：工资福利支出</w:t>
      </w:r>
      <w:r>
        <w:rPr>
          <w:rFonts w:hint="eastAsia" w:ascii="仿宋_GB2312" w:eastAsia="仿宋_GB2312"/>
          <w:sz w:val="32"/>
          <w:szCs w:val="32"/>
          <w:lang w:val="en-US" w:eastAsia="zh-CN"/>
        </w:rPr>
        <w:t>490.21</w:t>
      </w:r>
      <w:r>
        <w:rPr>
          <w:rFonts w:ascii="仿宋_GB2312" w:eastAsia="仿宋_GB2312"/>
          <w:sz w:val="32"/>
          <w:szCs w:val="32"/>
        </w:rPr>
        <w:t>万元，日常公用支出</w:t>
      </w:r>
      <w:r>
        <w:rPr>
          <w:rFonts w:hint="eastAsia" w:ascii="仿宋_GB2312" w:eastAsia="仿宋_GB2312"/>
          <w:sz w:val="32"/>
          <w:szCs w:val="32"/>
          <w:lang w:val="en-US" w:eastAsia="zh-CN"/>
        </w:rPr>
        <w:t>190.11</w:t>
      </w:r>
      <w:r>
        <w:rPr>
          <w:rFonts w:ascii="仿宋_GB2312" w:eastAsia="仿宋_GB2312"/>
          <w:sz w:val="32"/>
          <w:szCs w:val="32"/>
        </w:rPr>
        <w:t>万元，对个人和家庭的补助支出</w:t>
      </w:r>
      <w:r>
        <w:rPr>
          <w:rFonts w:hint="eastAsia" w:ascii="仿宋_GB2312" w:eastAsia="仿宋_GB2312"/>
          <w:sz w:val="32"/>
          <w:szCs w:val="32"/>
          <w:lang w:val="en-US" w:eastAsia="zh-CN"/>
        </w:rPr>
        <w:t>640.53</w:t>
      </w:r>
      <w:r>
        <w:rPr>
          <w:rFonts w:ascii="仿宋_GB2312" w:eastAsia="仿宋_GB2312"/>
          <w:sz w:val="32"/>
          <w:szCs w:val="32"/>
        </w:rPr>
        <w:t>万元，</w:t>
      </w:r>
      <w:r>
        <w:rPr>
          <w:rFonts w:hint="eastAsia" w:ascii="仿宋_GB2312" w:eastAsia="仿宋_GB2312"/>
          <w:sz w:val="32"/>
          <w:szCs w:val="32"/>
          <w:lang w:eastAsia="zh-CN"/>
        </w:rPr>
        <w:t>其他</w:t>
      </w:r>
      <w:r>
        <w:rPr>
          <w:rFonts w:ascii="仿宋_GB2312" w:eastAsia="仿宋_GB2312"/>
          <w:sz w:val="32"/>
          <w:szCs w:val="32"/>
        </w:rPr>
        <w:t>支出</w:t>
      </w:r>
      <w:r>
        <w:rPr>
          <w:rFonts w:hint="eastAsia" w:ascii="仿宋_GB2312" w:eastAsia="仿宋_GB2312"/>
          <w:sz w:val="32"/>
          <w:szCs w:val="32"/>
          <w:lang w:val="en-US" w:eastAsia="zh-CN"/>
        </w:rPr>
        <w:t>50.09</w:t>
      </w:r>
      <w:r>
        <w:rPr>
          <w:rFonts w:ascii="仿宋_GB2312" w:eastAsia="仿宋_GB2312"/>
          <w:sz w:val="32"/>
          <w:szCs w:val="32"/>
        </w:rPr>
        <w:t>万元</w:t>
      </w:r>
      <w:r>
        <w:rPr>
          <w:rFonts w:ascii="Times New Roman" w:hAnsi="Times New Roman" w:eastAsia="仿宋_GB2312" w:cs="Times New Roman"/>
          <w:color w:val="000000"/>
          <w:sz w:val="32"/>
          <w:szCs w:val="32"/>
        </w:rPr>
        <w:t>。</w:t>
      </w:r>
    </w:p>
    <w:p>
      <w:pPr>
        <w:pStyle w:val="2"/>
        <w:rPr>
          <w:rFonts w:ascii="黑体" w:eastAsia="黑体"/>
          <w:color w:val="000000"/>
          <w:sz w:val="32"/>
          <w:szCs w:val="32"/>
        </w:rPr>
      </w:pPr>
      <w:bookmarkStart w:id="15" w:name="_Toc38444571"/>
      <w:r>
        <w:rPr>
          <w:rFonts w:hint="eastAsia" w:ascii="黑体" w:eastAsia="黑体"/>
          <w:color w:val="000000"/>
          <w:sz w:val="32"/>
          <w:szCs w:val="32"/>
        </w:rPr>
        <w:t>五、预算收支情况增减变化情况</w:t>
      </w:r>
      <w:bookmarkEnd w:id="15"/>
    </w:p>
    <w:p>
      <w:pPr>
        <w:spacing w:line="600" w:lineRule="exact"/>
        <w:ind w:firstLine="640" w:firstLineChars="200"/>
        <w:rPr>
          <w:rFonts w:hint="eastAsia" w:ascii="仿宋_GB2312" w:eastAsia="仿宋_GB2312"/>
          <w:sz w:val="32"/>
          <w:szCs w:val="32"/>
        </w:rPr>
      </w:pPr>
      <w:r>
        <w:rPr>
          <w:rFonts w:hint="eastAsia" w:ascii="Times New Roman" w:hAnsi="Times New Roman" w:eastAsia="仿宋_GB2312" w:cs="Times New Roman"/>
          <w:color w:val="000000"/>
          <w:sz w:val="32"/>
          <w:szCs w:val="32"/>
        </w:rPr>
        <w:t>2020年</w:t>
      </w:r>
      <w:r>
        <w:rPr>
          <w:rFonts w:hint="eastAsia" w:ascii="Times New Roman" w:hAnsi="Times New Roman" w:eastAsia="仿宋_GB2312" w:cs="Times New Roman"/>
          <w:color w:val="000000"/>
          <w:sz w:val="32"/>
          <w:szCs w:val="32"/>
          <w:lang w:eastAsia="zh-CN"/>
        </w:rPr>
        <w:t>永兴</w:t>
      </w:r>
      <w:r>
        <w:rPr>
          <w:rFonts w:hint="eastAsia" w:ascii="Times New Roman" w:hAnsi="Times New Roman" w:eastAsia="仿宋_GB2312" w:cs="Times New Roman"/>
          <w:color w:val="000000"/>
          <w:sz w:val="32"/>
          <w:szCs w:val="32"/>
        </w:rPr>
        <w:t>镇人民政府</w:t>
      </w:r>
      <w:r>
        <w:rPr>
          <w:rFonts w:hint="eastAsia" w:ascii="仿宋_GB2312" w:eastAsia="仿宋_GB2312"/>
          <w:sz w:val="32"/>
          <w:szCs w:val="32"/>
        </w:rPr>
        <w:t>财政拨款预算收入</w:t>
      </w:r>
      <w:r>
        <w:rPr>
          <w:rFonts w:ascii="仿宋_GB2312" w:eastAsia="仿宋_GB2312"/>
          <w:sz w:val="32"/>
          <w:szCs w:val="32"/>
        </w:rPr>
        <w:t>为</w:t>
      </w:r>
      <w:r>
        <w:rPr>
          <w:rFonts w:hint="eastAsia" w:ascii="仿宋_GB2312" w:eastAsia="仿宋_GB2312"/>
          <w:sz w:val="32"/>
          <w:szCs w:val="32"/>
          <w:lang w:val="en-US" w:eastAsia="zh-CN"/>
        </w:rPr>
        <w:t>1260.47</w:t>
      </w:r>
      <w:r>
        <w:rPr>
          <w:rFonts w:ascii="仿宋_GB2312" w:eastAsia="仿宋_GB2312"/>
          <w:sz w:val="32"/>
          <w:szCs w:val="32"/>
        </w:rPr>
        <w:t>万元</w:t>
      </w:r>
      <w:r>
        <w:rPr>
          <w:rFonts w:hint="eastAsia" w:ascii="仿宋_GB2312" w:eastAsia="仿宋_GB2312"/>
          <w:sz w:val="32"/>
          <w:szCs w:val="32"/>
        </w:rPr>
        <w:t>，比2018年预算</w:t>
      </w:r>
      <w:r>
        <w:rPr>
          <w:rFonts w:hint="eastAsia" w:ascii="仿宋_GB2312" w:eastAsia="仿宋_GB2312"/>
          <w:sz w:val="32"/>
          <w:szCs w:val="32"/>
          <w:lang w:val="en-US" w:eastAsia="zh-CN"/>
        </w:rPr>
        <w:t>1342.52</w:t>
      </w:r>
      <w:r>
        <w:rPr>
          <w:rFonts w:hint="eastAsia" w:ascii="仿宋_GB2312" w:eastAsia="仿宋_GB2312"/>
          <w:sz w:val="32"/>
          <w:szCs w:val="32"/>
        </w:rPr>
        <w:t>万元减少了</w:t>
      </w:r>
      <w:r>
        <w:rPr>
          <w:rFonts w:hint="eastAsia" w:ascii="仿宋_GB2312" w:eastAsia="仿宋_GB2312"/>
          <w:sz w:val="32"/>
          <w:szCs w:val="32"/>
          <w:lang w:val="en-US" w:eastAsia="zh-CN"/>
        </w:rPr>
        <w:t>82.04</w:t>
      </w:r>
      <w:r>
        <w:rPr>
          <w:rFonts w:hint="eastAsia" w:ascii="仿宋_GB2312" w:eastAsia="仿宋_GB2312"/>
          <w:sz w:val="32"/>
          <w:szCs w:val="32"/>
        </w:rPr>
        <w:t>万元，降低</w:t>
      </w:r>
      <w:r>
        <w:rPr>
          <w:rFonts w:hint="eastAsia" w:ascii="仿宋_GB2312" w:eastAsia="仿宋_GB2312"/>
          <w:sz w:val="32"/>
          <w:szCs w:val="32"/>
          <w:lang w:val="en-US" w:eastAsia="zh-CN"/>
        </w:rPr>
        <w:t>6.1</w:t>
      </w:r>
      <w:r>
        <w:rPr>
          <w:rFonts w:hint="eastAsia" w:ascii="仿宋_GB2312" w:eastAsia="仿宋_GB2312"/>
          <w:sz w:val="32"/>
          <w:szCs w:val="32"/>
        </w:rPr>
        <w:t>%；2020年</w:t>
      </w:r>
      <w:r>
        <w:rPr>
          <w:rFonts w:hint="eastAsia" w:eastAsia="仿宋_GB2312"/>
          <w:sz w:val="32"/>
          <w:szCs w:val="32"/>
          <w:lang w:eastAsia="zh-CN"/>
        </w:rPr>
        <w:t>永兴</w:t>
      </w:r>
      <w:r>
        <w:rPr>
          <w:rFonts w:hint="eastAsia" w:ascii="仿宋_GB2312" w:eastAsia="仿宋_GB2312"/>
          <w:sz w:val="32"/>
          <w:szCs w:val="32"/>
        </w:rPr>
        <w:t>镇人民政府财政拨款预算支出为</w:t>
      </w:r>
      <w:r>
        <w:rPr>
          <w:rFonts w:hint="eastAsia" w:ascii="仿宋_GB2312" w:eastAsia="仿宋_GB2312"/>
          <w:sz w:val="32"/>
          <w:szCs w:val="32"/>
          <w:lang w:val="en-US" w:eastAsia="zh-CN"/>
        </w:rPr>
        <w:t>1260.47</w:t>
      </w:r>
      <w:r>
        <w:rPr>
          <w:rFonts w:hint="eastAsia" w:ascii="仿宋_GB2312" w:eastAsia="仿宋_GB2312"/>
          <w:sz w:val="32"/>
          <w:szCs w:val="32"/>
        </w:rPr>
        <w:t>万元，比2018年预算</w:t>
      </w:r>
      <w:r>
        <w:rPr>
          <w:rFonts w:hint="eastAsia" w:ascii="仿宋_GB2312" w:eastAsia="仿宋_GB2312"/>
          <w:sz w:val="32"/>
          <w:szCs w:val="32"/>
          <w:lang w:val="en-US" w:eastAsia="zh-CN"/>
        </w:rPr>
        <w:t>1342.52</w:t>
      </w:r>
      <w:r>
        <w:rPr>
          <w:rFonts w:hint="eastAsia" w:ascii="仿宋_GB2312" w:eastAsia="仿宋_GB2312"/>
          <w:sz w:val="32"/>
          <w:szCs w:val="32"/>
        </w:rPr>
        <w:t>万元减少了</w:t>
      </w:r>
      <w:r>
        <w:rPr>
          <w:rFonts w:hint="eastAsia" w:ascii="仿宋_GB2312" w:eastAsia="仿宋_GB2312"/>
          <w:sz w:val="32"/>
          <w:szCs w:val="32"/>
          <w:lang w:val="en-US" w:eastAsia="zh-CN"/>
        </w:rPr>
        <w:t>82.04</w:t>
      </w:r>
      <w:r>
        <w:rPr>
          <w:rFonts w:hint="eastAsia" w:ascii="仿宋_GB2312" w:eastAsia="仿宋_GB2312"/>
          <w:sz w:val="32"/>
          <w:szCs w:val="32"/>
        </w:rPr>
        <w:t>万元，降低</w:t>
      </w:r>
      <w:r>
        <w:rPr>
          <w:rFonts w:hint="eastAsia" w:ascii="仿宋_GB2312" w:eastAsia="仿宋_GB2312"/>
          <w:sz w:val="32"/>
          <w:szCs w:val="32"/>
          <w:lang w:val="en-US" w:eastAsia="zh-CN"/>
        </w:rPr>
        <w:t>6.1</w:t>
      </w:r>
      <w:r>
        <w:rPr>
          <w:rFonts w:hint="eastAsia" w:ascii="仿宋_GB2312" w:eastAsia="仿宋_GB2312"/>
          <w:sz w:val="32"/>
          <w:szCs w:val="32"/>
        </w:rPr>
        <w:t>%。</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六、财政拨款支出预算安排情况</w:t>
      </w:r>
      <w:bookmarkStart w:id="26" w:name="_GoBack"/>
    </w:p>
    <w:bookmarkEnd w:id="26"/>
    <w:p>
      <w:pPr>
        <w:spacing w:line="579" w:lineRule="exact"/>
        <w:ind w:firstLine="640" w:firstLineChars="200"/>
        <w:rPr>
          <w:rFonts w:ascii="仿宋_GB2312" w:eastAsia="仿宋_GB2312"/>
          <w:sz w:val="32"/>
          <w:szCs w:val="32"/>
        </w:rPr>
      </w:pPr>
      <w:r>
        <w:rPr>
          <w:rFonts w:ascii="仿宋_GB2312" w:eastAsia="仿宋_GB2312"/>
          <w:sz w:val="32"/>
          <w:szCs w:val="32"/>
        </w:rPr>
        <w:t>本单位预算安排支出主要用于保障该部门机构正常运转、完成日常工作任务以及本单位承担的</w:t>
      </w:r>
      <w:r>
        <w:rPr>
          <w:rFonts w:hint="eastAsia" w:ascii="仿宋_GB2312" w:eastAsia="仿宋_GB2312"/>
          <w:sz w:val="32"/>
          <w:szCs w:val="32"/>
        </w:rPr>
        <w:t>其他</w:t>
      </w:r>
      <w:r>
        <w:rPr>
          <w:rFonts w:ascii="仿宋_GB2312" w:eastAsia="仿宋_GB2312"/>
          <w:sz w:val="32"/>
          <w:szCs w:val="32"/>
        </w:rPr>
        <w:t>工作。</w:t>
      </w:r>
    </w:p>
    <w:p>
      <w:pPr>
        <w:spacing w:line="579" w:lineRule="exact"/>
        <w:ind w:firstLine="640"/>
        <w:rPr>
          <w:rFonts w:ascii="仿宋_GB2312" w:eastAsia="仿宋_GB2312"/>
          <w:sz w:val="32"/>
          <w:szCs w:val="32"/>
        </w:rPr>
      </w:pPr>
      <w:r>
        <w:rPr>
          <w:rFonts w:ascii="仿宋_GB2312" w:eastAsia="仿宋_GB2312"/>
          <w:sz w:val="32"/>
          <w:szCs w:val="32"/>
        </w:rPr>
        <w:t>基本支出，是用于保障</w:t>
      </w:r>
      <w:r>
        <w:rPr>
          <w:rFonts w:hint="eastAsia" w:ascii="仿宋_GB2312" w:eastAsia="仿宋_GB2312"/>
          <w:sz w:val="32"/>
          <w:szCs w:val="32"/>
        </w:rPr>
        <w:t>我镇</w:t>
      </w:r>
      <w:r>
        <w:rPr>
          <w:rFonts w:ascii="仿宋_GB2312" w:eastAsia="仿宋_GB2312"/>
          <w:sz w:val="32"/>
          <w:szCs w:val="32"/>
        </w:rPr>
        <w:t>正常运转的日常支出，包括基本工资、津贴补贴、离退休费、住房公积金和日常公用经费等。</w:t>
      </w:r>
    </w:p>
    <w:p>
      <w:pPr>
        <w:spacing w:line="579" w:lineRule="exact"/>
        <w:ind w:firstLine="640"/>
        <w:rPr>
          <w:rFonts w:ascii="仿宋_GB2312" w:eastAsia="仿宋_GB2312"/>
          <w:sz w:val="32"/>
          <w:szCs w:val="32"/>
        </w:rPr>
      </w:pPr>
      <w:r>
        <w:rPr>
          <w:rFonts w:ascii="仿宋_GB2312" w:eastAsia="仿宋_GB2312"/>
          <w:sz w:val="32"/>
          <w:szCs w:val="32"/>
        </w:rPr>
        <w:t>项目支出，是用于保障</w:t>
      </w:r>
      <w:r>
        <w:rPr>
          <w:rFonts w:hint="eastAsia" w:ascii="仿宋_GB2312" w:eastAsia="仿宋_GB2312"/>
          <w:sz w:val="32"/>
          <w:szCs w:val="32"/>
        </w:rPr>
        <w:t>我镇</w:t>
      </w:r>
      <w:r>
        <w:rPr>
          <w:rFonts w:ascii="仿宋_GB2312" w:eastAsia="仿宋_GB2312"/>
          <w:sz w:val="32"/>
          <w:szCs w:val="32"/>
        </w:rPr>
        <w:t>为完成特定的行政工作任务或事业发展目标，用于专项业务工作的经费支出。</w:t>
      </w:r>
    </w:p>
    <w:p>
      <w:pPr>
        <w:spacing w:line="579" w:lineRule="exact"/>
        <w:ind w:firstLine="640"/>
        <w:rPr>
          <w:rFonts w:ascii="仿宋_GB2312" w:eastAsia="仿宋_GB2312"/>
          <w:sz w:val="32"/>
          <w:szCs w:val="32"/>
        </w:rPr>
      </w:pPr>
      <w:r>
        <w:rPr>
          <w:rFonts w:ascii="仿宋_GB2312" w:eastAsia="仿宋_GB2312"/>
          <w:sz w:val="32"/>
          <w:szCs w:val="32"/>
        </w:rPr>
        <w:t>按支出功能分类主要用于以下方面：</w:t>
      </w:r>
    </w:p>
    <w:p>
      <w:pPr>
        <w:spacing w:line="579" w:lineRule="exact"/>
        <w:ind w:firstLine="640" w:firstLineChars="200"/>
        <w:rPr>
          <w:rFonts w:ascii="仿宋_GB2312" w:eastAsia="仿宋_GB2312"/>
          <w:sz w:val="32"/>
          <w:szCs w:val="32"/>
        </w:rPr>
      </w:pPr>
      <w:r>
        <w:rPr>
          <w:rFonts w:ascii="仿宋_GB2312" w:eastAsia="仿宋_GB2312"/>
          <w:sz w:val="32"/>
          <w:szCs w:val="32"/>
        </w:rPr>
        <w:t>（一）一般公共服务支出</w:t>
      </w:r>
      <w:r>
        <w:rPr>
          <w:rFonts w:hint="eastAsia" w:ascii="仿宋_GB2312" w:eastAsia="仿宋_GB2312"/>
          <w:sz w:val="32"/>
          <w:szCs w:val="32"/>
          <w:lang w:val="en-US" w:eastAsia="zh-CN"/>
        </w:rPr>
        <w:t>372.77</w:t>
      </w:r>
      <w:r>
        <w:rPr>
          <w:rFonts w:ascii="仿宋_GB2312" w:eastAsia="仿宋_GB2312"/>
          <w:sz w:val="32"/>
          <w:szCs w:val="32"/>
        </w:rPr>
        <w:t>万元，主要用于机关及下属事业单位人员工资、日常运转以及为完成特定行政工作任务和事业发展目标而安排的年度项目支出</w:t>
      </w:r>
      <w:r>
        <w:rPr>
          <w:rFonts w:hint="eastAsia" w:ascii="仿宋_GB2312" w:eastAsia="仿宋_GB2312"/>
          <w:sz w:val="32"/>
          <w:szCs w:val="32"/>
          <w:lang w:eastAsia="zh-CN"/>
        </w:rPr>
        <w:t>；</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（二）文化体育与传媒支出</w:t>
      </w:r>
      <w:r>
        <w:rPr>
          <w:rFonts w:hint="eastAsia" w:ascii="仿宋_GB2312" w:eastAsia="仿宋_GB2312"/>
          <w:sz w:val="32"/>
          <w:szCs w:val="32"/>
          <w:lang w:val="en-US" w:eastAsia="zh-CN"/>
        </w:rPr>
        <w:t>17.72</w:t>
      </w:r>
      <w:r>
        <w:rPr>
          <w:rFonts w:hint="eastAsia" w:ascii="仿宋_GB2312" w:eastAsia="仿宋_GB2312"/>
          <w:sz w:val="32"/>
          <w:szCs w:val="32"/>
        </w:rPr>
        <w:t>万元，主要</w:t>
      </w:r>
      <w:r>
        <w:rPr>
          <w:rFonts w:ascii="仿宋_GB2312" w:eastAsia="仿宋_GB2312"/>
          <w:sz w:val="32"/>
          <w:szCs w:val="32"/>
        </w:rPr>
        <w:t>用于机关及下属事业单位离退休人员支出以及养老保险单位缴费等支出。</w:t>
      </w:r>
    </w:p>
    <w:p>
      <w:pPr>
        <w:spacing w:line="579"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）社会保障和就业支出</w:t>
      </w:r>
      <w:r>
        <w:rPr>
          <w:rFonts w:hint="eastAsia" w:ascii="仿宋_GB2312" w:eastAsia="仿宋_GB2312"/>
          <w:sz w:val="32"/>
          <w:szCs w:val="32"/>
          <w:lang w:val="en-US" w:eastAsia="zh-CN"/>
        </w:rPr>
        <w:t>272.22</w:t>
      </w:r>
      <w:r>
        <w:rPr>
          <w:rFonts w:ascii="仿宋_GB2312" w:eastAsia="仿宋_GB2312"/>
          <w:sz w:val="32"/>
          <w:szCs w:val="32"/>
        </w:rPr>
        <w:t>万元，主要用于机关及下属事业单位离退休人员支出以及养老保险单位缴费等支出。</w:t>
      </w:r>
    </w:p>
    <w:p>
      <w:pPr>
        <w:spacing w:line="579"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（四）医疗卫生与计划生育支出</w:t>
      </w:r>
      <w:r>
        <w:rPr>
          <w:rFonts w:hint="eastAsia" w:ascii="仿宋_GB2312" w:eastAsia="仿宋_GB2312"/>
          <w:sz w:val="32"/>
          <w:szCs w:val="32"/>
          <w:lang w:val="en-US" w:eastAsia="zh-CN"/>
        </w:rPr>
        <w:t>21.56万元，</w:t>
      </w:r>
      <w:r>
        <w:rPr>
          <w:rFonts w:hint="eastAsia" w:ascii="仿宋_GB2312" w:eastAsia="仿宋_GB2312"/>
          <w:sz w:val="32"/>
          <w:szCs w:val="32"/>
        </w:rPr>
        <w:t>主要用于机关及下属事业单位</w:t>
      </w:r>
      <w:r>
        <w:rPr>
          <w:rFonts w:ascii="仿宋_GB2312" w:eastAsia="仿宋_GB2312"/>
          <w:sz w:val="32"/>
          <w:szCs w:val="32"/>
        </w:rPr>
        <w:t>离退休人员支出以及养老保险单位缴费等支出</w:t>
      </w:r>
      <w:r>
        <w:rPr>
          <w:rFonts w:hint="eastAsia" w:ascii="仿宋_GB2312" w:eastAsia="仿宋_GB2312"/>
          <w:sz w:val="32"/>
          <w:szCs w:val="32"/>
        </w:rPr>
        <w:t>，以及村社干部工资和村办公经费等支出。</w:t>
      </w:r>
    </w:p>
    <w:p>
      <w:pPr>
        <w:spacing w:line="579"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（五）节能环保支出</w:t>
      </w:r>
      <w:r>
        <w:rPr>
          <w:rFonts w:hint="eastAsia" w:ascii="仿宋_GB2312" w:eastAsia="仿宋_GB2312"/>
          <w:sz w:val="32"/>
          <w:szCs w:val="32"/>
          <w:lang w:val="en-US" w:eastAsia="zh-CN"/>
        </w:rPr>
        <w:t>0.53万元，主要用于节能环保方面支出；</w:t>
      </w:r>
    </w:p>
    <w:p>
      <w:pPr>
        <w:spacing w:line="579"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（六）城乡社区支出39.45万元，主要用于城乡社区方面支出；</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）农林水支出</w:t>
      </w:r>
      <w:r>
        <w:rPr>
          <w:rFonts w:hint="eastAsia" w:ascii="仿宋_GB2312" w:eastAsia="仿宋_GB2312"/>
          <w:sz w:val="32"/>
          <w:szCs w:val="32"/>
          <w:lang w:val="en-US" w:eastAsia="zh-CN"/>
        </w:rPr>
        <w:t>578.81</w:t>
      </w:r>
      <w:r>
        <w:rPr>
          <w:rFonts w:hint="eastAsia" w:ascii="仿宋_GB2312" w:eastAsia="仿宋_GB2312"/>
          <w:sz w:val="32"/>
          <w:szCs w:val="32"/>
        </w:rPr>
        <w:t>万元，主要用于机关及下属事业单位</w:t>
      </w:r>
      <w:r>
        <w:rPr>
          <w:rFonts w:ascii="仿宋_GB2312" w:eastAsia="仿宋_GB2312"/>
          <w:sz w:val="32"/>
          <w:szCs w:val="32"/>
        </w:rPr>
        <w:t>离退休人员支出以及养老保险单位缴费等支出</w:t>
      </w:r>
      <w:r>
        <w:rPr>
          <w:rFonts w:hint="eastAsia" w:ascii="仿宋_GB2312" w:eastAsia="仿宋_GB2312"/>
          <w:sz w:val="32"/>
          <w:szCs w:val="32"/>
        </w:rPr>
        <w:t>，以及村社干部工资和村办公经费等支出。</w:t>
      </w:r>
    </w:p>
    <w:p>
      <w:pPr>
        <w:spacing w:line="579"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eastAsia="zh-CN"/>
        </w:rPr>
        <w:t>八</w:t>
      </w:r>
      <w:r>
        <w:rPr>
          <w:rFonts w:ascii="仿宋_GB2312" w:eastAsia="仿宋_GB2312"/>
          <w:sz w:val="32"/>
          <w:szCs w:val="32"/>
        </w:rPr>
        <w:t>）住房保障支出</w:t>
      </w:r>
      <w:r>
        <w:rPr>
          <w:rFonts w:hint="eastAsia" w:ascii="仿宋_GB2312" w:eastAsia="仿宋_GB2312"/>
          <w:sz w:val="32"/>
          <w:szCs w:val="32"/>
          <w:lang w:val="en-US" w:eastAsia="zh-CN"/>
        </w:rPr>
        <w:t>65.49</w:t>
      </w:r>
      <w:r>
        <w:rPr>
          <w:rFonts w:ascii="仿宋_GB2312" w:eastAsia="仿宋_GB2312"/>
          <w:sz w:val="32"/>
          <w:szCs w:val="32"/>
        </w:rPr>
        <w:t>万元，用于机关及下属事业单位按照规定标准为职工缴纳住房公积金等支出。</w:t>
      </w:r>
    </w:p>
    <w:p>
      <w:pPr>
        <w:spacing w:line="579"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（九）灾害防治及应急管理支出</w:t>
      </w:r>
      <w:r>
        <w:rPr>
          <w:rFonts w:hint="eastAsia" w:ascii="仿宋_GB2312" w:eastAsia="仿宋_GB2312"/>
          <w:sz w:val="32"/>
          <w:szCs w:val="32"/>
          <w:lang w:val="en-US" w:eastAsia="zh-CN"/>
        </w:rPr>
        <w:t>2.41</w:t>
      </w:r>
      <w:r>
        <w:rPr>
          <w:rFonts w:ascii="仿宋_GB2312" w:eastAsia="仿宋_GB2312"/>
          <w:sz w:val="32"/>
          <w:szCs w:val="32"/>
        </w:rPr>
        <w:t>万元，</w:t>
      </w:r>
      <w:r>
        <w:rPr>
          <w:rFonts w:hint="eastAsia" w:ascii="仿宋_GB2312" w:eastAsia="仿宋_GB2312"/>
          <w:sz w:val="32"/>
          <w:szCs w:val="32"/>
          <w:lang w:eastAsia="zh-CN"/>
        </w:rPr>
        <w:t>用于灾害防治等支出。</w:t>
      </w:r>
    </w:p>
    <w:p>
      <w:pPr>
        <w:pStyle w:val="2"/>
        <w:rPr>
          <w:rFonts w:eastAsia="黑体"/>
          <w:sz w:val="32"/>
          <w:szCs w:val="32"/>
        </w:rPr>
      </w:pPr>
      <w:bookmarkStart w:id="16" w:name="_Toc38444572"/>
      <w:r>
        <w:rPr>
          <w:rFonts w:hint="eastAsia" w:eastAsia="黑体"/>
          <w:sz w:val="32"/>
          <w:szCs w:val="32"/>
        </w:rPr>
        <w:t>七</w:t>
      </w:r>
      <w:r>
        <w:rPr>
          <w:rFonts w:eastAsia="黑体"/>
          <w:sz w:val="32"/>
          <w:szCs w:val="32"/>
        </w:rPr>
        <w:t>、“三公”经费财政拨款预算安排情况</w:t>
      </w:r>
      <w:bookmarkEnd w:id="16"/>
    </w:p>
    <w:p>
      <w:pPr>
        <w:spacing w:line="579"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20</w:t>
      </w:r>
      <w:r>
        <w:rPr>
          <w:rFonts w:ascii="仿宋_GB2312" w:eastAsia="仿宋_GB2312"/>
          <w:sz w:val="32"/>
          <w:szCs w:val="32"/>
        </w:rPr>
        <w:t>年“三公”经费财政拨款预算数</w:t>
      </w:r>
      <w:r>
        <w:rPr>
          <w:rFonts w:hint="eastAsia" w:ascii="仿宋_GB2312" w:eastAsia="仿宋_GB2312"/>
          <w:sz w:val="32"/>
          <w:szCs w:val="32"/>
        </w:rPr>
        <w:t>11.</w:t>
      </w:r>
      <w:r>
        <w:rPr>
          <w:rFonts w:hint="eastAsia" w:ascii="仿宋_GB2312" w:eastAsia="仿宋_GB2312"/>
          <w:sz w:val="32"/>
          <w:szCs w:val="32"/>
          <w:lang w:val="en-US" w:eastAsia="zh-CN"/>
        </w:rPr>
        <w:t>62</w:t>
      </w:r>
      <w:r>
        <w:rPr>
          <w:rFonts w:ascii="仿宋_GB2312" w:eastAsia="仿宋_GB2312"/>
          <w:sz w:val="32"/>
          <w:szCs w:val="32"/>
        </w:rPr>
        <w:t>万元，其中：因公出国（境）经费</w:t>
      </w:r>
      <w:r>
        <w:rPr>
          <w:rFonts w:hint="eastAsia" w:ascii="仿宋_GB2312" w:eastAsia="仿宋_GB2312"/>
          <w:sz w:val="32"/>
          <w:szCs w:val="32"/>
        </w:rPr>
        <w:t>0</w:t>
      </w:r>
      <w:r>
        <w:rPr>
          <w:rFonts w:ascii="仿宋_GB2312" w:eastAsia="仿宋_GB2312"/>
          <w:sz w:val="32"/>
          <w:szCs w:val="32"/>
        </w:rPr>
        <w:t>万元，公务接待费</w:t>
      </w:r>
      <w:r>
        <w:rPr>
          <w:rFonts w:hint="eastAsia" w:ascii="仿宋_GB2312" w:eastAsia="仿宋_GB2312"/>
          <w:sz w:val="32"/>
          <w:szCs w:val="32"/>
        </w:rPr>
        <w:t>1.</w:t>
      </w:r>
      <w:r>
        <w:rPr>
          <w:rFonts w:hint="eastAsia" w:ascii="仿宋_GB2312" w:eastAsia="仿宋_GB2312"/>
          <w:sz w:val="32"/>
          <w:szCs w:val="32"/>
          <w:lang w:val="en-US" w:eastAsia="zh-CN"/>
        </w:rPr>
        <w:t>62</w:t>
      </w:r>
      <w:r>
        <w:rPr>
          <w:rFonts w:ascii="仿宋_GB2312" w:eastAsia="仿宋_GB2312"/>
          <w:sz w:val="32"/>
          <w:szCs w:val="32"/>
        </w:rPr>
        <w:t>万元，公务用车购置及运行维护费</w:t>
      </w:r>
      <w:r>
        <w:rPr>
          <w:rFonts w:hint="eastAsia" w:ascii="仿宋_GB2312" w:eastAsia="仿宋_GB2312"/>
          <w:sz w:val="32"/>
          <w:szCs w:val="32"/>
        </w:rPr>
        <w:t>10</w:t>
      </w:r>
      <w:r>
        <w:rPr>
          <w:rFonts w:ascii="仿宋_GB2312" w:eastAsia="仿宋_GB2312"/>
          <w:sz w:val="32"/>
          <w:szCs w:val="32"/>
        </w:rPr>
        <w:t>万元（公务用车购置费</w:t>
      </w:r>
      <w:r>
        <w:rPr>
          <w:rFonts w:hint="eastAsia" w:ascii="仿宋_GB2312" w:eastAsia="仿宋_GB2312"/>
          <w:sz w:val="32"/>
          <w:szCs w:val="32"/>
        </w:rPr>
        <w:t>0</w:t>
      </w:r>
      <w:r>
        <w:rPr>
          <w:rFonts w:ascii="仿宋_GB2312" w:eastAsia="仿宋_GB2312"/>
          <w:sz w:val="32"/>
          <w:szCs w:val="32"/>
        </w:rPr>
        <w:t>万元，公务用车运行维护费</w:t>
      </w:r>
      <w:r>
        <w:rPr>
          <w:rFonts w:hint="eastAsia" w:ascii="仿宋_GB2312" w:eastAsia="仿宋_GB2312"/>
          <w:sz w:val="32"/>
          <w:szCs w:val="32"/>
        </w:rPr>
        <w:t>10</w:t>
      </w:r>
      <w:r>
        <w:rPr>
          <w:rFonts w:ascii="仿宋_GB2312" w:eastAsia="仿宋_GB2312"/>
          <w:sz w:val="32"/>
          <w:szCs w:val="32"/>
        </w:rPr>
        <w:t>万元）。</w:t>
      </w:r>
    </w:p>
    <w:p>
      <w:pPr>
        <w:pStyle w:val="3"/>
        <w:rPr>
          <w:rFonts w:ascii="方正楷体_GBK" w:eastAsia="方正楷体_GBK"/>
        </w:rPr>
      </w:pPr>
      <w:bookmarkStart w:id="17" w:name="_Toc38444573"/>
      <w:r>
        <w:rPr>
          <w:rFonts w:hint="eastAsia" w:ascii="楷体_GB2312" w:eastAsia="楷体_GB2312"/>
        </w:rPr>
        <w:t>（一）因公出国（境）经费</w:t>
      </w:r>
      <w:bookmarkEnd w:id="17"/>
    </w:p>
    <w:p>
      <w:pPr>
        <w:spacing w:line="579"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20</w:t>
      </w:r>
      <w:r>
        <w:rPr>
          <w:rFonts w:ascii="仿宋_GB2312" w:eastAsia="仿宋_GB2312"/>
          <w:sz w:val="32"/>
          <w:szCs w:val="32"/>
        </w:rPr>
        <w:t>无出国（境）经费预算，与201</w:t>
      </w:r>
      <w:r>
        <w:rPr>
          <w:rFonts w:hint="eastAsia" w:ascii="仿宋_GB2312" w:eastAsia="仿宋_GB2312"/>
          <w:sz w:val="32"/>
          <w:szCs w:val="32"/>
        </w:rPr>
        <w:t>9</w:t>
      </w:r>
      <w:r>
        <w:rPr>
          <w:rFonts w:ascii="仿宋_GB2312" w:eastAsia="仿宋_GB2312"/>
          <w:sz w:val="32"/>
          <w:szCs w:val="32"/>
        </w:rPr>
        <w:t>年预算持平。</w:t>
      </w:r>
    </w:p>
    <w:p>
      <w:pPr>
        <w:pStyle w:val="3"/>
        <w:rPr>
          <w:rFonts w:ascii="楷体_GB2312" w:eastAsia="楷体_GB2312"/>
          <w:b w:val="0"/>
        </w:rPr>
      </w:pPr>
      <w:bookmarkStart w:id="18" w:name="_Toc38444574"/>
      <w:r>
        <w:rPr>
          <w:rFonts w:hint="eastAsia" w:ascii="楷体_GB2312" w:eastAsia="楷体_GB2312"/>
        </w:rPr>
        <w:t>（二）公务接待费</w:t>
      </w:r>
      <w:bookmarkEnd w:id="18"/>
    </w:p>
    <w:p>
      <w:pPr>
        <w:spacing w:line="579"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20</w:t>
      </w:r>
      <w:r>
        <w:rPr>
          <w:rFonts w:ascii="仿宋_GB2312" w:eastAsia="仿宋_GB2312"/>
          <w:sz w:val="32"/>
          <w:szCs w:val="32"/>
        </w:rPr>
        <w:t>年安排公务接待费预算</w:t>
      </w:r>
      <w:r>
        <w:rPr>
          <w:rFonts w:hint="eastAsia" w:ascii="仿宋_GB2312" w:eastAsia="仿宋_GB2312"/>
          <w:sz w:val="32"/>
          <w:szCs w:val="32"/>
        </w:rPr>
        <w:t>1.</w:t>
      </w:r>
      <w:r>
        <w:rPr>
          <w:rFonts w:hint="eastAsia" w:ascii="仿宋_GB2312" w:eastAsia="仿宋_GB2312"/>
          <w:sz w:val="32"/>
          <w:szCs w:val="32"/>
          <w:lang w:val="en-US" w:eastAsia="zh-CN"/>
        </w:rPr>
        <w:t>62</w:t>
      </w:r>
      <w:r>
        <w:rPr>
          <w:rFonts w:ascii="仿宋_GB2312" w:eastAsia="仿宋_GB2312"/>
          <w:sz w:val="32"/>
          <w:szCs w:val="32"/>
        </w:rPr>
        <w:t>万元，较201</w:t>
      </w:r>
      <w:r>
        <w:rPr>
          <w:rFonts w:hint="eastAsia" w:ascii="仿宋_GB2312" w:eastAsia="仿宋_GB2312"/>
          <w:sz w:val="32"/>
          <w:szCs w:val="32"/>
        </w:rPr>
        <w:t>9</w:t>
      </w:r>
      <w:r>
        <w:rPr>
          <w:rFonts w:ascii="仿宋_GB2312" w:eastAsia="仿宋_GB2312"/>
          <w:sz w:val="32"/>
          <w:szCs w:val="32"/>
        </w:rPr>
        <w:t>年预算</w:t>
      </w:r>
      <w:r>
        <w:rPr>
          <w:rFonts w:hint="eastAsia" w:ascii="仿宋_GB2312" w:eastAsia="仿宋_GB2312"/>
          <w:sz w:val="32"/>
          <w:szCs w:val="32"/>
        </w:rPr>
        <w:t>降低2</w:t>
      </w:r>
      <w:r>
        <w:rPr>
          <w:rFonts w:ascii="仿宋_GB2312" w:eastAsia="仿宋_GB2312"/>
          <w:sz w:val="32"/>
          <w:szCs w:val="32"/>
        </w:rPr>
        <w:t>%，主要原因是</w:t>
      </w:r>
      <w:r>
        <w:rPr>
          <w:rFonts w:hint="eastAsia" w:ascii="仿宋_GB2312" w:eastAsia="仿宋_GB2312"/>
          <w:sz w:val="32"/>
          <w:szCs w:val="32"/>
        </w:rPr>
        <w:t>节约开支</w:t>
      </w:r>
      <w:r>
        <w:rPr>
          <w:rFonts w:ascii="仿宋_GB2312" w:eastAsia="仿宋_GB2312"/>
          <w:sz w:val="32"/>
          <w:szCs w:val="32"/>
        </w:rPr>
        <w:t>。</w:t>
      </w:r>
    </w:p>
    <w:p>
      <w:pPr>
        <w:pStyle w:val="3"/>
        <w:rPr>
          <w:rFonts w:ascii="楷体_GB2312" w:eastAsia="楷体_GB2312"/>
        </w:rPr>
      </w:pPr>
      <w:bookmarkStart w:id="19" w:name="_Toc38444575"/>
      <w:r>
        <w:rPr>
          <w:rFonts w:hint="eastAsia" w:ascii="楷体_GB2312" w:eastAsia="楷体_GB2312"/>
        </w:rPr>
        <w:t>（三）公务用车购置及运行维护费</w:t>
      </w:r>
      <w:bookmarkEnd w:id="19"/>
    </w:p>
    <w:p>
      <w:pPr>
        <w:spacing w:line="579"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20</w:t>
      </w:r>
      <w:r>
        <w:rPr>
          <w:rFonts w:ascii="仿宋_GB2312" w:eastAsia="仿宋_GB2312"/>
          <w:sz w:val="32"/>
          <w:szCs w:val="32"/>
        </w:rPr>
        <w:t>年安排公务用车购置及运行维护费</w:t>
      </w:r>
      <w:r>
        <w:rPr>
          <w:rFonts w:hint="eastAsia" w:ascii="仿宋_GB2312" w:eastAsia="仿宋_GB2312"/>
          <w:sz w:val="32"/>
          <w:szCs w:val="32"/>
        </w:rPr>
        <w:t>10</w:t>
      </w:r>
      <w:r>
        <w:rPr>
          <w:rFonts w:ascii="仿宋_GB2312" w:eastAsia="仿宋_GB2312"/>
          <w:sz w:val="32"/>
          <w:szCs w:val="32"/>
        </w:rPr>
        <w:t>万元，</w:t>
      </w:r>
      <w:r>
        <w:rPr>
          <w:rFonts w:hint="eastAsia" w:ascii="仿宋_GB2312" w:eastAsia="仿宋_GB2312"/>
          <w:sz w:val="32"/>
          <w:szCs w:val="32"/>
        </w:rPr>
        <w:t>与</w:t>
      </w: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年预算</w:t>
      </w:r>
      <w:r>
        <w:rPr>
          <w:rFonts w:hint="eastAsia" w:ascii="仿宋_GB2312" w:eastAsia="仿宋_GB2312"/>
          <w:sz w:val="32"/>
          <w:szCs w:val="32"/>
        </w:rPr>
        <w:t>10万元持平，</w:t>
      </w:r>
      <w:r>
        <w:rPr>
          <w:rFonts w:ascii="仿宋_GB2312" w:eastAsia="仿宋_GB2312"/>
          <w:sz w:val="32"/>
          <w:szCs w:val="32"/>
        </w:rPr>
        <w:t>主要用于公务用车燃油、维修、保险等方面支出。20</w:t>
      </w:r>
      <w:r>
        <w:rPr>
          <w:rFonts w:hint="eastAsia" w:ascii="仿宋_GB2312" w:eastAsia="仿宋_GB2312"/>
          <w:sz w:val="32"/>
          <w:szCs w:val="32"/>
        </w:rPr>
        <w:t>20</w:t>
      </w:r>
      <w:r>
        <w:rPr>
          <w:rFonts w:ascii="仿宋_GB2312" w:eastAsia="仿宋_GB2312"/>
          <w:sz w:val="32"/>
          <w:szCs w:val="32"/>
        </w:rPr>
        <w:t>年将新购</w:t>
      </w:r>
      <w:r>
        <w:rPr>
          <w:rFonts w:hint="eastAsia" w:ascii="仿宋_GB2312" w:eastAsia="仿宋_GB2312"/>
          <w:sz w:val="32"/>
          <w:szCs w:val="32"/>
        </w:rPr>
        <w:t>0</w:t>
      </w:r>
      <w:r>
        <w:rPr>
          <w:rFonts w:ascii="仿宋_GB2312" w:eastAsia="仿宋_GB2312"/>
          <w:sz w:val="32"/>
          <w:szCs w:val="32"/>
        </w:rPr>
        <w:t>辆车，其中：轿车</w:t>
      </w:r>
      <w:r>
        <w:rPr>
          <w:rFonts w:hint="eastAsia" w:ascii="仿宋_GB2312" w:eastAsia="仿宋_GB2312"/>
          <w:sz w:val="32"/>
          <w:szCs w:val="32"/>
        </w:rPr>
        <w:t>0</w:t>
      </w:r>
      <w:r>
        <w:rPr>
          <w:rFonts w:ascii="仿宋_GB2312" w:eastAsia="仿宋_GB2312"/>
          <w:sz w:val="32"/>
          <w:szCs w:val="32"/>
        </w:rPr>
        <w:t>辆、越野车</w:t>
      </w:r>
      <w:r>
        <w:rPr>
          <w:rFonts w:hint="eastAsia" w:ascii="仿宋_GB2312" w:eastAsia="仿宋_GB2312"/>
          <w:sz w:val="32"/>
          <w:szCs w:val="32"/>
        </w:rPr>
        <w:t>0</w:t>
      </w:r>
      <w:r>
        <w:rPr>
          <w:rFonts w:ascii="仿宋_GB2312" w:eastAsia="仿宋_GB2312"/>
          <w:sz w:val="32"/>
          <w:szCs w:val="32"/>
        </w:rPr>
        <w:t>辆、客车</w:t>
      </w:r>
      <w:r>
        <w:rPr>
          <w:rFonts w:hint="eastAsia" w:ascii="仿宋_GB2312" w:eastAsia="仿宋_GB2312"/>
          <w:sz w:val="32"/>
          <w:szCs w:val="32"/>
        </w:rPr>
        <w:t>0</w:t>
      </w:r>
      <w:r>
        <w:rPr>
          <w:rFonts w:ascii="仿宋_GB2312" w:eastAsia="仿宋_GB2312"/>
          <w:sz w:val="32"/>
          <w:szCs w:val="32"/>
        </w:rPr>
        <w:t>辆，单位车辆保有量预计达到</w:t>
      </w:r>
      <w:r>
        <w:rPr>
          <w:rFonts w:hint="eastAsia" w:ascii="仿宋_GB2312" w:eastAsia="仿宋_GB2312"/>
          <w:sz w:val="32"/>
          <w:szCs w:val="32"/>
        </w:rPr>
        <w:t>3</w:t>
      </w:r>
      <w:r>
        <w:rPr>
          <w:rFonts w:ascii="仿宋_GB2312" w:eastAsia="仿宋_GB2312"/>
          <w:sz w:val="32"/>
          <w:szCs w:val="32"/>
        </w:rPr>
        <w:t>辆。</w:t>
      </w:r>
    </w:p>
    <w:p>
      <w:pPr>
        <w:pStyle w:val="2"/>
        <w:rPr>
          <w:rFonts w:eastAsia="黑体"/>
          <w:sz w:val="32"/>
          <w:szCs w:val="32"/>
        </w:rPr>
      </w:pPr>
      <w:bookmarkStart w:id="20" w:name="_Toc38444576"/>
      <w:r>
        <w:rPr>
          <w:rFonts w:hint="eastAsia" w:eastAsia="黑体"/>
          <w:sz w:val="32"/>
          <w:szCs w:val="32"/>
        </w:rPr>
        <w:t>八、其他重要事项的情况说明</w:t>
      </w:r>
      <w:bookmarkEnd w:id="20"/>
    </w:p>
    <w:p>
      <w:pPr>
        <w:pStyle w:val="3"/>
        <w:rPr>
          <w:rFonts w:ascii="仿宋_GB2312" w:eastAsia="仿宋_GB2312"/>
        </w:rPr>
      </w:pPr>
      <w:bookmarkStart w:id="21" w:name="_Toc38444577"/>
      <w:r>
        <w:rPr>
          <w:rFonts w:hint="eastAsia" w:ascii="仿宋_GB2312" w:eastAsia="仿宋_GB2312"/>
        </w:rPr>
        <w:t>（一）业务运行经费</w:t>
      </w:r>
      <w:bookmarkEnd w:id="21"/>
    </w:p>
    <w:p>
      <w:pPr>
        <w:spacing w:line="579" w:lineRule="exact"/>
        <w:ind w:firstLine="640" w:firstLineChars="200"/>
        <w:rPr>
          <w:rFonts w:ascii="仿宋_GB2312" w:eastAsia="仿宋_GB2312"/>
          <w:sz w:val="32"/>
          <w:szCs w:val="32"/>
        </w:rPr>
      </w:pPr>
      <w:r>
        <w:rPr>
          <w:rFonts w:hint="eastAsia" w:ascii="仿宋_GB2312" w:eastAsia="仿宋_GB2312"/>
          <w:sz w:val="32"/>
          <w:szCs w:val="32"/>
        </w:rPr>
        <w:t>2020年度机关运行经费安排</w:t>
      </w:r>
      <w:r>
        <w:rPr>
          <w:rFonts w:hint="eastAsia" w:ascii="仿宋_GB2312" w:eastAsia="仿宋_GB2312"/>
          <w:sz w:val="32"/>
          <w:szCs w:val="32"/>
          <w:lang w:val="en-US" w:eastAsia="zh-CN"/>
        </w:rPr>
        <w:t>190.11</w:t>
      </w:r>
      <w:r>
        <w:rPr>
          <w:rFonts w:hint="eastAsia" w:ascii="仿宋_GB2312" w:eastAsia="仿宋_GB2312"/>
          <w:sz w:val="32"/>
          <w:szCs w:val="32"/>
        </w:rPr>
        <w:t>万元。主要用于办公及印刷费、邮电费、差旅费、会议费、福利费、日常维修费、专用材料及一般设备购置费、办公用房水电费、公务用车运行维护费以及其他费用等。</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其中公用经费</w:t>
      </w:r>
      <w:r>
        <w:rPr>
          <w:rFonts w:hint="eastAsia" w:ascii="仿宋_GB2312" w:eastAsia="仿宋_GB2312"/>
          <w:sz w:val="32"/>
          <w:szCs w:val="32"/>
          <w:lang w:val="en-US" w:eastAsia="zh-CN"/>
        </w:rPr>
        <w:t>190.11</w:t>
      </w:r>
      <w:r>
        <w:rPr>
          <w:rFonts w:hint="eastAsia" w:ascii="仿宋_GB2312" w:eastAsia="仿宋_GB2312"/>
          <w:sz w:val="32"/>
          <w:szCs w:val="32"/>
        </w:rPr>
        <w:t>万元，主要包括：办公费1</w:t>
      </w:r>
      <w:r>
        <w:rPr>
          <w:rFonts w:hint="eastAsia" w:ascii="仿宋_GB2312" w:eastAsia="仿宋_GB2312"/>
          <w:sz w:val="32"/>
          <w:szCs w:val="32"/>
          <w:lang w:val="en-US" w:eastAsia="zh-CN"/>
        </w:rPr>
        <w:t>7.38</w:t>
      </w:r>
      <w:r>
        <w:rPr>
          <w:rFonts w:hint="eastAsia" w:ascii="仿宋_GB2312" w:eastAsia="仿宋_GB2312"/>
          <w:sz w:val="32"/>
          <w:szCs w:val="32"/>
        </w:rPr>
        <w:t>万元、</w:t>
      </w:r>
      <w:r>
        <w:rPr>
          <w:rFonts w:hint="eastAsia" w:ascii="仿宋_GB2312" w:eastAsia="仿宋_GB2312"/>
          <w:sz w:val="32"/>
          <w:szCs w:val="32"/>
          <w:lang w:eastAsia="zh-CN"/>
        </w:rPr>
        <w:t>水费</w:t>
      </w:r>
      <w:r>
        <w:rPr>
          <w:rFonts w:hint="eastAsia" w:ascii="仿宋_GB2312" w:eastAsia="仿宋_GB2312"/>
          <w:sz w:val="32"/>
          <w:szCs w:val="32"/>
          <w:lang w:val="en-US" w:eastAsia="zh-CN"/>
        </w:rPr>
        <w:t>2.1万元、</w:t>
      </w:r>
      <w:r>
        <w:rPr>
          <w:rFonts w:hint="eastAsia" w:ascii="仿宋_GB2312" w:eastAsia="仿宋_GB2312"/>
          <w:sz w:val="32"/>
          <w:szCs w:val="32"/>
        </w:rPr>
        <w:t>电费</w:t>
      </w:r>
      <w:r>
        <w:rPr>
          <w:rFonts w:hint="eastAsia" w:ascii="仿宋_GB2312" w:eastAsia="仿宋_GB2312"/>
          <w:sz w:val="32"/>
          <w:szCs w:val="32"/>
          <w:lang w:val="en-US" w:eastAsia="zh-CN"/>
        </w:rPr>
        <w:t>3.36</w:t>
      </w:r>
      <w:r>
        <w:rPr>
          <w:rFonts w:hint="eastAsia" w:ascii="仿宋_GB2312" w:eastAsia="仿宋_GB2312"/>
          <w:sz w:val="32"/>
          <w:szCs w:val="32"/>
        </w:rPr>
        <w:t>万元、邮电费4</w:t>
      </w:r>
      <w:r>
        <w:rPr>
          <w:rFonts w:hint="eastAsia" w:ascii="仿宋_GB2312" w:eastAsia="仿宋_GB2312"/>
          <w:sz w:val="32"/>
          <w:szCs w:val="32"/>
          <w:lang w:val="en-US" w:eastAsia="zh-CN"/>
        </w:rPr>
        <w:t>.2</w:t>
      </w:r>
      <w:r>
        <w:rPr>
          <w:rFonts w:hint="eastAsia" w:ascii="仿宋_GB2312" w:eastAsia="仿宋_GB2312"/>
          <w:sz w:val="32"/>
          <w:szCs w:val="32"/>
        </w:rPr>
        <w:t>万元、差旅费</w:t>
      </w:r>
      <w:r>
        <w:rPr>
          <w:rFonts w:hint="eastAsia" w:ascii="仿宋_GB2312" w:eastAsia="仿宋_GB2312"/>
          <w:sz w:val="32"/>
          <w:szCs w:val="32"/>
          <w:lang w:val="en-US" w:eastAsia="zh-CN"/>
        </w:rPr>
        <w:t>26.8</w:t>
      </w:r>
      <w:r>
        <w:rPr>
          <w:rFonts w:hint="eastAsia" w:ascii="仿宋_GB2312" w:eastAsia="仿宋_GB2312"/>
          <w:sz w:val="32"/>
          <w:szCs w:val="32"/>
        </w:rPr>
        <w:t>万元、会议费</w:t>
      </w:r>
      <w:r>
        <w:rPr>
          <w:rFonts w:hint="eastAsia" w:ascii="仿宋_GB2312" w:eastAsia="仿宋_GB2312"/>
          <w:sz w:val="32"/>
          <w:szCs w:val="32"/>
          <w:lang w:val="en-US" w:eastAsia="zh-CN"/>
        </w:rPr>
        <w:t>13.85</w:t>
      </w:r>
      <w:r>
        <w:rPr>
          <w:rFonts w:hint="eastAsia" w:ascii="仿宋_GB2312" w:eastAsia="仿宋_GB2312"/>
          <w:sz w:val="32"/>
          <w:szCs w:val="32"/>
        </w:rPr>
        <w:t>万元、培训费</w:t>
      </w:r>
      <w:r>
        <w:rPr>
          <w:rFonts w:hint="eastAsia" w:ascii="仿宋_GB2312" w:eastAsia="仿宋_GB2312"/>
          <w:sz w:val="32"/>
          <w:szCs w:val="32"/>
          <w:lang w:val="en-US" w:eastAsia="zh-CN"/>
        </w:rPr>
        <w:t>2</w:t>
      </w:r>
      <w:r>
        <w:rPr>
          <w:rFonts w:hint="eastAsia" w:ascii="仿宋_GB2312" w:eastAsia="仿宋_GB2312"/>
          <w:sz w:val="32"/>
          <w:szCs w:val="32"/>
        </w:rPr>
        <w:t>万元、公务接待费1.</w:t>
      </w:r>
      <w:r>
        <w:rPr>
          <w:rFonts w:hint="eastAsia" w:ascii="仿宋_GB2312" w:eastAsia="仿宋_GB2312"/>
          <w:sz w:val="32"/>
          <w:szCs w:val="32"/>
          <w:lang w:val="en-US" w:eastAsia="zh-CN"/>
        </w:rPr>
        <w:t>62</w:t>
      </w:r>
      <w:r>
        <w:rPr>
          <w:rFonts w:hint="eastAsia" w:ascii="仿宋_GB2312" w:eastAsia="仿宋_GB2312"/>
          <w:sz w:val="32"/>
          <w:szCs w:val="32"/>
        </w:rPr>
        <w:t>万元、</w:t>
      </w:r>
      <w:r>
        <w:rPr>
          <w:rFonts w:hint="eastAsia" w:ascii="仿宋_GB2312" w:eastAsia="仿宋_GB2312"/>
          <w:sz w:val="32"/>
          <w:szCs w:val="32"/>
          <w:lang w:eastAsia="zh-CN"/>
        </w:rPr>
        <w:t>委托业务</w:t>
      </w:r>
      <w:r>
        <w:rPr>
          <w:rFonts w:hint="eastAsia" w:ascii="仿宋_GB2312" w:eastAsia="仿宋_GB2312"/>
          <w:sz w:val="32"/>
          <w:szCs w:val="32"/>
        </w:rPr>
        <w:t>费</w:t>
      </w:r>
      <w:r>
        <w:rPr>
          <w:rFonts w:hint="eastAsia" w:ascii="仿宋_GB2312" w:eastAsia="仿宋_GB2312"/>
          <w:sz w:val="32"/>
          <w:szCs w:val="32"/>
          <w:lang w:val="en-US" w:eastAsia="zh-CN"/>
        </w:rPr>
        <w:t>2.6</w:t>
      </w:r>
      <w:r>
        <w:rPr>
          <w:rFonts w:hint="eastAsia" w:ascii="仿宋_GB2312" w:eastAsia="仿宋_GB2312"/>
          <w:sz w:val="32"/>
          <w:szCs w:val="32"/>
        </w:rPr>
        <w:t>万元、工会经费</w:t>
      </w:r>
      <w:r>
        <w:rPr>
          <w:rFonts w:hint="eastAsia" w:ascii="仿宋_GB2312" w:eastAsia="仿宋_GB2312"/>
          <w:sz w:val="32"/>
          <w:szCs w:val="32"/>
          <w:lang w:val="en-US" w:eastAsia="zh-CN"/>
        </w:rPr>
        <w:t>6.6</w:t>
      </w:r>
      <w:r>
        <w:rPr>
          <w:rFonts w:hint="eastAsia" w:ascii="仿宋_GB2312" w:eastAsia="仿宋_GB2312"/>
          <w:sz w:val="32"/>
          <w:szCs w:val="32"/>
        </w:rPr>
        <w:t>万元、福利费</w:t>
      </w:r>
      <w:r>
        <w:rPr>
          <w:rFonts w:hint="eastAsia" w:ascii="仿宋_GB2312" w:eastAsia="仿宋_GB2312"/>
          <w:sz w:val="32"/>
          <w:szCs w:val="32"/>
          <w:lang w:val="en-US" w:eastAsia="zh-CN"/>
        </w:rPr>
        <w:t>4.6</w:t>
      </w:r>
      <w:r>
        <w:rPr>
          <w:rFonts w:hint="eastAsia" w:ascii="仿宋_GB2312" w:eastAsia="仿宋_GB2312"/>
          <w:sz w:val="32"/>
          <w:szCs w:val="32"/>
        </w:rPr>
        <w:t>万元、公务用车运行维护费10万元、其他交通费</w:t>
      </w:r>
      <w:r>
        <w:rPr>
          <w:rFonts w:hint="eastAsia" w:ascii="仿宋_GB2312" w:eastAsia="仿宋_GB2312"/>
          <w:sz w:val="32"/>
          <w:szCs w:val="32"/>
          <w:lang w:val="en-US" w:eastAsia="zh-CN"/>
        </w:rPr>
        <w:t>22.62</w:t>
      </w:r>
      <w:r>
        <w:rPr>
          <w:rFonts w:hint="eastAsia" w:ascii="仿宋_GB2312" w:eastAsia="仿宋_GB2312"/>
          <w:sz w:val="32"/>
          <w:szCs w:val="32"/>
        </w:rPr>
        <w:t>万元</w:t>
      </w:r>
      <w:r>
        <w:rPr>
          <w:rFonts w:hint="eastAsia" w:ascii="仿宋_GB2312" w:eastAsia="仿宋_GB2312"/>
          <w:sz w:val="32"/>
          <w:szCs w:val="32"/>
          <w:lang w:eastAsia="zh-CN"/>
        </w:rPr>
        <w:t>，其他商品和服务支出</w:t>
      </w:r>
      <w:r>
        <w:rPr>
          <w:rFonts w:hint="eastAsia" w:ascii="仿宋_GB2312" w:eastAsia="仿宋_GB2312"/>
          <w:sz w:val="32"/>
          <w:szCs w:val="32"/>
          <w:lang w:val="en-US" w:eastAsia="zh-CN"/>
        </w:rPr>
        <w:t>72.37万元。</w:t>
      </w:r>
    </w:p>
    <w:p>
      <w:pPr>
        <w:pStyle w:val="3"/>
        <w:rPr>
          <w:rFonts w:ascii="仿宋_GB2312" w:eastAsia="仿宋_GB2312"/>
        </w:rPr>
      </w:pPr>
      <w:bookmarkStart w:id="22" w:name="_Toc38444578"/>
      <w:r>
        <w:rPr>
          <w:rFonts w:hint="eastAsia" w:ascii="仿宋_GB2312" w:eastAsia="仿宋_GB2312"/>
        </w:rPr>
        <w:t>（二）国有资产占用情况</w:t>
      </w:r>
      <w:bookmarkEnd w:id="22"/>
    </w:p>
    <w:p>
      <w:pPr>
        <w:spacing w:line="600" w:lineRule="exact"/>
        <w:ind w:firstLine="640" w:firstLineChars="200"/>
        <w:rPr>
          <w:rFonts w:ascii="仿宋_GB2312" w:eastAsia="仿宋_GB2312"/>
          <w:sz w:val="32"/>
          <w:szCs w:val="32"/>
        </w:rPr>
      </w:pPr>
      <w:r>
        <w:rPr>
          <w:rFonts w:hint="eastAsia" w:ascii="仿宋_GB2312" w:eastAsia="仿宋_GB2312"/>
          <w:sz w:val="32"/>
          <w:szCs w:val="32"/>
        </w:rPr>
        <w:t>截止2019年12月31日，</w:t>
      </w:r>
      <w:r>
        <w:rPr>
          <w:rFonts w:hint="eastAsia" w:ascii="仿宋_GB2312" w:eastAsia="仿宋_GB2312"/>
          <w:sz w:val="32"/>
          <w:szCs w:val="32"/>
          <w:lang w:eastAsia="zh-CN"/>
        </w:rPr>
        <w:t>永兴</w:t>
      </w:r>
      <w:r>
        <w:rPr>
          <w:rFonts w:hint="eastAsia" w:ascii="仿宋_GB2312" w:eastAsia="仿宋_GB2312"/>
          <w:sz w:val="32"/>
          <w:szCs w:val="32"/>
        </w:rPr>
        <w:t>镇</w:t>
      </w:r>
      <w:r>
        <w:rPr>
          <w:rFonts w:hint="eastAsia" w:ascii="仿宋_GB2312" w:eastAsia="仿宋_GB2312"/>
          <w:sz w:val="32"/>
          <w:szCs w:val="32"/>
          <w:lang w:eastAsia="zh-CN"/>
        </w:rPr>
        <w:t>人民</w:t>
      </w:r>
      <w:r>
        <w:rPr>
          <w:rFonts w:hint="eastAsia" w:ascii="仿宋_GB2312" w:eastAsia="仿宋_GB2312"/>
          <w:sz w:val="32"/>
          <w:szCs w:val="32"/>
        </w:rPr>
        <w:t>政府共有车辆3辆（车辆数与“三公”经费中现有车辆数一致）。其中，无执法执勤用车。我镇无价值100万元以上的大型设备。</w:t>
      </w:r>
    </w:p>
    <w:p>
      <w:pPr>
        <w:pStyle w:val="3"/>
        <w:rPr>
          <w:rFonts w:ascii="仿宋_GB2312" w:eastAsia="仿宋_GB2312"/>
        </w:rPr>
      </w:pPr>
      <w:bookmarkStart w:id="23" w:name="_Toc38444579"/>
      <w:r>
        <w:rPr>
          <w:rFonts w:hint="eastAsia" w:ascii="仿宋_GB2312" w:eastAsia="仿宋_GB2312"/>
        </w:rPr>
        <w:t>（三）绩效目标设置情况</w:t>
      </w:r>
      <w:bookmarkEnd w:id="23"/>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2020年，</w:t>
      </w:r>
      <w:r>
        <w:rPr>
          <w:rFonts w:hint="eastAsia" w:ascii="仿宋_GB2312" w:eastAsia="仿宋_GB2312"/>
          <w:sz w:val="32"/>
          <w:szCs w:val="32"/>
          <w:lang w:eastAsia="zh-CN"/>
        </w:rPr>
        <w:t>永兴</w:t>
      </w:r>
      <w:r>
        <w:rPr>
          <w:rFonts w:hint="eastAsia" w:ascii="仿宋_GB2312" w:eastAsia="仿宋_GB2312"/>
          <w:sz w:val="32"/>
          <w:szCs w:val="32"/>
        </w:rPr>
        <w:t>镇政府对一般公共预算项目支出均按要求实行绩效目标管理，涉及一般公共预算当年拨款</w:t>
      </w:r>
      <w:r>
        <w:rPr>
          <w:rFonts w:hint="eastAsia" w:ascii="仿宋_GB2312" w:eastAsia="仿宋_GB2312"/>
          <w:sz w:val="32"/>
          <w:szCs w:val="32"/>
          <w:lang w:val="en-US" w:eastAsia="zh-CN"/>
        </w:rPr>
        <w:t>630.07</w:t>
      </w:r>
      <w:r>
        <w:rPr>
          <w:rFonts w:hint="eastAsia" w:ascii="仿宋_GB2312" w:eastAsia="仿宋_GB2312"/>
          <w:sz w:val="32"/>
          <w:szCs w:val="32"/>
        </w:rPr>
        <w:t>万元。</w:t>
      </w:r>
    </w:p>
    <w:p>
      <w:pPr>
        <w:pStyle w:val="3"/>
        <w:rPr>
          <w:rFonts w:ascii="仿宋_GB2312" w:eastAsia="仿宋_GB2312"/>
        </w:rPr>
      </w:pPr>
      <w:bookmarkStart w:id="24" w:name="_Toc38444580"/>
      <w:r>
        <w:rPr>
          <w:rFonts w:hint="eastAsia" w:ascii="仿宋_GB2312" w:eastAsia="仿宋_GB2312"/>
        </w:rPr>
        <w:t>（四）、政府采购安排情况</w:t>
      </w:r>
      <w:bookmarkEnd w:id="24"/>
    </w:p>
    <w:p>
      <w:pPr>
        <w:spacing w:line="579" w:lineRule="exact"/>
        <w:ind w:firstLine="640" w:firstLineChars="200"/>
        <w:rPr>
          <w:rFonts w:ascii="仿宋_GB2312" w:eastAsia="仿宋_GB2312"/>
          <w:sz w:val="32"/>
          <w:szCs w:val="32"/>
        </w:rPr>
      </w:pPr>
      <w:r>
        <w:rPr>
          <w:rFonts w:hint="eastAsia" w:ascii="仿宋_GB2312" w:eastAsia="仿宋_GB2312"/>
          <w:sz w:val="32"/>
          <w:szCs w:val="32"/>
        </w:rPr>
        <w:t>2020年度，</w:t>
      </w:r>
      <w:r>
        <w:rPr>
          <w:rFonts w:hint="eastAsia" w:ascii="仿宋_GB2312" w:eastAsia="仿宋_GB2312"/>
          <w:sz w:val="32"/>
          <w:szCs w:val="32"/>
          <w:lang w:eastAsia="zh-CN"/>
        </w:rPr>
        <w:t>永兴</w:t>
      </w:r>
      <w:r>
        <w:rPr>
          <w:rFonts w:hint="eastAsia" w:ascii="仿宋_GB2312" w:eastAsia="仿宋_GB2312"/>
          <w:sz w:val="32"/>
          <w:szCs w:val="32"/>
        </w:rPr>
        <w:t>镇政府无采购预算安排，如中途需要采购将严格按照相关规定执行。</w:t>
      </w:r>
    </w:p>
    <w:p>
      <w:pPr>
        <w:pStyle w:val="2"/>
        <w:rPr>
          <w:rFonts w:ascii="黑体" w:eastAsia="黑体"/>
          <w:color w:val="000000"/>
          <w:sz w:val="32"/>
          <w:szCs w:val="32"/>
        </w:rPr>
      </w:pPr>
      <w:bookmarkStart w:id="25" w:name="_Toc38444581"/>
      <w:r>
        <w:rPr>
          <w:rFonts w:hint="eastAsia" w:ascii="黑体" w:eastAsia="黑体"/>
          <w:color w:val="000000"/>
          <w:sz w:val="32"/>
          <w:szCs w:val="32"/>
        </w:rPr>
        <w:t>九、名词解释</w:t>
      </w:r>
      <w:bookmarkEnd w:id="25"/>
    </w:p>
    <w:p>
      <w:pPr>
        <w:spacing w:line="579" w:lineRule="exact"/>
        <w:ind w:firstLine="640" w:firstLineChars="200"/>
        <w:rPr>
          <w:rFonts w:ascii="仿宋_GB2312" w:eastAsia="仿宋_GB2312"/>
          <w:sz w:val="32"/>
          <w:szCs w:val="32"/>
        </w:rPr>
      </w:pPr>
      <w:r>
        <w:rPr>
          <w:rFonts w:hint="eastAsia" w:ascii="仿宋_GB2312" w:eastAsia="仿宋_GB2312"/>
          <w:sz w:val="32"/>
          <w:szCs w:val="32"/>
        </w:rPr>
        <w:t xml:space="preserve">1.一般公共财政拨款收入：指省级财政当年拨付的资金。 </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 xml:space="preserve">2.上年结转：指以前年度尚未完成、结转到本年按有关规定继续使用的资金。 </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3.支出功能分类说明</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一般公共服务支出指反映政府提供一般公共服务的支出；社会和保障就业支出指反映政府在社会保障与就业方面的支出；住房保障支出反映单位按人力资源和社会保障部、财政部规定的基本工资和津贴补贴以及按规定比例为职工缴纳的住房公积金。</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4．基本支出：指为保障机构正常运转、完成日常工作任务而发生的人员支出和公用支出。</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 xml:space="preserve">5．项目支出：基本支出之外为完成特定行政任务和事业发展目标所发生的支出。 </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6．“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7．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79" w:lineRule="exact"/>
        <w:ind w:firstLine="640" w:firstLineChars="200"/>
        <w:rPr>
          <w:rFonts w:ascii="仿宋_GB2312" w:eastAsia="仿宋_GB2312"/>
          <w:sz w:val="32"/>
          <w:szCs w:val="32"/>
        </w:rPr>
      </w:pPr>
    </w:p>
    <w:p>
      <w:pPr>
        <w:spacing w:line="579" w:lineRule="exact"/>
        <w:ind w:firstLine="640"/>
        <w:rPr>
          <w:rFonts w:eastAsia="仿宋_GB2312"/>
          <w:sz w:val="32"/>
          <w:szCs w:val="32"/>
        </w:rPr>
      </w:pPr>
      <w:r>
        <w:rPr>
          <w:rFonts w:eastAsia="仿宋_GB2312"/>
          <w:sz w:val="32"/>
          <w:szCs w:val="32"/>
        </w:rPr>
        <w:t>附件：</w:t>
      </w:r>
      <w:r>
        <w:rPr>
          <w:rFonts w:hint="eastAsia" w:eastAsia="仿宋_GB2312"/>
          <w:sz w:val="32"/>
          <w:szCs w:val="32"/>
        </w:rPr>
        <w:t>盐边县</w:t>
      </w:r>
      <w:r>
        <w:rPr>
          <w:rFonts w:hint="eastAsia" w:eastAsia="仿宋_GB2312"/>
          <w:sz w:val="32"/>
          <w:szCs w:val="32"/>
          <w:lang w:eastAsia="zh-CN"/>
        </w:rPr>
        <w:t>永兴</w:t>
      </w:r>
      <w:r>
        <w:rPr>
          <w:rFonts w:hint="eastAsia" w:eastAsia="仿宋_GB2312"/>
          <w:sz w:val="32"/>
          <w:szCs w:val="32"/>
        </w:rPr>
        <w:t>镇人民政府</w:t>
      </w:r>
      <w:r>
        <w:rPr>
          <w:rFonts w:eastAsia="仿宋_GB2312"/>
          <w:sz w:val="32"/>
          <w:szCs w:val="32"/>
        </w:rPr>
        <w:t>20</w:t>
      </w:r>
      <w:r>
        <w:rPr>
          <w:rFonts w:hint="eastAsia" w:eastAsia="仿宋_GB2312"/>
          <w:sz w:val="32"/>
          <w:szCs w:val="32"/>
        </w:rPr>
        <w:t>20</w:t>
      </w:r>
      <w:r>
        <w:rPr>
          <w:rFonts w:eastAsia="仿宋_GB2312"/>
          <w:sz w:val="32"/>
          <w:szCs w:val="32"/>
        </w:rPr>
        <w:t>年</w:t>
      </w:r>
      <w:r>
        <w:rPr>
          <w:rFonts w:hint="eastAsia" w:eastAsia="仿宋_GB2312"/>
          <w:sz w:val="32"/>
          <w:szCs w:val="32"/>
        </w:rPr>
        <w:t>部门</w:t>
      </w:r>
      <w:r>
        <w:rPr>
          <w:rFonts w:eastAsia="仿宋_GB2312"/>
          <w:sz w:val="32"/>
          <w:szCs w:val="32"/>
        </w:rPr>
        <w:t>预算表</w:t>
      </w:r>
    </w:p>
    <w:p>
      <w:pPr>
        <w:spacing w:line="579" w:lineRule="exact"/>
        <w:ind w:firstLine="640"/>
        <w:rPr>
          <w:rFonts w:eastAsia="仿宋_GB2312"/>
          <w:sz w:val="32"/>
          <w:szCs w:val="32"/>
        </w:rPr>
      </w:pPr>
    </w:p>
    <w:p>
      <w:pPr>
        <w:spacing w:line="560" w:lineRule="exact"/>
        <w:ind w:firstLine="420" w:firstLineChars="200"/>
        <w:rPr>
          <w:rFonts w:ascii="仿宋_GB2312" w:eastAsia="仿宋_GB2312"/>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00000287" w:usb1="00000000"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jc w:val="center"/>
    </w:pPr>
    <w:r>
      <w:fldChar w:fldCharType="begin"/>
    </w:r>
    <w:r>
      <w:instrText xml:space="preserve"> PAGE   \* MERGEFORMAT </w:instrText>
    </w:r>
    <w:r>
      <w:fldChar w:fldCharType="separate"/>
    </w:r>
    <w:r>
      <w:rPr>
        <w:lang w:val="zh-CN"/>
      </w:rPr>
      <w:t>10</w:t>
    </w:r>
    <w: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semiHidden/>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4">
    <w:name w:val="heading 3"/>
    <w:basedOn w:val="1"/>
    <w:next w:val="1"/>
    <w:link w:val="25"/>
    <w:semiHidden/>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paragraph" w:styleId="5">
    <w:name w:val="Body Text"/>
    <w:basedOn w:val="1"/>
    <w:link w:val="21"/>
    <w:uiPriority w:val="0"/>
    <w:pPr>
      <w:spacing w:beforeLines="30"/>
    </w:pPr>
    <w:rPr>
      <w:rFonts w:ascii="仿宋_GB2312" w:hAnsi="Times New Roman" w:eastAsia="仿宋_GB2312" w:cs="Times New Roman"/>
      <w:kern w:val="0"/>
      <w:sz w:val="30"/>
      <w:szCs w:val="24"/>
    </w:rPr>
  </w:style>
  <w:style w:type="paragraph" w:styleId="6">
    <w:name w:val="toc 3"/>
    <w:basedOn w:val="1"/>
    <w:next w:val="1"/>
    <w:unhideWhenUsed/>
    <w:qFormat/>
    <w:uiPriority w:val="39"/>
    <w:pPr>
      <w:widowControl/>
      <w:spacing w:after="100" w:line="276" w:lineRule="auto"/>
      <w:ind w:left="440"/>
      <w:jc w:val="left"/>
    </w:pPr>
    <w:rPr>
      <w:kern w:val="0"/>
      <w:sz w:val="22"/>
    </w:rPr>
  </w:style>
  <w:style w:type="paragraph" w:styleId="7">
    <w:name w:val="Balloon Text"/>
    <w:basedOn w:val="1"/>
    <w:link w:val="23"/>
    <w:semiHidden/>
    <w:unhideWhenUsed/>
    <w:uiPriority w:val="99"/>
    <w:rPr>
      <w:sz w:val="18"/>
      <w:szCs w:val="18"/>
    </w:rPr>
  </w:style>
  <w:style w:type="paragraph" w:styleId="8">
    <w:name w:val="footer"/>
    <w:basedOn w:val="1"/>
    <w:link w:val="20"/>
    <w:unhideWhenUsed/>
    <w:uiPriority w:val="99"/>
    <w:pPr>
      <w:tabs>
        <w:tab w:val="center" w:pos="4153"/>
        <w:tab w:val="right" w:pos="8306"/>
      </w:tabs>
      <w:snapToGrid w:val="0"/>
      <w:jc w:val="left"/>
    </w:pPr>
    <w:rPr>
      <w:sz w:val="18"/>
      <w:szCs w:val="18"/>
    </w:rPr>
  </w:style>
  <w:style w:type="paragraph" w:styleId="9">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76" w:lineRule="auto"/>
      <w:jc w:val="left"/>
    </w:pPr>
    <w:rPr>
      <w:kern w:val="0"/>
      <w:sz w:val="22"/>
    </w:rPr>
  </w:style>
  <w:style w:type="paragraph" w:styleId="11">
    <w:name w:val="toc 2"/>
    <w:basedOn w:val="1"/>
    <w:next w:val="1"/>
    <w:unhideWhenUsed/>
    <w:qFormat/>
    <w:uiPriority w:val="39"/>
    <w:pPr>
      <w:widowControl/>
      <w:tabs>
        <w:tab w:val="right" w:leader="dot" w:pos="8296"/>
      </w:tabs>
      <w:spacing w:line="480" w:lineRule="exact"/>
      <w:jc w:val="left"/>
    </w:pPr>
    <w:rPr>
      <w:kern w:val="0"/>
      <w:sz w:val="22"/>
    </w:rPr>
  </w:style>
  <w:style w:type="paragraph" w:styleId="12">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14">
    <w:name w:val="Hyperlink"/>
    <w:basedOn w:val="13"/>
    <w:unhideWhenUsed/>
    <w:uiPriority w:val="99"/>
    <w:rPr>
      <w:color w:val="0000FF"/>
      <w:u w:val="single"/>
    </w:rPr>
  </w:style>
  <w:style w:type="paragraph" w:customStyle="1" w:styleId="15">
    <w:name w:val="Defaul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16">
    <w:name w:val="_Style 4"/>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7">
    <w:name w:val="List Paragraph"/>
    <w:basedOn w:val="1"/>
    <w:qFormat/>
    <w:uiPriority w:val="34"/>
    <w:pPr>
      <w:ind w:firstLine="420" w:firstLineChars="200"/>
    </w:pPr>
  </w:style>
  <w:style w:type="paragraph" w:customStyle="1" w:styleId="18">
    <w:name w:val="TOC Heading"/>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character" w:customStyle="1" w:styleId="19">
    <w:name w:val="页眉 Char"/>
    <w:basedOn w:val="13"/>
    <w:link w:val="9"/>
    <w:uiPriority w:val="99"/>
    <w:rPr>
      <w:sz w:val="18"/>
      <w:szCs w:val="18"/>
    </w:rPr>
  </w:style>
  <w:style w:type="character" w:customStyle="1" w:styleId="20">
    <w:name w:val="页脚 Char"/>
    <w:basedOn w:val="13"/>
    <w:link w:val="8"/>
    <w:uiPriority w:val="99"/>
    <w:rPr>
      <w:sz w:val="18"/>
      <w:szCs w:val="18"/>
    </w:rPr>
  </w:style>
  <w:style w:type="character" w:customStyle="1" w:styleId="21">
    <w:name w:val="正文文本 Char"/>
    <w:basedOn w:val="13"/>
    <w:link w:val="5"/>
    <w:uiPriority w:val="0"/>
    <w:rPr>
      <w:rFonts w:ascii="仿宋_GB2312" w:hAnsi="Times New Roman" w:eastAsia="仿宋_GB2312" w:cs="Times New Roman"/>
      <w:kern w:val="0"/>
      <w:sz w:val="30"/>
      <w:szCs w:val="24"/>
    </w:rPr>
  </w:style>
  <w:style w:type="character" w:customStyle="1" w:styleId="22">
    <w:name w:val="标题 1 Char"/>
    <w:basedOn w:val="13"/>
    <w:link w:val="2"/>
    <w:uiPriority w:val="9"/>
    <w:rPr>
      <w:b/>
      <w:bCs/>
      <w:kern w:val="44"/>
      <w:sz w:val="44"/>
      <w:szCs w:val="44"/>
    </w:rPr>
  </w:style>
  <w:style w:type="character" w:customStyle="1" w:styleId="23">
    <w:name w:val="批注框文本 Char"/>
    <w:basedOn w:val="13"/>
    <w:link w:val="7"/>
    <w:semiHidden/>
    <w:uiPriority w:val="99"/>
    <w:rPr>
      <w:sz w:val="18"/>
      <w:szCs w:val="18"/>
    </w:rPr>
  </w:style>
  <w:style w:type="character" w:customStyle="1" w:styleId="24">
    <w:name w:val="标题 2 Char"/>
    <w:basedOn w:val="13"/>
    <w:link w:val="3"/>
    <w:semiHidden/>
    <w:uiPriority w:val="9"/>
    <w:rPr>
      <w:rFonts w:ascii="Cambria" w:hAnsi="Cambria" w:eastAsia="宋体" w:cs="黑体"/>
      <w:b/>
      <w:bCs/>
      <w:sz w:val="32"/>
      <w:szCs w:val="32"/>
    </w:rPr>
  </w:style>
  <w:style w:type="character" w:customStyle="1" w:styleId="25">
    <w:name w:val="标题 3 Char"/>
    <w:basedOn w:val="13"/>
    <w:link w:val="4"/>
    <w:semiHidden/>
    <w:uiPriority w:val="9"/>
    <w:rPr>
      <w:b/>
      <w:bCs/>
      <w:sz w:val="32"/>
      <w:szCs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11</Pages>
  <Words>903</Words>
  <Characters>5148</Characters>
  <Lines>42</Lines>
  <Paragraphs>12</Paragraphs>
  <TotalTime>0</TotalTime>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2020-02-10T03:07:00Z</dcterms:created>
  <dc:creator>Administrator</dc:creator>
  <cp:lastModifiedBy>Owner</cp:lastModifiedBy>
  <dcterms:modified xsi:type="dcterms:W3CDTF">2021-05-31T09:21:24Z</dcterms:modified>
  <dc:title>目录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8B2F625B3F10441FB3057E2D7867D5B3</vt:lpwstr>
  </property>
</Properties>
</file>