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sz w:val="24"/>
          <w:szCs w:val="24"/>
        </w:rPr>
        <w:drawing>
          <wp:anchor distT="0" distB="0" distL="114300" distR="114300" simplePos="0" relativeHeight="251659264" behindDoc="0" locked="0" layoutInCell="1" allowOverlap="1">
            <wp:simplePos x="0" y="0"/>
            <wp:positionH relativeFrom="margin">
              <wp:posOffset>10795</wp:posOffset>
            </wp:positionH>
            <wp:positionV relativeFrom="margin">
              <wp:posOffset>101600</wp:posOffset>
            </wp:positionV>
            <wp:extent cx="749300" cy="800100"/>
            <wp:effectExtent l="0" t="0" r="12700" b="0"/>
            <wp:wrapSquare wrapText="bothSides"/>
            <wp:docPr id="1" name="图片 2" descr="国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国徽"/>
                    <pic:cNvPicPr>
                      <a:picLocks noChangeAspect="1"/>
                    </pic:cNvPicPr>
                  </pic:nvPicPr>
                  <pic:blipFill>
                    <a:blip r:embed="rId4" cstate="print"/>
                    <a:stretch>
                      <a:fillRect/>
                    </a:stretch>
                  </pic:blipFill>
                  <pic:spPr>
                    <a:xfrm>
                      <a:off x="0" y="0"/>
                      <a:ext cx="749300" cy="800100"/>
                    </a:xfrm>
                    <a:prstGeom prst="rect">
                      <a:avLst/>
                    </a:prstGeom>
                    <a:noFill/>
                    <a:ln>
                      <a:noFill/>
                    </a:ln>
                  </pic:spPr>
                </pic:pic>
              </a:graphicData>
            </a:graphic>
          </wp:anchor>
        </w:drawing>
      </w:r>
      <w:r>
        <w:rPr>
          <w:rFonts w:ascii="Times New Roman" w:hAnsi="Times New Roman" w:cs="Times New Roman"/>
        </w:rPr>
        <w:t>新九镇第十五届人民代表大会</w:t>
      </w:r>
    </w:p>
    <w:p>
      <w:pPr>
        <w:rPr>
          <w:rFonts w:ascii="Times New Roman" w:hAnsi="Times New Roman" w:cs="Times New Roman"/>
        </w:rPr>
      </w:pPr>
      <w:r>
        <w:rPr>
          <w:rFonts w:ascii="Times New Roman" w:hAnsi="Times New Roman" w:cs="Times New Roman"/>
        </w:rPr>
        <w:t>第二次会议材料    之九</w:t>
      </w:r>
    </w:p>
    <w:p>
      <w:pPr>
        <w:spacing w:line="0" w:lineRule="atLeast"/>
        <w:jc w:val="center"/>
        <w:rPr>
          <w:rFonts w:ascii="Times New Roman" w:hAnsi="Times New Roman" w:eastAsia="方正小标宋_GBK" w:cs="Times New Roman"/>
          <w:sz w:val="38"/>
          <w:szCs w:val="38"/>
        </w:rPr>
      </w:pPr>
    </w:p>
    <w:p>
      <w:pPr>
        <w:jc w:val="center"/>
        <w:rPr>
          <w:rFonts w:hint="eastAsia" w:ascii="黑体" w:hAnsi="Times New Roman" w:eastAsia="黑体" w:cs="Times New Roman"/>
          <w:sz w:val="38"/>
          <w:szCs w:val="38"/>
        </w:rPr>
      </w:pPr>
      <w:r>
        <w:rPr>
          <w:rFonts w:hint="eastAsia" w:ascii="黑体" w:hAnsi="Times New Roman" w:eastAsia="黑体" w:cs="Times New Roman"/>
          <w:sz w:val="38"/>
          <w:szCs w:val="38"/>
        </w:rPr>
        <w:t>盐边县新九乡人民政府</w:t>
      </w:r>
    </w:p>
    <w:p>
      <w:pPr>
        <w:jc w:val="center"/>
        <w:rPr>
          <w:rFonts w:hint="eastAsia" w:ascii="黑体" w:hAnsi="Times New Roman" w:eastAsia="黑体" w:cs="Times New Roman"/>
          <w:sz w:val="38"/>
          <w:szCs w:val="38"/>
        </w:rPr>
      </w:pPr>
      <w:r>
        <w:rPr>
          <w:rFonts w:hint="eastAsia" w:ascii="黑体" w:hAnsi="Times New Roman" w:eastAsia="黑体" w:cs="Times New Roman"/>
          <w:sz w:val="38"/>
          <w:szCs w:val="38"/>
        </w:rPr>
        <w:t>2019年财政预算执行情况的报告</w:t>
      </w:r>
    </w:p>
    <w:p>
      <w:pPr>
        <w:jc w:val="center"/>
        <w:rPr>
          <w:rFonts w:hint="eastAsia" w:ascii="黑体" w:hAnsi="Times New Roman" w:eastAsia="黑体" w:cs="Times New Roman"/>
          <w:sz w:val="33"/>
          <w:szCs w:val="33"/>
        </w:rPr>
      </w:pPr>
      <w:r>
        <w:rPr>
          <w:rFonts w:hint="eastAsia" w:ascii="黑体" w:hAnsi="Times New Roman" w:eastAsia="黑体" w:cs="Times New Roman"/>
          <w:sz w:val="33"/>
          <w:szCs w:val="33"/>
        </w:rPr>
        <w:t>陈寿敏</w:t>
      </w:r>
    </w:p>
    <w:p>
      <w:pPr>
        <w:jc w:val="center"/>
        <w:rPr>
          <w:rFonts w:hint="eastAsia" w:ascii="黑体" w:hAnsi="Times New Roman" w:eastAsia="黑体" w:cs="Times New Roman"/>
          <w:sz w:val="33"/>
          <w:szCs w:val="33"/>
        </w:rPr>
      </w:pPr>
      <w:r>
        <w:rPr>
          <w:rFonts w:hint="eastAsia" w:ascii="黑体" w:hAnsi="Times New Roman" w:eastAsia="黑体" w:cs="Times New Roman"/>
          <w:sz w:val="33"/>
          <w:szCs w:val="33"/>
        </w:rPr>
        <w:t>—新九镇第十五届人民代表大会第二次会议上</w:t>
      </w:r>
    </w:p>
    <w:p>
      <w:pPr>
        <w:jc w:val="center"/>
        <w:rPr>
          <w:rFonts w:hint="eastAsia" w:ascii="黑体" w:hAnsi="Times New Roman" w:eastAsia="黑体" w:cs="Times New Roman"/>
          <w:sz w:val="33"/>
          <w:szCs w:val="33"/>
        </w:rPr>
      </w:pPr>
      <w:r>
        <w:rPr>
          <w:rFonts w:hint="eastAsia" w:ascii="黑体" w:hAnsi="Times New Roman" w:eastAsia="黑体" w:cs="Times New Roman"/>
          <w:sz w:val="33"/>
          <w:szCs w:val="33"/>
        </w:rPr>
        <w:t>（2020年12月24日）</w:t>
      </w:r>
    </w:p>
    <w:p>
      <w:pPr>
        <w:rPr>
          <w:rFonts w:hint="eastAsia" w:ascii="黑体" w:hAnsi="Times New Roman" w:eastAsia="黑体" w:cs="Times New Roman"/>
          <w:sz w:val="33"/>
          <w:szCs w:val="33"/>
        </w:rPr>
      </w:pPr>
    </w:p>
    <w:p>
      <w:pPr>
        <w:rPr>
          <w:rFonts w:hint="eastAsia" w:ascii="黑体" w:hAnsi="Times New Roman" w:eastAsia="黑体" w:cs="Times New Roman"/>
          <w:sz w:val="33"/>
          <w:szCs w:val="33"/>
        </w:rPr>
      </w:pPr>
      <w:r>
        <w:rPr>
          <w:rFonts w:hint="eastAsia" w:ascii="黑体" w:hAnsi="Times New Roman" w:eastAsia="黑体" w:cs="Times New Roman"/>
          <w:sz w:val="33"/>
          <w:szCs w:val="33"/>
        </w:rPr>
        <w:t>各位代表：</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我受新九乡第十四届人民政府委托，向大会报告新九乡2019年财政预算执行情况的报告</w:t>
      </w:r>
      <w:bookmarkStart w:id="0" w:name="_GoBack"/>
      <w:bookmarkEnd w:id="0"/>
      <w:r>
        <w:rPr>
          <w:rFonts w:hint="eastAsia" w:ascii="黑体" w:hAnsi="Times New Roman" w:eastAsia="黑体" w:cs="Times New Roman"/>
          <w:sz w:val="33"/>
          <w:szCs w:val="33"/>
        </w:rPr>
        <w:t>，请予审议，并请各位代表和其他列席会议的同志提出宝贵的意见。</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一、2019年财政预算执行情况</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2019年，我乡财政工作在乡党委、政府的坚强领导下，在乡人大的监督和上级部门的指导下，全乡上下以习近平新时代中国特色社会主义思想、党的十九大精神和习近平总书记对四川工作系列重要指示精神为指导，全面贯彻中央、省、市、县各项决策部署，全面落实县委十四届三次、四次全会及乡政府工作各项要求。牢牢把握“转方式调结构、育产业夯基础、抓改革激活力、惠民生促和谐”的工作基调，不断推进依法理财和规范财务管理,统筹安排支出，有效地执行各项财政政策，有力地支持和促进了全乡经济和各项社会事业稳定、持续、健康发展，为我乡经济社会协调健康发展提供了财力保障。通过全乡上下的共同努力，财政收支预算执行情况良好，重点支出保障有力，圆满完成了各项工作任务。现在我汇报一下2019年财政预算收支执行情况：</w:t>
      </w:r>
    </w:p>
    <w:p>
      <w:pPr>
        <w:ind w:firstLine="663" w:firstLineChars="200"/>
        <w:rPr>
          <w:rFonts w:hint="eastAsia" w:ascii="黑体" w:hAnsi="Times New Roman" w:eastAsia="黑体" w:cs="Times New Roman"/>
          <w:b/>
          <w:sz w:val="33"/>
          <w:szCs w:val="33"/>
        </w:rPr>
      </w:pPr>
      <w:r>
        <w:rPr>
          <w:rFonts w:hint="eastAsia" w:ascii="黑体" w:hAnsi="Times New Roman" w:eastAsia="黑体" w:cs="Times New Roman"/>
          <w:b/>
          <w:sz w:val="33"/>
          <w:szCs w:val="33"/>
        </w:rPr>
        <w:t>（一）一般公共预算收入情况</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2019年一般公共预算收入合计1305.96万元，其中：一般公共预算财政拨款收入1305.96万元，占100%。</w:t>
      </w:r>
    </w:p>
    <w:p>
      <w:pPr>
        <w:ind w:firstLine="663" w:firstLineChars="200"/>
        <w:rPr>
          <w:rFonts w:hint="eastAsia" w:ascii="黑体" w:hAnsi="Times New Roman" w:eastAsia="黑体" w:cs="Times New Roman"/>
          <w:b/>
          <w:sz w:val="33"/>
          <w:szCs w:val="33"/>
        </w:rPr>
      </w:pPr>
      <w:r>
        <w:rPr>
          <w:rFonts w:hint="eastAsia" w:ascii="黑体" w:hAnsi="Times New Roman" w:eastAsia="黑体" w:cs="Times New Roman"/>
          <w:b/>
          <w:sz w:val="33"/>
          <w:szCs w:val="33"/>
        </w:rPr>
        <w:t>（二）一般公共预算支出情况</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2019年一般公共预算支出合计1203.97万元，其中：</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1.一般公共服务支出决算为515.3万元，完成预算100；</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2.文化旅游体育与传媒支出决算为22.95万元，完成预算100%。</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3. 社会保障和就业支出决算为94.87万元，完成预算100%。</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4.卫生健康支出决算为17.68万元，完成预算100%。</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5.节能环保支出决算为70.22万元，完成预算100%；</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6.城乡社区支出决算为21.48万元，完成预算100%。</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7.农林水支出决算为158.99万元，完成预算100%；</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8.住房保障支出决算为60.86万元，完成预算100%。</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9.灾害防治及应急管理支出决算为24.27万元，完成预算100%。</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10.其他支出决算为0.15万元，完成预算100%。</w:t>
      </w:r>
    </w:p>
    <w:p>
      <w:pPr>
        <w:ind w:firstLine="663" w:firstLineChars="200"/>
        <w:rPr>
          <w:rFonts w:hint="eastAsia" w:ascii="黑体" w:hAnsi="Times New Roman" w:eastAsia="黑体" w:cs="Times New Roman"/>
          <w:b/>
          <w:sz w:val="33"/>
          <w:szCs w:val="33"/>
        </w:rPr>
      </w:pPr>
      <w:r>
        <w:rPr>
          <w:rFonts w:hint="eastAsia" w:ascii="黑体" w:hAnsi="Times New Roman" w:eastAsia="黑体" w:cs="Times New Roman"/>
          <w:b/>
          <w:sz w:val="33"/>
          <w:szCs w:val="33"/>
        </w:rPr>
        <w:t>（三）一般公共预算财政拨款基本支出决算情况</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2019年一般公共预算财政拨款基本支出859.51万元，其中：人员经费778.91万元，主要包括：基本工资145.44万元、津贴补贴163.6万元、奖金201.15万元、绩效工资103.18万元、机关事业单位基本养老保险缴费52.74万元、职工基本医疗保险缴费23万元，公务员医疗补助缴费3.18万元，其他社会保障缴费2.32万元、退休费0.08万元、生活补助22.25万元、医疗费补助1.04万元，奖励金0.07万元、住房公积金60.86万元。</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日常公用经费80.6万元，主要包括：办公费20.69万元、印刷费2.21万元、电费4.04万元、邮电费3.96万元、差旅费7.08万元、会议费2.57万元、培训费0.83万元、公务接待费0.47万元、工会经费6.57万元、福利费4.46万元、公务用车运行维护费6万元、其他交通费18.5万元，其他商品和服务支出3.24万元。</w:t>
      </w:r>
    </w:p>
    <w:p>
      <w:pPr>
        <w:ind w:firstLine="663" w:firstLineChars="200"/>
        <w:rPr>
          <w:rFonts w:hint="eastAsia" w:ascii="黑体" w:hAnsi="Times New Roman" w:eastAsia="黑体" w:cs="Times New Roman"/>
          <w:b/>
          <w:sz w:val="33"/>
          <w:szCs w:val="33"/>
        </w:rPr>
      </w:pPr>
      <w:r>
        <w:rPr>
          <w:rFonts w:hint="eastAsia" w:ascii="黑体" w:hAnsi="Times New Roman" w:eastAsia="黑体" w:cs="Times New Roman"/>
          <w:b/>
          <w:sz w:val="33"/>
          <w:szCs w:val="33"/>
        </w:rPr>
        <w:t>（四）“三公”经费财政拨款支出决算情况</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2019年“三公”经费财政拨款支出决算为6.47万元，完成预算100%，其中：公务用车运行维护费6万元，公务接待费0.47万元。</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二、政府债务情况</w:t>
      </w:r>
    </w:p>
    <w:p>
      <w:pPr>
        <w:ind w:firstLine="663" w:firstLineChars="200"/>
        <w:rPr>
          <w:rFonts w:hint="eastAsia" w:ascii="黑体" w:hAnsi="Times New Roman" w:eastAsia="黑体" w:cs="Times New Roman"/>
          <w:b/>
          <w:sz w:val="33"/>
          <w:szCs w:val="33"/>
        </w:rPr>
      </w:pPr>
      <w:r>
        <w:rPr>
          <w:rFonts w:hint="eastAsia" w:ascii="黑体" w:hAnsi="Times New Roman" w:eastAsia="黑体" w:cs="Times New Roman"/>
          <w:b/>
          <w:sz w:val="33"/>
          <w:szCs w:val="33"/>
        </w:rPr>
        <w:t>（一）债务余额情况</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截至2019年12月31日，我乡共有各级各类债务余额为202.08万元，；</w:t>
      </w:r>
    </w:p>
    <w:p>
      <w:pPr>
        <w:ind w:firstLine="663" w:firstLineChars="200"/>
        <w:rPr>
          <w:rFonts w:hint="eastAsia" w:ascii="黑体" w:hAnsi="Times New Roman" w:eastAsia="黑体" w:cs="Times New Roman"/>
          <w:b/>
          <w:sz w:val="33"/>
          <w:szCs w:val="33"/>
        </w:rPr>
      </w:pPr>
      <w:r>
        <w:rPr>
          <w:rFonts w:hint="eastAsia" w:ascii="黑体" w:hAnsi="Times New Roman" w:eastAsia="黑体" w:cs="Times New Roman"/>
          <w:b/>
          <w:sz w:val="33"/>
          <w:szCs w:val="33"/>
        </w:rPr>
        <w:t>（二）债务变化情况</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2019年我乡积极筹措和催收世行贷款资金，全年共化解债务3.9万元，其中：偿还世行金融机构贷款本息3.9万元。</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三、下一步财政工作</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我们将按照预期的财政工作目标，努力改革创新，推进依法理财，不断增强收支结构合理性、管理行为的规范性和资金使用的有效性，切实保障重点，努力解决难点，确保财政收支平衡及预算任务的完成，为确保这一任务的完成，必须着力做好以下几方面工作：</w:t>
      </w:r>
    </w:p>
    <w:p>
      <w:pPr>
        <w:ind w:firstLine="663" w:firstLineChars="200"/>
        <w:rPr>
          <w:rFonts w:hint="eastAsia" w:ascii="黑体" w:hAnsi="Times New Roman" w:eastAsia="黑体" w:cs="Times New Roman"/>
          <w:sz w:val="33"/>
          <w:szCs w:val="33"/>
        </w:rPr>
      </w:pPr>
      <w:r>
        <w:rPr>
          <w:rFonts w:hint="eastAsia" w:ascii="黑体" w:hAnsi="Times New Roman" w:eastAsia="黑体" w:cs="Times New Roman"/>
          <w:b/>
          <w:sz w:val="33"/>
          <w:szCs w:val="33"/>
        </w:rPr>
        <w:t>（一）切实调整优化支出结构。</w:t>
      </w:r>
      <w:r>
        <w:rPr>
          <w:rFonts w:hint="eastAsia" w:ascii="黑体" w:hAnsi="Times New Roman" w:eastAsia="黑体" w:cs="Times New Roman"/>
          <w:sz w:val="33"/>
          <w:szCs w:val="33"/>
        </w:rPr>
        <w:t>突出重点，加大财政保障力度，财政资金确保用于工资发放，机构正常运转和社会稳定支出。</w:t>
      </w:r>
    </w:p>
    <w:p>
      <w:pPr>
        <w:ind w:firstLine="663" w:firstLineChars="200"/>
        <w:rPr>
          <w:rFonts w:hint="eastAsia" w:ascii="黑体" w:hAnsi="Times New Roman" w:eastAsia="黑体" w:cs="Times New Roman"/>
          <w:sz w:val="33"/>
          <w:szCs w:val="33"/>
        </w:rPr>
      </w:pPr>
      <w:r>
        <w:rPr>
          <w:rFonts w:hint="eastAsia" w:ascii="黑体" w:hAnsi="Times New Roman" w:eastAsia="黑体" w:cs="Times New Roman"/>
          <w:b/>
          <w:sz w:val="33"/>
          <w:szCs w:val="33"/>
        </w:rPr>
        <w:t>（二）坚持深化改革，不断加强和规范财政监督管理，提高资金使用效益。</w:t>
      </w:r>
      <w:r>
        <w:rPr>
          <w:rFonts w:hint="eastAsia" w:ascii="黑体" w:hAnsi="Times New Roman" w:eastAsia="黑体" w:cs="Times New Roman"/>
          <w:sz w:val="33"/>
          <w:szCs w:val="33"/>
        </w:rPr>
        <w:t>一是继续推行“乡财乡用县监管” 体制，细化部门预算，严格执行财政资金报账程序，明确财政工作职责；二是加强对专项资金的跟踪检查，促使专款及时足额落实到项目上，确保专款专用；三是进一步加强预算绩效管理，建立绩效目标管理、绩效运行跟踪监控管理、绩效评价管理、评价结果应用管理等制度，健全覆盖财政资金运行全过程的监管机制；四是强化重点项目和环节的监控，加强对支农惠农补贴、社会保障、救灾扶贫、民生工程、政府重点工程等专项资金的监督检查，保障财政资金安全、规范、高效使用；五是强化对财会人员的执业监管、培训和继续教育，规范基础管理工作，提高会计信息质量。</w:t>
      </w:r>
    </w:p>
    <w:p>
      <w:pPr>
        <w:ind w:firstLine="663" w:firstLineChars="200"/>
        <w:rPr>
          <w:rFonts w:hint="eastAsia" w:ascii="黑体" w:hAnsi="Times New Roman" w:eastAsia="黑体" w:cs="Times New Roman"/>
          <w:sz w:val="33"/>
          <w:szCs w:val="33"/>
        </w:rPr>
      </w:pPr>
      <w:r>
        <w:rPr>
          <w:rFonts w:hint="eastAsia" w:ascii="黑体" w:hAnsi="Times New Roman" w:eastAsia="黑体" w:cs="Times New Roman"/>
          <w:b/>
          <w:sz w:val="33"/>
          <w:szCs w:val="33"/>
        </w:rPr>
        <w:t>（三）推进财政管理创新，提升财政监督水平。</w:t>
      </w:r>
      <w:r>
        <w:rPr>
          <w:rFonts w:hint="eastAsia" w:ascii="黑体" w:hAnsi="Times New Roman" w:eastAsia="黑体" w:cs="Times New Roman"/>
          <w:sz w:val="33"/>
          <w:szCs w:val="33"/>
        </w:rPr>
        <w:t>树立大局意识、责任意识、创新意识和服务意识，加大财政支出审核、监督力度，把财政资金的有效监督贯穿于财政支出的日常监督和专项检查之中，提升财政人员的业务能力、管理能力、协调能力和监督能力。</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各位代表，2019年，我乡财政运行情况基本正常。但仍存在不少困难和问题：一是财力弱，不能完全满足农村各项建设事业的资金需要。二是财务管理有待进一步加强，支出审核审批及支付程序需进一步规范，资金支付管理及监督力度需进一步加大。三是工作的主动性、计划性有待进一步增强，财政职能作用需进一步发挥。针对这些困难和问题，我们今后将采取有效措施，努力逐步解决。</w:t>
      </w:r>
    </w:p>
    <w:p>
      <w:pPr>
        <w:ind w:firstLine="660" w:firstLineChars="200"/>
        <w:rPr>
          <w:rFonts w:hint="eastAsia" w:ascii="黑体" w:hAnsi="Times New Roman" w:eastAsia="黑体" w:cs="Times New Roman"/>
          <w:sz w:val="33"/>
          <w:szCs w:val="33"/>
        </w:rPr>
      </w:pPr>
      <w:r>
        <w:rPr>
          <w:rFonts w:hint="eastAsia" w:ascii="黑体" w:hAnsi="Times New Roman" w:eastAsia="黑体" w:cs="Times New Roman"/>
          <w:sz w:val="33"/>
          <w:szCs w:val="33"/>
        </w:rPr>
        <w:t>请各位代表审议！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D0878"/>
    <w:rsid w:val="00533DAE"/>
    <w:rsid w:val="005A765F"/>
    <w:rsid w:val="005F2601"/>
    <w:rsid w:val="006B7A1E"/>
    <w:rsid w:val="00774D92"/>
    <w:rsid w:val="00823FF3"/>
    <w:rsid w:val="008B0EB1"/>
    <w:rsid w:val="00A5121D"/>
    <w:rsid w:val="00AB085A"/>
    <w:rsid w:val="00AC47EB"/>
    <w:rsid w:val="00D146AA"/>
    <w:rsid w:val="00D636F2"/>
    <w:rsid w:val="00D766DC"/>
    <w:rsid w:val="00DE4354"/>
    <w:rsid w:val="00ED0878"/>
    <w:rsid w:val="09B577FF"/>
    <w:rsid w:val="141553E1"/>
    <w:rsid w:val="1AD15931"/>
    <w:rsid w:val="1FDF2E1A"/>
    <w:rsid w:val="2B034404"/>
    <w:rsid w:val="4EC17B4D"/>
    <w:rsid w:val="554E27CF"/>
    <w:rsid w:val="59921301"/>
    <w:rsid w:val="69324BA4"/>
    <w:rsid w:val="74A31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heme="minorHAnsi" w:hAnsiTheme="minorHAnsi" w:eastAsiaTheme="minorEastAsia" w:cstheme="minorBidi"/>
      <w:kern w:val="2"/>
      <w:sz w:val="18"/>
      <w:szCs w:val="18"/>
    </w:rPr>
  </w:style>
  <w:style w:type="character" w:customStyle="1" w:styleId="7">
    <w:name w:val="页脚 Char"/>
    <w:basedOn w:val="5"/>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2047</Words>
  <Characters>313</Characters>
  <Lines>2</Lines>
  <Paragraphs>4</Paragraphs>
  <TotalTime>3</TotalTime>
  <ScaleCrop>false</ScaleCrop>
  <LinksUpToDate>false</LinksUpToDate>
  <CharactersWithSpaces>2356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2020-12-23T02:37:00Z</dcterms:created>
  <dc:creator>田应文</dc:creator>
  <cp:lastModifiedBy>test</cp:lastModifiedBy>
  <dcterms:modified xsi:type="dcterms:W3CDTF">2020-12-24T04:50:25Z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