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9"/>
        <w:rPr>
          <w:rFonts w:ascii="方正小标宋简体" w:hAnsi="宋体" w:eastAsia="方正小标宋简体"/>
          <w:color w:val="000000"/>
          <w:sz w:val="72"/>
          <w:szCs w:val="72"/>
        </w:rPr>
      </w:pPr>
      <w:bookmarkStart w:id="0" w:name="_Toc15306267"/>
    </w:p>
    <w:p>
      <w:pPr>
        <w:spacing w:line="600" w:lineRule="exact"/>
        <w:jc w:val="center"/>
        <w:outlineLvl w:val="9"/>
        <w:rPr>
          <w:rFonts w:ascii="方正小标宋简体" w:hAnsi="宋体" w:eastAsia="方正小标宋简体"/>
          <w:color w:val="000000"/>
          <w:sz w:val="72"/>
          <w:szCs w:val="72"/>
        </w:rPr>
      </w:pPr>
    </w:p>
    <w:p>
      <w:pPr>
        <w:adjustRightInd w:val="0"/>
        <w:snapToGrid w:val="0"/>
        <w:spacing w:line="360" w:lineRule="auto"/>
        <w:jc w:val="center"/>
        <w:outlineLvl w:val="0"/>
        <w:rPr>
          <w:rFonts w:ascii="黑体" w:hAnsi="黑体" w:eastAsia="黑体"/>
          <w:color w:val="000000"/>
          <w:sz w:val="72"/>
          <w:szCs w:val="72"/>
        </w:rPr>
      </w:pPr>
      <w:bookmarkStart w:id="1" w:name="_Toc15377425"/>
      <w:bookmarkStart w:id="2" w:name="_Toc15378441"/>
      <w:bookmarkStart w:id="3" w:name="_Toc52180062"/>
      <w:bookmarkStart w:id="4" w:name="_Toc15377193"/>
      <w:bookmarkStart w:id="5" w:name="_Toc15396475"/>
      <w:bookmarkStart w:id="6" w:name="_Toc15396597"/>
      <w:bookmarkStart w:id="7" w:name="_Toc9658"/>
      <w:r>
        <w:rPr>
          <w:rFonts w:ascii="黑体" w:hAnsi="黑体" w:eastAsia="黑体"/>
          <w:color w:val="000000"/>
          <w:sz w:val="72"/>
          <w:szCs w:val="72"/>
        </w:rPr>
        <w:t>201</w:t>
      </w:r>
      <w:r>
        <w:rPr>
          <w:rFonts w:hint="eastAsia" w:ascii="黑体" w:hAnsi="黑体" w:eastAsia="黑体"/>
          <w:color w:val="000000"/>
          <w:sz w:val="72"/>
          <w:szCs w:val="72"/>
        </w:rPr>
        <w:t>9年度</w:t>
      </w:r>
      <w:bookmarkEnd w:id="1"/>
      <w:bookmarkEnd w:id="2"/>
      <w:bookmarkEnd w:id="3"/>
      <w:bookmarkEnd w:id="4"/>
      <w:bookmarkEnd w:id="5"/>
      <w:bookmarkEnd w:id="6"/>
      <w:bookmarkEnd w:id="7"/>
    </w:p>
    <w:p>
      <w:pPr>
        <w:adjustRightInd w:val="0"/>
        <w:snapToGrid w:val="0"/>
        <w:spacing w:line="360" w:lineRule="auto"/>
        <w:jc w:val="center"/>
        <w:outlineLvl w:val="0"/>
        <w:rPr>
          <w:rFonts w:ascii="黑体" w:hAnsi="黑体" w:eastAsia="黑体"/>
          <w:color w:val="000000"/>
          <w:sz w:val="72"/>
          <w:szCs w:val="72"/>
        </w:rPr>
      </w:pPr>
      <w:bookmarkStart w:id="8" w:name="_Toc29981"/>
      <w:bookmarkStart w:id="9" w:name="_Toc15396476"/>
      <w:bookmarkStart w:id="10" w:name="_Toc15377194"/>
      <w:bookmarkStart w:id="11" w:name="_Toc15377426"/>
      <w:bookmarkStart w:id="12" w:name="_Toc15396598"/>
      <w:bookmarkStart w:id="13" w:name="_Toc15378442"/>
      <w:bookmarkStart w:id="14" w:name="_Toc52180063"/>
      <w:r>
        <w:rPr>
          <w:rFonts w:hint="eastAsia" w:ascii="黑体" w:hAnsi="黑体" w:eastAsia="黑体"/>
          <w:color w:val="000000"/>
          <w:sz w:val="72"/>
          <w:szCs w:val="72"/>
        </w:rPr>
        <w:t>盐边县</w:t>
      </w:r>
      <w:bookmarkEnd w:id="0"/>
      <w:bookmarkStart w:id="15" w:name="_Toc15306268"/>
      <w:r>
        <w:rPr>
          <w:rFonts w:hint="eastAsia" w:ascii="黑体" w:hAnsi="黑体" w:eastAsia="黑体"/>
          <w:color w:val="000000"/>
          <w:sz w:val="72"/>
          <w:szCs w:val="72"/>
        </w:rPr>
        <w:t>红果乡人民政府</w:t>
      </w:r>
      <w:bookmarkEnd w:id="8"/>
    </w:p>
    <w:p>
      <w:pPr>
        <w:adjustRightInd w:val="0"/>
        <w:snapToGrid w:val="0"/>
        <w:spacing w:line="360" w:lineRule="auto"/>
        <w:jc w:val="center"/>
        <w:outlineLvl w:val="0"/>
        <w:rPr>
          <w:rFonts w:ascii="黑体" w:hAnsi="黑体" w:eastAsia="黑体"/>
          <w:color w:val="000000"/>
          <w:sz w:val="72"/>
          <w:szCs w:val="72"/>
        </w:rPr>
      </w:pPr>
      <w:bookmarkStart w:id="16" w:name="_Toc77"/>
      <w:r>
        <w:rPr>
          <w:rFonts w:hint="eastAsia" w:ascii="黑体" w:hAnsi="黑体" w:eastAsia="黑体"/>
          <w:color w:val="000000"/>
          <w:sz w:val="72"/>
          <w:szCs w:val="72"/>
        </w:rPr>
        <w:t>部门决算</w:t>
      </w:r>
      <w:bookmarkEnd w:id="9"/>
      <w:bookmarkEnd w:id="10"/>
      <w:bookmarkEnd w:id="11"/>
      <w:bookmarkEnd w:id="12"/>
      <w:bookmarkEnd w:id="13"/>
      <w:bookmarkEnd w:id="14"/>
      <w:bookmarkEnd w:id="15"/>
      <w:bookmarkEnd w:id="16"/>
    </w:p>
    <w:p>
      <w:pPr>
        <w:widowControl/>
        <w:jc w:val="both"/>
        <w:rPr>
          <w:rFonts w:ascii="方正小标宋简体" w:hAnsi="宋体" w:eastAsia="方正小标宋简体"/>
          <w:color w:val="000000"/>
          <w:sz w:val="36"/>
          <w:szCs w:val="36"/>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pPr>
        <w:widowControl/>
        <w:jc w:val="center"/>
        <w:rPr>
          <w:rFonts w:hint="eastAsia" w:ascii="黑体" w:hAnsi="黑体" w:eastAsia="黑体"/>
          <w:color w:val="000000"/>
          <w:sz w:val="48"/>
          <w:szCs w:val="48"/>
        </w:rPr>
      </w:pPr>
    </w:p>
    <w:p>
      <w:bookmarkStart w:id="269" w:name="_GoBack"/>
      <w:bookmarkEnd w:id="269"/>
    </w:p>
    <w:p>
      <w:pPr>
        <w:widowControl/>
        <w:spacing w:line="440" w:lineRule="exact"/>
        <w:jc w:val="left"/>
        <w:outlineLvl w:val="9"/>
        <w:rPr>
          <w:rFonts w:ascii="仿宋" w:hAnsi="仿宋" w:eastAsia="仿宋"/>
          <w:b/>
          <w:sz w:val="24"/>
        </w:rPr>
      </w:pPr>
      <w:bookmarkStart w:id="17" w:name="_Toc15377196"/>
      <w:bookmarkStart w:id="18" w:name="_Toc15396599"/>
      <w:r>
        <w:rPr>
          <w:rFonts w:ascii="仿宋" w:hAnsi="仿宋" w:eastAsia="仿宋"/>
          <w:b/>
          <w:sz w:val="24"/>
        </w:rPr>
        <w:br w:type="page"/>
      </w:r>
    </w:p>
    <w:p>
      <w:pPr>
        <w:spacing w:before="0" w:beforeLines="0" w:after="0" w:afterLines="0" w:line="240" w:lineRule="auto"/>
        <w:ind w:left="0" w:leftChars="0" w:right="0" w:rightChars="0" w:firstLine="0" w:firstLineChars="0"/>
        <w:jc w:val="center"/>
        <w:rPr>
          <w:sz w:val="48"/>
          <w:szCs w:val="48"/>
        </w:rPr>
      </w:pPr>
      <w:r>
        <w:rPr>
          <w:rFonts w:ascii="宋体" w:hAnsi="宋体" w:eastAsia="宋体"/>
          <w:sz w:val="48"/>
          <w:szCs w:val="48"/>
        </w:rPr>
        <w:t>目录</w:t>
      </w:r>
    </w:p>
    <w:p>
      <w:pPr>
        <w:pStyle w:val="36"/>
        <w:tabs>
          <w:tab w:val="right" w:leader="dot" w:pos="8845"/>
        </w:tabs>
      </w:pPr>
      <w:r>
        <w:rPr>
          <w:rFonts w:ascii="仿宋" w:hAnsi="仿宋" w:eastAsia="仿宋"/>
          <w:b/>
          <w:sz w:val="24"/>
        </w:rPr>
        <w:fldChar w:fldCharType="begin"/>
      </w:r>
      <w:r>
        <w:rPr>
          <w:rFonts w:ascii="仿宋" w:hAnsi="仿宋" w:eastAsia="仿宋"/>
          <w:b/>
          <w:sz w:val="24"/>
        </w:rPr>
        <w:instrText xml:space="preserve">TOC \o "1-3" \h \u </w:instrText>
      </w:r>
      <w:r>
        <w:rPr>
          <w:rFonts w:ascii="仿宋" w:hAnsi="仿宋" w:eastAsia="仿宋"/>
          <w:b/>
          <w:sz w:val="24"/>
        </w:rPr>
        <w:fldChar w:fldCharType="separate"/>
      </w:r>
    </w:p>
    <w:p>
      <w:pPr>
        <w:pStyle w:val="36"/>
        <w:tabs>
          <w:tab w:val="right" w:leader="dot" w:pos="8845"/>
        </w:tabs>
      </w:pPr>
      <w:r>
        <w:rPr>
          <w:rFonts w:ascii="仿宋" w:hAnsi="仿宋" w:eastAsia="仿宋"/>
        </w:rPr>
        <w:fldChar w:fldCharType="begin"/>
      </w:r>
      <w:r>
        <w:rPr>
          <w:rFonts w:ascii="仿宋" w:hAnsi="仿宋" w:eastAsia="仿宋"/>
        </w:rPr>
        <w:instrText xml:space="preserve"> HYPERLINK \l _Toc3809 </w:instrText>
      </w:r>
      <w:r>
        <w:rPr>
          <w:rFonts w:ascii="仿宋" w:hAnsi="仿宋" w:eastAsia="仿宋"/>
        </w:rPr>
        <w:fldChar w:fldCharType="separate"/>
      </w:r>
      <w:r>
        <w:rPr>
          <w:rFonts w:hint="eastAsia" w:ascii="方正小标宋_GBK" w:hAnsi="方正小标宋_GBK" w:eastAsia="方正小标宋_GBK" w:cs="方正小标宋_GBK"/>
          <w:szCs w:val="38"/>
        </w:rPr>
        <w:t>第一部分 部门概况</w:t>
      </w:r>
      <w:r>
        <w:tab/>
      </w:r>
      <w:r>
        <w:fldChar w:fldCharType="begin"/>
      </w:r>
      <w:r>
        <w:instrText xml:space="preserve"> PAGEREF _Toc3809 </w:instrText>
      </w:r>
      <w:r>
        <w:fldChar w:fldCharType="separate"/>
      </w:r>
      <w:r>
        <w:t>- 1 -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_Toc15914 </w:instrText>
      </w:r>
      <w:r>
        <w:rPr>
          <w:rFonts w:ascii="仿宋" w:hAnsi="仿宋" w:eastAsia="仿宋"/>
        </w:rPr>
        <w:fldChar w:fldCharType="separate"/>
      </w:r>
      <w:r>
        <w:rPr>
          <w:rFonts w:hint="eastAsia" w:ascii="方正黑体_GBK" w:hAnsi="方正黑体_GBK" w:eastAsia="方正黑体_GBK" w:cs="方正黑体_GBK"/>
          <w:bCs w:val="0"/>
          <w:szCs w:val="33"/>
        </w:rPr>
        <w:t>一、基本职能及主要工作</w:t>
      </w:r>
      <w:r>
        <w:tab/>
      </w:r>
      <w:r>
        <w:fldChar w:fldCharType="begin"/>
      </w:r>
      <w:r>
        <w:instrText xml:space="preserve"> PAGEREF _Toc15914 </w:instrText>
      </w:r>
      <w:r>
        <w:fldChar w:fldCharType="separate"/>
      </w:r>
      <w:r>
        <w:t>- 1 -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_Toc7413 </w:instrText>
      </w:r>
      <w:r>
        <w:rPr>
          <w:rFonts w:ascii="仿宋" w:hAnsi="仿宋" w:eastAsia="仿宋"/>
        </w:rPr>
        <w:fldChar w:fldCharType="separate"/>
      </w:r>
      <w:r>
        <w:rPr>
          <w:rFonts w:hint="eastAsia" w:ascii="方正楷体_GBK" w:hAnsi="方正楷体_GBK" w:eastAsia="方正楷体_GBK" w:cs="方正楷体_GBK"/>
          <w:szCs w:val="33"/>
        </w:rPr>
        <w:t>（一）主要职能</w:t>
      </w:r>
      <w:r>
        <w:tab/>
      </w:r>
      <w:r>
        <w:fldChar w:fldCharType="begin"/>
      </w:r>
      <w:r>
        <w:instrText xml:space="preserve"> PAGEREF _Toc7413 </w:instrText>
      </w:r>
      <w:r>
        <w:fldChar w:fldCharType="separate"/>
      </w:r>
      <w:r>
        <w:t>- 1 -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_Toc404 </w:instrText>
      </w:r>
      <w:r>
        <w:rPr>
          <w:rFonts w:ascii="仿宋" w:hAnsi="仿宋" w:eastAsia="仿宋"/>
        </w:rPr>
        <w:fldChar w:fldCharType="separate"/>
      </w:r>
      <w:r>
        <w:rPr>
          <w:rFonts w:hint="eastAsia" w:ascii="方正楷体_GBK" w:hAnsi="方正楷体_GBK" w:eastAsia="方正楷体_GBK" w:cs="方正楷体_GBK"/>
          <w:szCs w:val="33"/>
        </w:rPr>
        <w:t>（二）2019年重点工作完成情况</w:t>
      </w:r>
      <w:r>
        <w:tab/>
      </w:r>
      <w:r>
        <w:fldChar w:fldCharType="begin"/>
      </w:r>
      <w:r>
        <w:instrText xml:space="preserve"> PAGEREF _Toc404 </w:instrText>
      </w:r>
      <w:r>
        <w:fldChar w:fldCharType="separate"/>
      </w:r>
      <w:r>
        <w:t>- 2 -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_Toc227 </w:instrText>
      </w:r>
      <w:r>
        <w:rPr>
          <w:rFonts w:ascii="仿宋" w:hAnsi="仿宋" w:eastAsia="仿宋"/>
        </w:rPr>
        <w:fldChar w:fldCharType="separate"/>
      </w:r>
      <w:r>
        <w:rPr>
          <w:rFonts w:hint="eastAsia" w:ascii="方正黑体_GBK" w:hAnsi="方正黑体_GBK" w:eastAsia="方正黑体_GBK" w:cs="方正黑体_GBK"/>
          <w:szCs w:val="33"/>
        </w:rPr>
        <w:t>二、机</w:t>
      </w:r>
      <w:r>
        <w:rPr>
          <w:rFonts w:hint="eastAsia" w:ascii="方正黑体_GBK" w:hAnsi="方正黑体_GBK" w:eastAsia="方正黑体_GBK" w:cs="方正黑体_GBK"/>
          <w:bCs w:val="0"/>
          <w:szCs w:val="33"/>
        </w:rPr>
        <w:t>构设置</w:t>
      </w:r>
      <w:r>
        <w:tab/>
      </w:r>
      <w:r>
        <w:fldChar w:fldCharType="begin"/>
      </w:r>
      <w:r>
        <w:instrText xml:space="preserve"> PAGEREF _Toc227 </w:instrText>
      </w:r>
      <w:r>
        <w:fldChar w:fldCharType="separate"/>
      </w:r>
      <w:r>
        <w:t>- 5 -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_Toc4073 </w:instrText>
      </w:r>
      <w:r>
        <w:rPr>
          <w:rFonts w:ascii="仿宋" w:hAnsi="仿宋" w:eastAsia="仿宋"/>
        </w:rPr>
        <w:fldChar w:fldCharType="separate"/>
      </w:r>
      <w:r>
        <w:rPr>
          <w:rFonts w:hint="eastAsia" w:ascii="方正小标宋_GBK" w:hAnsi="方正小标宋_GBK" w:eastAsia="方正小标宋_GBK" w:cs="方正小标宋_GBK"/>
          <w:szCs w:val="38"/>
        </w:rPr>
        <w:t>第二部分2019年度部门决算情况说明</w:t>
      </w:r>
      <w:r>
        <w:tab/>
      </w:r>
      <w:r>
        <w:fldChar w:fldCharType="begin"/>
      </w:r>
      <w:r>
        <w:instrText xml:space="preserve"> PAGEREF _Toc4073 </w:instrText>
      </w:r>
      <w:r>
        <w:fldChar w:fldCharType="separate"/>
      </w:r>
      <w:r>
        <w:t>- 6 -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_Toc455 </w:instrText>
      </w:r>
      <w:r>
        <w:rPr>
          <w:rFonts w:ascii="仿宋" w:hAnsi="仿宋" w:eastAsia="仿宋"/>
        </w:rPr>
        <w:fldChar w:fldCharType="separate"/>
      </w:r>
      <w:r>
        <w:rPr>
          <w:rFonts w:hint="eastAsia" w:ascii="方正黑体_GBK" w:hAnsi="方正黑体_GBK" w:eastAsia="方正黑体_GBK" w:cs="方正黑体_GBK"/>
          <w:bCs w:val="0"/>
          <w:szCs w:val="33"/>
        </w:rPr>
        <w:t>一、收入支出决算总体情况说明</w:t>
      </w:r>
      <w:r>
        <w:tab/>
      </w:r>
      <w:r>
        <w:fldChar w:fldCharType="begin"/>
      </w:r>
      <w:r>
        <w:instrText xml:space="preserve"> PAGEREF _Toc455 </w:instrText>
      </w:r>
      <w:r>
        <w:fldChar w:fldCharType="separate"/>
      </w:r>
      <w:r>
        <w:t>- 6 -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_Toc12709 </w:instrText>
      </w:r>
      <w:r>
        <w:rPr>
          <w:rFonts w:ascii="仿宋" w:hAnsi="仿宋" w:eastAsia="仿宋"/>
        </w:rPr>
        <w:fldChar w:fldCharType="separate"/>
      </w:r>
      <w:r>
        <w:rPr>
          <w:rFonts w:hint="default" w:ascii="方正黑体_GBK" w:hAnsi="方正黑体_GBK" w:eastAsia="方正黑体_GBK" w:cs="方正黑体_GBK"/>
          <w:bCs w:val="0"/>
          <w:szCs w:val="33"/>
        </w:rPr>
        <w:t>二、收入决算情况说明</w:t>
      </w:r>
      <w:r>
        <w:tab/>
      </w:r>
      <w:r>
        <w:fldChar w:fldCharType="begin"/>
      </w:r>
      <w:r>
        <w:instrText xml:space="preserve"> PAGEREF _Toc12709 </w:instrText>
      </w:r>
      <w:r>
        <w:fldChar w:fldCharType="separate"/>
      </w:r>
      <w:r>
        <w:t>- 6 -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_Toc24411 </w:instrText>
      </w:r>
      <w:r>
        <w:rPr>
          <w:rFonts w:ascii="仿宋" w:hAnsi="仿宋" w:eastAsia="仿宋"/>
        </w:rPr>
        <w:fldChar w:fldCharType="separate"/>
      </w:r>
      <w:r>
        <w:rPr>
          <w:rFonts w:hint="default" w:ascii="方正黑体_GBK" w:hAnsi="方正黑体_GBK" w:eastAsia="方正黑体_GBK" w:cs="方正黑体_GBK"/>
          <w:bCs w:val="0"/>
          <w:szCs w:val="33"/>
        </w:rPr>
        <w:t>三、支出决算情况说明</w:t>
      </w:r>
      <w:r>
        <w:tab/>
      </w:r>
      <w:r>
        <w:fldChar w:fldCharType="begin"/>
      </w:r>
      <w:r>
        <w:instrText xml:space="preserve"> PAGEREF _Toc24411 </w:instrText>
      </w:r>
      <w:r>
        <w:fldChar w:fldCharType="separate"/>
      </w:r>
      <w:r>
        <w:t>- 6 -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_Toc19871 </w:instrText>
      </w:r>
      <w:r>
        <w:rPr>
          <w:rFonts w:ascii="仿宋" w:hAnsi="仿宋" w:eastAsia="仿宋"/>
        </w:rPr>
        <w:fldChar w:fldCharType="separate"/>
      </w:r>
      <w:r>
        <w:rPr>
          <w:rFonts w:hint="default" w:ascii="方正黑体_GBK" w:hAnsi="方正黑体_GBK" w:eastAsia="方正黑体_GBK" w:cs="方正黑体_GBK"/>
          <w:bCs w:val="0"/>
          <w:szCs w:val="33"/>
        </w:rPr>
        <w:t>四、财政拨款收入支出决算总体情况说明</w:t>
      </w:r>
      <w:r>
        <w:tab/>
      </w:r>
      <w:r>
        <w:fldChar w:fldCharType="begin"/>
      </w:r>
      <w:r>
        <w:instrText xml:space="preserve"> PAGEREF _Toc19871 </w:instrText>
      </w:r>
      <w:r>
        <w:fldChar w:fldCharType="separate"/>
      </w:r>
      <w:r>
        <w:t>- 6 -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_Toc22597 </w:instrText>
      </w:r>
      <w:r>
        <w:rPr>
          <w:rFonts w:ascii="仿宋" w:hAnsi="仿宋" w:eastAsia="仿宋"/>
        </w:rPr>
        <w:fldChar w:fldCharType="separate"/>
      </w:r>
      <w:r>
        <w:rPr>
          <w:rFonts w:hint="default" w:ascii="方正黑体_GBK" w:hAnsi="方正黑体_GBK" w:eastAsia="方正黑体_GBK" w:cs="方正黑体_GBK"/>
          <w:bCs w:val="0"/>
          <w:szCs w:val="33"/>
        </w:rPr>
        <w:t>五、一般公共预算财政拨款支出决算情况说明</w:t>
      </w:r>
      <w:r>
        <w:tab/>
      </w:r>
      <w:r>
        <w:fldChar w:fldCharType="begin"/>
      </w:r>
      <w:r>
        <w:instrText xml:space="preserve"> PAGEREF _Toc22597 </w:instrText>
      </w:r>
      <w:r>
        <w:fldChar w:fldCharType="separate"/>
      </w:r>
      <w:r>
        <w:t>- 7 -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_Toc30849 </w:instrText>
      </w:r>
      <w:r>
        <w:rPr>
          <w:rFonts w:ascii="仿宋" w:hAnsi="仿宋" w:eastAsia="仿宋"/>
        </w:rPr>
        <w:fldChar w:fldCharType="separate"/>
      </w:r>
      <w:r>
        <w:rPr>
          <w:rFonts w:hint="default" w:ascii="方正楷体_GBK" w:hAnsi="方正楷体_GBK" w:eastAsia="方正楷体_GBK" w:cs="方正楷体_GBK"/>
          <w:szCs w:val="33"/>
        </w:rPr>
        <w:t>（二）一般公共预算财政拨款支出决算结构情况</w:t>
      </w:r>
      <w:r>
        <w:tab/>
      </w:r>
      <w:r>
        <w:fldChar w:fldCharType="begin"/>
      </w:r>
      <w:r>
        <w:instrText xml:space="preserve"> PAGEREF _Toc30849 </w:instrText>
      </w:r>
      <w:r>
        <w:fldChar w:fldCharType="separate"/>
      </w:r>
      <w:r>
        <w:t>- 7 -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_Toc327 </w:instrText>
      </w:r>
      <w:r>
        <w:rPr>
          <w:rFonts w:ascii="仿宋" w:hAnsi="仿宋" w:eastAsia="仿宋"/>
        </w:rPr>
        <w:fldChar w:fldCharType="separate"/>
      </w:r>
      <w:r>
        <w:rPr>
          <w:rFonts w:hint="default" w:ascii="方正楷体_GBK" w:hAnsi="方正楷体_GBK" w:eastAsia="方正楷体_GBK" w:cs="方正楷体_GBK"/>
          <w:szCs w:val="33"/>
        </w:rPr>
        <w:t>（三）一般公共预算财政拨款支出决算具体情况</w:t>
      </w:r>
      <w:r>
        <w:tab/>
      </w:r>
      <w:r>
        <w:fldChar w:fldCharType="begin"/>
      </w:r>
      <w:r>
        <w:instrText xml:space="preserve"> PAGEREF _Toc327 </w:instrText>
      </w:r>
      <w:r>
        <w:fldChar w:fldCharType="separate"/>
      </w:r>
      <w:r>
        <w:t>- 7 -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_Toc5967 </w:instrText>
      </w:r>
      <w:r>
        <w:rPr>
          <w:rFonts w:ascii="仿宋" w:hAnsi="仿宋" w:eastAsia="仿宋"/>
        </w:rPr>
        <w:fldChar w:fldCharType="separate"/>
      </w:r>
      <w:r>
        <w:rPr>
          <w:rFonts w:hint="default" w:ascii="方正黑体_GBK" w:hAnsi="方正黑体_GBK" w:eastAsia="方正黑体_GBK" w:cs="方正黑体_GBK"/>
          <w:bCs w:val="0"/>
          <w:szCs w:val="33"/>
        </w:rPr>
        <w:t>六、一般公共预算财政拨款基本支出决算情况说明</w:t>
      </w:r>
      <w:r>
        <w:tab/>
      </w:r>
      <w:r>
        <w:fldChar w:fldCharType="begin"/>
      </w:r>
      <w:r>
        <w:instrText xml:space="preserve"> PAGEREF _Toc5967 </w:instrText>
      </w:r>
      <w:r>
        <w:fldChar w:fldCharType="separate"/>
      </w:r>
      <w:r>
        <w:t>- 9 -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_Toc27135 </w:instrText>
      </w:r>
      <w:r>
        <w:rPr>
          <w:rFonts w:ascii="仿宋" w:hAnsi="仿宋" w:eastAsia="仿宋"/>
        </w:rPr>
        <w:fldChar w:fldCharType="separate"/>
      </w:r>
      <w:r>
        <w:rPr>
          <w:rFonts w:hint="default" w:ascii="方正黑体_GBK" w:hAnsi="方正黑体_GBK" w:eastAsia="方正黑体_GBK" w:cs="方正黑体_GBK"/>
          <w:bCs w:val="0"/>
          <w:szCs w:val="33"/>
        </w:rPr>
        <w:t>七、“三公”经费财政拨款支出决算情况说明</w:t>
      </w:r>
      <w:r>
        <w:tab/>
      </w:r>
      <w:r>
        <w:fldChar w:fldCharType="begin"/>
      </w:r>
      <w:r>
        <w:instrText xml:space="preserve"> PAGEREF _Toc27135 </w:instrText>
      </w:r>
      <w:r>
        <w:fldChar w:fldCharType="separate"/>
      </w:r>
      <w:r>
        <w:t>- 10 -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_Toc25625 </w:instrText>
      </w:r>
      <w:r>
        <w:rPr>
          <w:rFonts w:ascii="仿宋" w:hAnsi="仿宋" w:eastAsia="仿宋"/>
        </w:rPr>
        <w:fldChar w:fldCharType="separate"/>
      </w:r>
      <w:r>
        <w:rPr>
          <w:rFonts w:hint="default" w:ascii="方正楷体_GBK" w:hAnsi="方正楷体_GBK" w:eastAsia="方正楷体_GBK" w:cs="方正楷体_GBK"/>
          <w:szCs w:val="33"/>
        </w:rPr>
        <w:t>（一）“三公”经费财政拨款支出决算总体情况说明</w:t>
      </w:r>
      <w:r>
        <w:tab/>
      </w:r>
      <w:r>
        <w:fldChar w:fldCharType="begin"/>
      </w:r>
      <w:r>
        <w:instrText xml:space="preserve"> PAGEREF _Toc25625 </w:instrText>
      </w:r>
      <w:r>
        <w:fldChar w:fldCharType="separate"/>
      </w:r>
      <w:r>
        <w:t>- 10 -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_Toc32313 </w:instrText>
      </w:r>
      <w:r>
        <w:rPr>
          <w:rFonts w:ascii="仿宋" w:hAnsi="仿宋" w:eastAsia="仿宋"/>
        </w:rPr>
        <w:fldChar w:fldCharType="separate"/>
      </w:r>
      <w:r>
        <w:rPr>
          <w:rFonts w:hint="default" w:ascii="方正楷体_GBK" w:hAnsi="方正楷体_GBK" w:eastAsia="方正楷体_GBK" w:cs="方正楷体_GBK"/>
          <w:szCs w:val="33"/>
        </w:rPr>
        <w:t>（二）“三公”经费财政拨款支出决算具体情况说明</w:t>
      </w:r>
      <w:r>
        <w:tab/>
      </w:r>
      <w:r>
        <w:fldChar w:fldCharType="begin"/>
      </w:r>
      <w:r>
        <w:instrText xml:space="preserve"> PAGEREF _Toc32313 </w:instrText>
      </w:r>
      <w:r>
        <w:fldChar w:fldCharType="separate"/>
      </w:r>
      <w:r>
        <w:t>- 10 -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_Toc14780 </w:instrText>
      </w:r>
      <w:r>
        <w:rPr>
          <w:rFonts w:ascii="仿宋" w:hAnsi="仿宋" w:eastAsia="仿宋"/>
        </w:rPr>
        <w:fldChar w:fldCharType="separate"/>
      </w:r>
      <w:r>
        <w:rPr>
          <w:rFonts w:hint="default" w:ascii="方正黑体_GBK" w:hAnsi="方正黑体_GBK" w:eastAsia="方正黑体_GBK" w:cs="方正黑体_GBK"/>
          <w:bCs w:val="0"/>
          <w:szCs w:val="33"/>
        </w:rPr>
        <w:t>八、政府性基金预算支出决算情况说明</w:t>
      </w:r>
      <w:r>
        <w:tab/>
      </w:r>
      <w:r>
        <w:fldChar w:fldCharType="begin"/>
      </w:r>
      <w:r>
        <w:instrText xml:space="preserve"> PAGEREF _Toc14780 </w:instrText>
      </w:r>
      <w:r>
        <w:fldChar w:fldCharType="separate"/>
      </w:r>
      <w:r>
        <w:t>- 11 -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_Toc16379 </w:instrText>
      </w:r>
      <w:r>
        <w:rPr>
          <w:rFonts w:ascii="仿宋" w:hAnsi="仿宋" w:eastAsia="仿宋"/>
        </w:rPr>
        <w:fldChar w:fldCharType="separate"/>
      </w:r>
      <w:r>
        <w:rPr>
          <w:rFonts w:hint="default" w:ascii="方正黑体_GBK" w:hAnsi="方正黑体_GBK" w:eastAsia="方正黑体_GBK" w:cs="方正黑体_GBK"/>
          <w:bCs w:val="0"/>
          <w:szCs w:val="33"/>
        </w:rPr>
        <w:t>九、国有资本经营预算支出决算情况说明</w:t>
      </w:r>
      <w:r>
        <w:tab/>
      </w:r>
      <w:r>
        <w:fldChar w:fldCharType="begin"/>
      </w:r>
      <w:r>
        <w:instrText xml:space="preserve"> PAGEREF _Toc16379 </w:instrText>
      </w:r>
      <w:r>
        <w:fldChar w:fldCharType="separate"/>
      </w:r>
      <w:r>
        <w:t>- 11 -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_Toc16280 </w:instrText>
      </w:r>
      <w:r>
        <w:rPr>
          <w:rFonts w:ascii="仿宋" w:hAnsi="仿宋" w:eastAsia="仿宋"/>
        </w:rPr>
        <w:fldChar w:fldCharType="separate"/>
      </w:r>
      <w:r>
        <w:rPr>
          <w:rFonts w:hint="default" w:ascii="方正黑体_GBK" w:hAnsi="方正黑体_GBK" w:eastAsia="方正黑体_GBK" w:cs="方正黑体_GBK"/>
          <w:bCs w:val="0"/>
          <w:szCs w:val="33"/>
        </w:rPr>
        <w:t>十、其他重要事项的情况说明</w:t>
      </w:r>
      <w:r>
        <w:tab/>
      </w:r>
      <w:r>
        <w:fldChar w:fldCharType="begin"/>
      </w:r>
      <w:r>
        <w:instrText xml:space="preserve"> PAGEREF _Toc16280 </w:instrText>
      </w:r>
      <w:r>
        <w:fldChar w:fldCharType="separate"/>
      </w:r>
      <w:r>
        <w:t>- 12 -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_Toc5028 </w:instrText>
      </w:r>
      <w:r>
        <w:rPr>
          <w:rFonts w:ascii="仿宋" w:hAnsi="仿宋" w:eastAsia="仿宋"/>
        </w:rPr>
        <w:fldChar w:fldCharType="separate"/>
      </w:r>
      <w:r>
        <w:rPr>
          <w:rFonts w:hint="default" w:ascii="方正楷体_GBK" w:hAnsi="方正楷体_GBK" w:eastAsia="方正楷体_GBK" w:cs="方正楷体_GBK"/>
          <w:szCs w:val="33"/>
        </w:rPr>
        <w:t>（一）机关运行经费支出情况</w:t>
      </w:r>
      <w:r>
        <w:tab/>
      </w:r>
      <w:r>
        <w:fldChar w:fldCharType="begin"/>
      </w:r>
      <w:r>
        <w:instrText xml:space="preserve"> PAGEREF _Toc5028 </w:instrText>
      </w:r>
      <w:r>
        <w:fldChar w:fldCharType="separate"/>
      </w:r>
      <w:r>
        <w:t>- 12 -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_Toc16647 </w:instrText>
      </w:r>
      <w:r>
        <w:rPr>
          <w:rFonts w:ascii="仿宋" w:hAnsi="仿宋" w:eastAsia="仿宋"/>
        </w:rPr>
        <w:fldChar w:fldCharType="separate"/>
      </w:r>
      <w:r>
        <w:rPr>
          <w:rFonts w:hint="default" w:ascii="方正楷体_GBK" w:hAnsi="方正楷体_GBK" w:eastAsia="方正楷体_GBK" w:cs="方正楷体_GBK"/>
          <w:szCs w:val="33"/>
        </w:rPr>
        <w:t>（二）政府采购支出情况</w:t>
      </w:r>
      <w:r>
        <w:tab/>
      </w:r>
      <w:r>
        <w:fldChar w:fldCharType="begin"/>
      </w:r>
      <w:r>
        <w:instrText xml:space="preserve"> PAGEREF _Toc16647 </w:instrText>
      </w:r>
      <w:r>
        <w:fldChar w:fldCharType="separate"/>
      </w:r>
      <w:r>
        <w:t>- 12 -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_Toc5559 </w:instrText>
      </w:r>
      <w:r>
        <w:rPr>
          <w:rFonts w:ascii="仿宋" w:hAnsi="仿宋" w:eastAsia="仿宋"/>
        </w:rPr>
        <w:fldChar w:fldCharType="separate"/>
      </w:r>
      <w:r>
        <w:rPr>
          <w:rFonts w:hint="default" w:ascii="方正楷体_GBK" w:hAnsi="方正楷体_GBK" w:eastAsia="方正楷体_GBK" w:cs="方正楷体_GBK"/>
          <w:szCs w:val="33"/>
        </w:rPr>
        <w:t>（三）国有资产占有使用情况</w:t>
      </w:r>
      <w:r>
        <w:tab/>
      </w:r>
      <w:r>
        <w:fldChar w:fldCharType="begin"/>
      </w:r>
      <w:r>
        <w:instrText xml:space="preserve"> PAGEREF _Toc5559 </w:instrText>
      </w:r>
      <w:r>
        <w:fldChar w:fldCharType="separate"/>
      </w:r>
      <w:r>
        <w:t>- 12 -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_Toc13516 </w:instrText>
      </w:r>
      <w:r>
        <w:rPr>
          <w:rFonts w:ascii="仿宋" w:hAnsi="仿宋" w:eastAsia="仿宋"/>
        </w:rPr>
        <w:fldChar w:fldCharType="separate"/>
      </w:r>
      <w:r>
        <w:rPr>
          <w:rFonts w:hint="default" w:ascii="方正楷体_GBK" w:hAnsi="方正楷体_GBK" w:eastAsia="方正楷体_GBK" w:cs="方正楷体_GBK"/>
          <w:szCs w:val="33"/>
        </w:rPr>
        <w:t>（四）预算绩效管理情况。</w:t>
      </w:r>
      <w:r>
        <w:tab/>
      </w:r>
      <w:r>
        <w:fldChar w:fldCharType="begin"/>
      </w:r>
      <w:r>
        <w:instrText xml:space="preserve"> PAGEREF _Toc13516 </w:instrText>
      </w:r>
      <w:r>
        <w:fldChar w:fldCharType="separate"/>
      </w:r>
      <w:r>
        <w:t>- 12 -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_Toc9486 </w:instrText>
      </w:r>
      <w:r>
        <w:rPr>
          <w:rFonts w:ascii="仿宋" w:hAnsi="仿宋" w:eastAsia="仿宋"/>
        </w:rPr>
        <w:fldChar w:fldCharType="separate"/>
      </w:r>
      <w:r>
        <w:rPr>
          <w:rFonts w:hint="default" w:ascii="Times New Roman" w:hAnsi="Times New Roman" w:eastAsia="方正仿宋_GBK" w:cs="Times New Roman"/>
          <w:szCs w:val="33"/>
        </w:rPr>
        <w:t>附件1</w:t>
      </w:r>
      <w:r>
        <w:tab/>
      </w:r>
      <w:r>
        <w:fldChar w:fldCharType="begin"/>
      </w:r>
      <w:r>
        <w:instrText xml:space="preserve"> PAGEREF _Toc9486 </w:instrText>
      </w:r>
      <w:r>
        <w:fldChar w:fldCharType="separate"/>
      </w:r>
      <w:r>
        <w:t>- 17 -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_Toc15601 </w:instrText>
      </w:r>
      <w:r>
        <w:rPr>
          <w:rFonts w:ascii="仿宋" w:hAnsi="仿宋" w:eastAsia="仿宋"/>
        </w:rPr>
        <w:fldChar w:fldCharType="separate"/>
      </w:r>
      <w:r>
        <w:rPr>
          <w:rFonts w:hint="eastAsia" w:ascii="方正黑体_GBK" w:hAnsi="方正黑体_GBK" w:eastAsia="方正黑体_GBK" w:cs="方正黑体_GBK"/>
          <w:bCs w:val="0"/>
          <w:szCs w:val="33"/>
        </w:rPr>
        <w:t>一、项目基本情况</w:t>
      </w:r>
      <w:r>
        <w:tab/>
      </w:r>
      <w:r>
        <w:fldChar w:fldCharType="begin"/>
      </w:r>
      <w:r>
        <w:instrText xml:space="preserve"> PAGEREF _Toc15601 </w:instrText>
      </w:r>
      <w:r>
        <w:fldChar w:fldCharType="separate"/>
      </w:r>
      <w:r>
        <w:t>- 17 -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_Toc1984 </w:instrText>
      </w:r>
      <w:r>
        <w:rPr>
          <w:rFonts w:ascii="仿宋" w:hAnsi="仿宋" w:eastAsia="仿宋"/>
        </w:rPr>
        <w:fldChar w:fldCharType="separate"/>
      </w:r>
      <w:r>
        <w:rPr>
          <w:rFonts w:hint="eastAsia" w:ascii="方正楷体_GBK" w:hAnsi="方正楷体_GBK" w:eastAsia="方正楷体_GBK" w:cs="方正楷体_GBK"/>
          <w:szCs w:val="33"/>
        </w:rPr>
        <w:t>（</w:t>
      </w:r>
      <w:r>
        <w:rPr>
          <w:rFonts w:hint="eastAsia" w:ascii="方正楷体_GBK" w:hAnsi="方正楷体_GBK" w:eastAsia="方正楷体_GBK" w:cs="方正楷体_GBK"/>
          <w:szCs w:val="33"/>
          <w:lang w:eastAsia="zh-CN"/>
        </w:rPr>
        <w:t>一</w:t>
      </w:r>
      <w:r>
        <w:rPr>
          <w:rFonts w:hint="eastAsia" w:ascii="方正楷体_GBK" w:hAnsi="方正楷体_GBK" w:eastAsia="方正楷体_GBK" w:cs="方正楷体_GBK"/>
          <w:szCs w:val="33"/>
        </w:rPr>
        <w:t>）项目概况</w:t>
      </w:r>
      <w:r>
        <w:tab/>
      </w:r>
      <w:r>
        <w:fldChar w:fldCharType="begin"/>
      </w:r>
      <w:r>
        <w:instrText xml:space="preserve"> PAGEREF _Toc1984 </w:instrText>
      </w:r>
      <w:r>
        <w:fldChar w:fldCharType="separate"/>
      </w:r>
      <w:r>
        <w:t>- 17 -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_Toc18453 </w:instrText>
      </w:r>
      <w:r>
        <w:rPr>
          <w:rFonts w:ascii="仿宋" w:hAnsi="仿宋" w:eastAsia="仿宋"/>
        </w:rPr>
        <w:fldChar w:fldCharType="separate"/>
      </w:r>
      <w:r>
        <w:rPr>
          <w:rFonts w:hint="default" w:ascii="方正楷体_GBK" w:hAnsi="方正楷体_GBK" w:eastAsia="方正楷体_GBK" w:cs="方正楷体_GBK"/>
          <w:szCs w:val="33"/>
        </w:rPr>
        <w:t>（二）红果乡预算整日支出性质、用途和主要内容</w:t>
      </w:r>
      <w:r>
        <w:tab/>
      </w:r>
      <w:r>
        <w:fldChar w:fldCharType="begin"/>
      </w:r>
      <w:r>
        <w:instrText xml:space="preserve"> PAGEREF _Toc18453 </w:instrText>
      </w:r>
      <w:r>
        <w:fldChar w:fldCharType="separate"/>
      </w:r>
      <w:r>
        <w:t>- 17 -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_Toc4669 </w:instrText>
      </w:r>
      <w:r>
        <w:rPr>
          <w:rFonts w:ascii="仿宋" w:hAnsi="仿宋" w:eastAsia="仿宋"/>
        </w:rPr>
        <w:fldChar w:fldCharType="separate"/>
      </w:r>
      <w:r>
        <w:rPr>
          <w:rFonts w:hint="default" w:ascii="方正黑体_GBK" w:hAnsi="方正黑体_GBK" w:eastAsia="方正黑体_GBK" w:cs="方正黑体_GBK"/>
          <w:bCs w:val="0"/>
          <w:szCs w:val="33"/>
        </w:rPr>
        <w:t>二、项目资金使用及管理情况</w:t>
      </w:r>
      <w:r>
        <w:tab/>
      </w:r>
      <w:r>
        <w:fldChar w:fldCharType="begin"/>
      </w:r>
      <w:r>
        <w:instrText xml:space="preserve"> PAGEREF _Toc4669 </w:instrText>
      </w:r>
      <w:r>
        <w:fldChar w:fldCharType="separate"/>
      </w:r>
      <w:r>
        <w:t>- 18 -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_Toc22058 </w:instrText>
      </w:r>
      <w:r>
        <w:rPr>
          <w:rFonts w:ascii="仿宋" w:hAnsi="仿宋" w:eastAsia="仿宋"/>
        </w:rPr>
        <w:fldChar w:fldCharType="separate"/>
      </w:r>
      <w:r>
        <w:rPr>
          <w:rFonts w:hint="default" w:ascii="方正楷体_GBK" w:hAnsi="方正楷体_GBK" w:eastAsia="方正楷体_GBK" w:cs="方正楷体_GBK"/>
          <w:szCs w:val="33"/>
        </w:rPr>
        <w:t>（一）项目资金到位情况分析</w:t>
      </w:r>
      <w:r>
        <w:tab/>
      </w:r>
      <w:r>
        <w:fldChar w:fldCharType="begin"/>
      </w:r>
      <w:r>
        <w:instrText xml:space="preserve"> PAGEREF _Toc22058 </w:instrText>
      </w:r>
      <w:r>
        <w:fldChar w:fldCharType="separate"/>
      </w:r>
      <w:r>
        <w:t>- 18 -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_Toc32144 </w:instrText>
      </w:r>
      <w:r>
        <w:rPr>
          <w:rFonts w:ascii="仿宋" w:hAnsi="仿宋" w:eastAsia="仿宋"/>
        </w:rPr>
        <w:fldChar w:fldCharType="separate"/>
      </w:r>
      <w:r>
        <w:rPr>
          <w:rFonts w:hint="default" w:ascii="方正楷体_GBK" w:hAnsi="方正楷体_GBK" w:eastAsia="方正楷体_GBK" w:cs="方正楷体_GBK"/>
          <w:szCs w:val="33"/>
        </w:rPr>
        <w:t>（二）项目自己使用情况分析</w:t>
      </w:r>
      <w:r>
        <w:tab/>
      </w:r>
      <w:r>
        <w:fldChar w:fldCharType="begin"/>
      </w:r>
      <w:r>
        <w:instrText xml:space="preserve"> PAGEREF _Toc32144 </w:instrText>
      </w:r>
      <w:r>
        <w:fldChar w:fldCharType="separate"/>
      </w:r>
      <w:r>
        <w:t>- 18 -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_Toc24835 </w:instrText>
      </w:r>
      <w:r>
        <w:rPr>
          <w:rFonts w:ascii="仿宋" w:hAnsi="仿宋" w:eastAsia="仿宋"/>
        </w:rPr>
        <w:fldChar w:fldCharType="separate"/>
      </w:r>
      <w:r>
        <w:rPr>
          <w:rFonts w:hint="default" w:ascii="方正楷体_GBK" w:hAnsi="方正楷体_GBK" w:eastAsia="方正楷体_GBK" w:cs="方正楷体_GBK"/>
          <w:szCs w:val="33"/>
        </w:rPr>
        <w:t>（三）项目资金管理情况</w:t>
      </w:r>
      <w:r>
        <w:tab/>
      </w:r>
      <w:r>
        <w:fldChar w:fldCharType="begin"/>
      </w:r>
      <w:r>
        <w:instrText xml:space="preserve"> PAGEREF _Toc24835 </w:instrText>
      </w:r>
      <w:r>
        <w:fldChar w:fldCharType="separate"/>
      </w:r>
      <w:r>
        <w:t>- 18 -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_Toc14511 </w:instrText>
      </w:r>
      <w:r>
        <w:rPr>
          <w:rFonts w:ascii="仿宋" w:hAnsi="仿宋" w:eastAsia="仿宋"/>
        </w:rPr>
        <w:fldChar w:fldCharType="separate"/>
      </w:r>
      <w:r>
        <w:rPr>
          <w:rFonts w:hint="default" w:ascii="方正黑体_GBK" w:hAnsi="方正黑体_GBK" w:eastAsia="方正黑体_GBK" w:cs="方正黑体_GBK"/>
          <w:bCs w:val="0"/>
          <w:szCs w:val="33"/>
        </w:rPr>
        <w:t>三、项目绩效情况</w:t>
      </w:r>
      <w:r>
        <w:tab/>
      </w:r>
      <w:r>
        <w:fldChar w:fldCharType="begin"/>
      </w:r>
      <w:r>
        <w:instrText xml:space="preserve"> PAGEREF _Toc14511 </w:instrText>
      </w:r>
      <w:r>
        <w:fldChar w:fldCharType="separate"/>
      </w:r>
      <w:r>
        <w:t>- 18 -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_Toc22510 </w:instrText>
      </w:r>
      <w:r>
        <w:rPr>
          <w:rFonts w:ascii="仿宋" w:hAnsi="仿宋" w:eastAsia="仿宋"/>
        </w:rPr>
        <w:fldChar w:fldCharType="separate"/>
      </w:r>
      <w:r>
        <w:rPr>
          <w:rFonts w:hint="default" w:ascii="方正楷体_GBK" w:hAnsi="方正楷体_GBK" w:eastAsia="方正楷体_GBK" w:cs="方正楷体_GBK"/>
          <w:bCs/>
          <w:kern w:val="2"/>
          <w:szCs w:val="33"/>
          <w:lang w:val="en-US" w:eastAsia="zh-CN" w:bidi="ar-SA"/>
        </w:rPr>
        <w:t>（一）项目的实施进度</w:t>
      </w:r>
      <w:r>
        <w:tab/>
      </w:r>
      <w:r>
        <w:fldChar w:fldCharType="begin"/>
      </w:r>
      <w:r>
        <w:instrText xml:space="preserve"> PAGEREF _Toc22510 </w:instrText>
      </w:r>
      <w:r>
        <w:fldChar w:fldCharType="separate"/>
      </w:r>
      <w:r>
        <w:t>- 18 -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_Toc8610 </w:instrText>
      </w:r>
      <w:r>
        <w:rPr>
          <w:rFonts w:ascii="仿宋" w:hAnsi="仿宋" w:eastAsia="仿宋"/>
        </w:rPr>
        <w:fldChar w:fldCharType="separate"/>
      </w:r>
      <w:r>
        <w:rPr>
          <w:rFonts w:hint="default" w:ascii="方正楷体_GBK" w:hAnsi="方正楷体_GBK" w:eastAsia="方正楷体_GBK" w:cs="方正楷体_GBK"/>
          <w:szCs w:val="33"/>
        </w:rPr>
        <w:t>（二）项目的效益性分析</w:t>
      </w:r>
      <w:r>
        <w:tab/>
      </w:r>
      <w:r>
        <w:fldChar w:fldCharType="begin"/>
      </w:r>
      <w:r>
        <w:instrText xml:space="preserve"> PAGEREF _Toc8610 </w:instrText>
      </w:r>
      <w:r>
        <w:fldChar w:fldCharType="separate"/>
      </w:r>
      <w:r>
        <w:t>- 19 -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_Toc22258 </w:instrText>
      </w:r>
      <w:r>
        <w:rPr>
          <w:rFonts w:ascii="仿宋" w:hAnsi="仿宋" w:eastAsia="仿宋"/>
        </w:rPr>
        <w:fldChar w:fldCharType="separate"/>
      </w:r>
      <w:r>
        <w:rPr>
          <w:rFonts w:hint="eastAsia" w:ascii="方正黑体_GBK" w:hAnsi="方正黑体_GBK" w:eastAsia="方正黑体_GBK" w:cs="方正黑体_GBK"/>
          <w:bCs w:val="0"/>
          <w:szCs w:val="33"/>
          <w:lang w:eastAsia="zh-CN"/>
        </w:rPr>
        <w:t>四、</w:t>
      </w:r>
      <w:r>
        <w:rPr>
          <w:rFonts w:hint="default" w:ascii="方正黑体_GBK" w:hAnsi="方正黑体_GBK" w:eastAsia="方正黑体_GBK" w:cs="方正黑体_GBK"/>
          <w:bCs w:val="0"/>
          <w:szCs w:val="33"/>
        </w:rPr>
        <w:t>主要经验及做法、存在的问题和建议</w:t>
      </w:r>
      <w:r>
        <w:tab/>
      </w:r>
      <w:r>
        <w:fldChar w:fldCharType="begin"/>
      </w:r>
      <w:r>
        <w:instrText xml:space="preserve"> PAGEREF _Toc22258 </w:instrText>
      </w:r>
      <w:r>
        <w:fldChar w:fldCharType="separate"/>
      </w:r>
      <w:r>
        <w:t>- 20 -</w:t>
      </w:r>
      <w:r>
        <w:fldChar w:fldCharType="end"/>
      </w:r>
      <w:r>
        <w:rPr>
          <w:rFonts w:ascii="仿宋" w:hAnsi="仿宋" w:eastAsia="仿宋"/>
        </w:rPr>
        <w:fldChar w:fldCharType="end"/>
      </w:r>
    </w:p>
    <w:p>
      <w:pPr>
        <w:pStyle w:val="37"/>
        <w:tabs>
          <w:tab w:val="right" w:leader="dot" w:pos="8845"/>
        </w:tabs>
      </w:pP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_Toc12278 </w:instrText>
      </w:r>
      <w:r>
        <w:rPr>
          <w:rFonts w:ascii="仿宋" w:hAnsi="仿宋" w:eastAsia="仿宋"/>
        </w:rPr>
        <w:fldChar w:fldCharType="separate"/>
      </w:r>
      <w:r>
        <w:rPr>
          <w:rFonts w:hint="eastAsia" w:ascii="方正黑体_GBK" w:hAnsi="方正黑体_GBK" w:eastAsia="方正黑体_GBK" w:cs="方正黑体_GBK"/>
          <w:bCs w:val="0"/>
          <w:szCs w:val="33"/>
        </w:rPr>
        <w:t>一、项目基本情况</w:t>
      </w:r>
      <w:r>
        <w:tab/>
      </w:r>
      <w:r>
        <w:fldChar w:fldCharType="begin"/>
      </w:r>
      <w:r>
        <w:instrText xml:space="preserve"> PAGEREF _Toc12278 </w:instrText>
      </w:r>
      <w:r>
        <w:fldChar w:fldCharType="separate"/>
      </w:r>
      <w:r>
        <w:t>- 21 -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_Toc6820 </w:instrText>
      </w:r>
      <w:r>
        <w:rPr>
          <w:rFonts w:ascii="仿宋" w:hAnsi="仿宋" w:eastAsia="仿宋"/>
        </w:rPr>
        <w:fldChar w:fldCharType="separate"/>
      </w:r>
      <w:r>
        <w:rPr>
          <w:rFonts w:hint="eastAsia" w:ascii="方正楷体_GBK" w:hAnsi="方正楷体_GBK" w:eastAsia="方正楷体_GBK" w:cs="方正楷体_GBK"/>
          <w:szCs w:val="33"/>
        </w:rPr>
        <w:t>（一）理想背景</w:t>
      </w:r>
      <w:r>
        <w:tab/>
      </w:r>
      <w:r>
        <w:fldChar w:fldCharType="begin"/>
      </w:r>
      <w:r>
        <w:instrText xml:space="preserve"> PAGEREF _Toc6820 </w:instrText>
      </w:r>
      <w:r>
        <w:fldChar w:fldCharType="separate"/>
      </w:r>
      <w:r>
        <w:t>- 21 -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_Toc11409 </w:instrText>
      </w:r>
      <w:r>
        <w:rPr>
          <w:rFonts w:ascii="仿宋" w:hAnsi="仿宋" w:eastAsia="仿宋"/>
        </w:rPr>
        <w:fldChar w:fldCharType="separate"/>
      </w:r>
      <w:r>
        <w:rPr>
          <w:rFonts w:hint="default" w:ascii="方正楷体_GBK" w:hAnsi="方正楷体_GBK" w:eastAsia="方正楷体_GBK" w:cs="方正楷体_GBK"/>
          <w:szCs w:val="33"/>
        </w:rPr>
        <w:t>（二）项目绩效目标</w:t>
      </w:r>
      <w:r>
        <w:tab/>
      </w:r>
      <w:r>
        <w:fldChar w:fldCharType="begin"/>
      </w:r>
      <w:r>
        <w:instrText xml:space="preserve"> PAGEREF _Toc11409 </w:instrText>
      </w:r>
      <w:r>
        <w:fldChar w:fldCharType="separate"/>
      </w:r>
      <w:r>
        <w:t>- 21 -</w:t>
      </w:r>
      <w:r>
        <w:fldChar w:fldCharType="end"/>
      </w:r>
      <w:r>
        <w:rPr>
          <w:rFonts w:ascii="仿宋" w:hAnsi="仿宋" w:eastAsia="仿宋"/>
        </w:rPr>
        <w:fldChar w:fldCharType="end"/>
      </w:r>
    </w:p>
    <w:p>
      <w:pPr>
        <w:pStyle w:val="36"/>
        <w:tabs>
          <w:tab w:val="right" w:leader="dot" w:pos="8845"/>
        </w:tabs>
      </w:pPr>
      <w:r>
        <w:rPr>
          <w:rFonts w:ascii="仿宋" w:hAnsi="仿宋" w:eastAsia="仿宋"/>
        </w:rPr>
        <w:fldChar w:fldCharType="begin"/>
      </w:r>
      <w:r>
        <w:rPr>
          <w:rFonts w:ascii="仿宋" w:hAnsi="仿宋" w:eastAsia="仿宋"/>
        </w:rPr>
        <w:instrText xml:space="preserve"> HYPERLINK \l _Toc13170 </w:instrText>
      </w:r>
      <w:r>
        <w:rPr>
          <w:rFonts w:ascii="仿宋" w:hAnsi="仿宋" w:eastAsia="仿宋"/>
        </w:rPr>
        <w:fldChar w:fldCharType="separate"/>
      </w:r>
      <w:r>
        <w:rPr>
          <w:rFonts w:hint="eastAsia" w:ascii="方正小标宋_GBK" w:hAnsi="方正小标宋_GBK" w:eastAsia="方正小标宋_GBK" w:cs="方正小标宋_GBK"/>
          <w:szCs w:val="38"/>
        </w:rPr>
        <w:t>第三部分 名词解释</w:t>
      </w:r>
      <w:r>
        <w:tab/>
      </w:r>
      <w:r>
        <w:fldChar w:fldCharType="begin"/>
      </w:r>
      <w:r>
        <w:instrText xml:space="preserve"> PAGEREF _Toc13170 </w:instrText>
      </w:r>
      <w:r>
        <w:fldChar w:fldCharType="separate"/>
      </w:r>
      <w:r>
        <w:t>- 23 -</w:t>
      </w:r>
      <w:r>
        <w:fldChar w:fldCharType="end"/>
      </w:r>
      <w:r>
        <w:rPr>
          <w:rFonts w:ascii="仿宋" w:hAnsi="仿宋" w:eastAsia="仿宋"/>
        </w:rPr>
        <w:fldChar w:fldCharType="end"/>
      </w:r>
    </w:p>
    <w:p>
      <w:pPr>
        <w:pStyle w:val="36"/>
        <w:tabs>
          <w:tab w:val="right" w:leader="dot" w:pos="8845"/>
        </w:tabs>
      </w:pPr>
      <w:r>
        <w:rPr>
          <w:rFonts w:ascii="仿宋" w:hAnsi="仿宋" w:eastAsia="仿宋"/>
        </w:rPr>
        <w:fldChar w:fldCharType="begin"/>
      </w:r>
      <w:r>
        <w:rPr>
          <w:rFonts w:ascii="仿宋" w:hAnsi="仿宋" w:eastAsia="仿宋"/>
        </w:rPr>
        <w:instrText xml:space="preserve"> HYPERLINK \l _Toc20864 </w:instrText>
      </w:r>
      <w:r>
        <w:rPr>
          <w:rFonts w:ascii="仿宋" w:hAnsi="仿宋" w:eastAsia="仿宋"/>
        </w:rPr>
        <w:fldChar w:fldCharType="separate"/>
      </w:r>
      <w:r>
        <w:rPr>
          <w:rFonts w:hint="eastAsia" w:ascii="方正小标宋_GBK" w:hAnsi="方正小标宋_GBK" w:eastAsia="方正小标宋_GBK" w:cs="方正小标宋_GBK"/>
        </w:rPr>
        <w:t>第四部分 附件</w:t>
      </w:r>
      <w:r>
        <w:tab/>
      </w:r>
      <w:r>
        <w:fldChar w:fldCharType="begin"/>
      </w:r>
      <w:r>
        <w:instrText xml:space="preserve"> PAGEREF _Toc20864 </w:instrText>
      </w:r>
      <w:r>
        <w:fldChar w:fldCharType="separate"/>
      </w:r>
      <w:r>
        <w:t>- 26 -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_Toc26741 </w:instrText>
      </w:r>
      <w:r>
        <w:rPr>
          <w:rFonts w:ascii="仿宋" w:hAnsi="仿宋" w:eastAsia="仿宋"/>
        </w:rPr>
        <w:fldChar w:fldCharType="separate"/>
      </w:r>
      <w:r>
        <w:rPr>
          <w:rFonts w:hint="eastAsia" w:ascii="方正黑体_GBK" w:hAnsi="方正黑体_GBK" w:eastAsia="方正黑体_GBK" w:cs="方正黑体_GBK"/>
          <w:bCs w:val="0"/>
          <w:szCs w:val="33"/>
        </w:rPr>
        <w:t>一、部门概况</w:t>
      </w:r>
      <w:r>
        <w:tab/>
      </w:r>
      <w:r>
        <w:fldChar w:fldCharType="begin"/>
      </w:r>
      <w:r>
        <w:instrText xml:space="preserve"> PAGEREF _Toc26741 </w:instrText>
      </w:r>
      <w:r>
        <w:fldChar w:fldCharType="separate"/>
      </w:r>
      <w:r>
        <w:t>- 26 -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_Toc29866 </w:instrText>
      </w:r>
      <w:r>
        <w:rPr>
          <w:rFonts w:ascii="仿宋" w:hAnsi="仿宋" w:eastAsia="仿宋"/>
        </w:rPr>
        <w:fldChar w:fldCharType="separate"/>
      </w:r>
      <w:r>
        <w:rPr>
          <w:rFonts w:hint="eastAsia" w:ascii="方正楷体_GBK" w:hAnsi="方正楷体_GBK" w:eastAsia="方正楷体_GBK" w:cs="方正楷体_GBK"/>
          <w:kern w:val="0"/>
          <w:szCs w:val="33"/>
          <w:shd w:val="clear" w:color="auto" w:fill="FFFFFF"/>
          <w:lang w:val="zh-CN"/>
        </w:rPr>
        <w:t>（一）机构组成</w:t>
      </w:r>
      <w:r>
        <w:tab/>
      </w:r>
      <w:r>
        <w:fldChar w:fldCharType="begin"/>
      </w:r>
      <w:r>
        <w:instrText xml:space="preserve"> PAGEREF _Toc29866 </w:instrText>
      </w:r>
      <w:r>
        <w:fldChar w:fldCharType="separate"/>
      </w:r>
      <w:r>
        <w:t>- 26 -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_Toc12158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（二）机构职能</w:t>
      </w:r>
      <w:r>
        <w:tab/>
      </w:r>
      <w:r>
        <w:fldChar w:fldCharType="begin"/>
      </w:r>
      <w:r>
        <w:instrText xml:space="preserve"> PAGEREF _Toc12158 </w:instrText>
      </w:r>
      <w:r>
        <w:fldChar w:fldCharType="separate"/>
      </w:r>
      <w:r>
        <w:t>- 26 -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_Toc10397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w:t>
      </w:r>
      <w:r>
        <w:rPr>
          <w:rFonts w:hint="eastAsia" w:ascii="方正楷体_GBK" w:hAnsi="方正楷体_GBK" w:eastAsia="方正楷体_GBK" w:cs="方正楷体_GBK"/>
          <w:kern w:val="0"/>
          <w:szCs w:val="33"/>
          <w:shd w:val="clear" w:color="auto" w:fill="FFFFFF"/>
          <w:lang w:val="zh-CN"/>
        </w:rPr>
        <w:t>三</w:t>
      </w:r>
      <w:r>
        <w:rPr>
          <w:rFonts w:hint="default" w:ascii="方正楷体_GBK" w:hAnsi="方正楷体_GBK" w:eastAsia="方正楷体_GBK" w:cs="方正楷体_GBK"/>
          <w:kern w:val="0"/>
          <w:szCs w:val="33"/>
          <w:shd w:val="clear" w:color="auto" w:fill="FFFFFF"/>
          <w:lang w:val="zh-CN"/>
        </w:rPr>
        <w:t>）人员概况</w:t>
      </w:r>
      <w:r>
        <w:tab/>
      </w:r>
      <w:r>
        <w:fldChar w:fldCharType="begin"/>
      </w:r>
      <w:r>
        <w:instrText xml:space="preserve"> PAGEREF _Toc10397 </w:instrText>
      </w:r>
      <w:r>
        <w:fldChar w:fldCharType="separate"/>
      </w:r>
      <w:r>
        <w:t>- 28 -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_Toc10394 </w:instrText>
      </w:r>
      <w:r>
        <w:rPr>
          <w:rFonts w:ascii="仿宋" w:hAnsi="仿宋" w:eastAsia="仿宋"/>
        </w:rPr>
        <w:fldChar w:fldCharType="separate"/>
      </w:r>
      <w:r>
        <w:rPr>
          <w:rFonts w:hint="default" w:ascii="方正黑体_GBK" w:hAnsi="方正黑体_GBK" w:eastAsia="方正黑体_GBK" w:cs="方正黑体_GBK"/>
          <w:bCs w:val="0"/>
          <w:szCs w:val="33"/>
        </w:rPr>
        <w:t>二、部门资金基本情况</w:t>
      </w:r>
      <w:r>
        <w:tab/>
      </w:r>
      <w:r>
        <w:fldChar w:fldCharType="begin"/>
      </w:r>
      <w:r>
        <w:instrText xml:space="preserve"> PAGEREF _Toc10394 </w:instrText>
      </w:r>
      <w:r>
        <w:fldChar w:fldCharType="separate"/>
      </w:r>
      <w:r>
        <w:t>- 28 -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_Toc28163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（一）年初部门预算安排及支出情况</w:t>
      </w:r>
      <w:r>
        <w:tab/>
      </w:r>
      <w:r>
        <w:fldChar w:fldCharType="begin"/>
      </w:r>
      <w:r>
        <w:instrText xml:space="preserve"> PAGEREF _Toc28163 </w:instrText>
      </w:r>
      <w:r>
        <w:fldChar w:fldCharType="separate"/>
      </w:r>
      <w:r>
        <w:t>- 28 -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_Toc30556 </w:instrText>
      </w:r>
      <w:r>
        <w:rPr>
          <w:rFonts w:ascii="仿宋" w:hAnsi="仿宋" w:eastAsia="仿宋"/>
        </w:rPr>
        <w:fldChar w:fldCharType="separate"/>
      </w:r>
      <w:r>
        <w:rPr>
          <w:rFonts w:hint="eastAsia" w:ascii="方正黑体_GBK" w:hAnsi="方正黑体_GBK" w:eastAsia="方正黑体_GBK" w:cs="方正黑体_GBK"/>
          <w:bCs w:val="0"/>
          <w:szCs w:val="33"/>
        </w:rPr>
        <w:t>三、绩效目标完成情况分析</w:t>
      </w:r>
      <w:r>
        <w:tab/>
      </w:r>
      <w:r>
        <w:fldChar w:fldCharType="begin"/>
      </w:r>
      <w:r>
        <w:instrText xml:space="preserve"> PAGEREF _Toc30556 </w:instrText>
      </w:r>
      <w:r>
        <w:fldChar w:fldCharType="separate"/>
      </w:r>
      <w:r>
        <w:t>- 30 -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_Toc4485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（一）县级财政资金绩效目标完成情况</w:t>
      </w:r>
      <w:r>
        <w:tab/>
      </w:r>
      <w:r>
        <w:fldChar w:fldCharType="begin"/>
      </w:r>
      <w:r>
        <w:instrText xml:space="preserve"> PAGEREF _Toc4485 </w:instrText>
      </w:r>
      <w:r>
        <w:fldChar w:fldCharType="separate"/>
      </w:r>
      <w:r>
        <w:t>- 30 -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_Toc6046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（二）上级专项（项目）资金绩效目标完成情况</w:t>
      </w:r>
      <w:r>
        <w:tab/>
      </w:r>
      <w:r>
        <w:fldChar w:fldCharType="begin"/>
      </w:r>
      <w:r>
        <w:instrText xml:space="preserve"> PAGEREF _Toc6046 </w:instrText>
      </w:r>
      <w:r>
        <w:fldChar w:fldCharType="separate"/>
      </w:r>
      <w:r>
        <w:t>- 32 -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_Toc25096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（三）其他需要说明的情况</w:t>
      </w:r>
      <w:r>
        <w:tab/>
      </w:r>
      <w:r>
        <w:fldChar w:fldCharType="begin"/>
      </w:r>
      <w:r>
        <w:instrText xml:space="preserve"> PAGEREF _Toc25096 </w:instrText>
      </w:r>
      <w:r>
        <w:fldChar w:fldCharType="separate"/>
      </w:r>
      <w:r>
        <w:t>- 33 -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_Toc7517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（四）自评结论</w:t>
      </w:r>
      <w:r>
        <w:tab/>
      </w:r>
      <w:r>
        <w:fldChar w:fldCharType="begin"/>
      </w:r>
      <w:r>
        <w:instrText xml:space="preserve"> PAGEREF _Toc7517 </w:instrText>
      </w:r>
      <w:r>
        <w:fldChar w:fldCharType="separate"/>
      </w:r>
      <w:r>
        <w:t>- 33 -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_Toc18836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（五）偏离绩效目标的原因和下一步改进措施</w:t>
      </w:r>
      <w:r>
        <w:tab/>
      </w:r>
      <w:r>
        <w:fldChar w:fldCharType="begin"/>
      </w:r>
      <w:r>
        <w:instrText xml:space="preserve"> PAGEREF _Toc18836 </w:instrText>
      </w:r>
      <w:r>
        <w:fldChar w:fldCharType="separate"/>
      </w:r>
      <w:r>
        <w:t>- 33 -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_Toc24696 </w:instrText>
      </w:r>
      <w:r>
        <w:rPr>
          <w:rFonts w:ascii="仿宋" w:hAnsi="仿宋" w:eastAsia="仿宋"/>
        </w:rPr>
        <w:fldChar w:fldCharType="separate"/>
      </w:r>
      <w:r>
        <w:rPr>
          <w:rFonts w:hint="default" w:ascii="方正黑体_GBK" w:hAnsi="方正黑体_GBK" w:eastAsia="方正黑体_GBK" w:cs="方正黑体_GBK"/>
          <w:bCs w:val="0"/>
          <w:szCs w:val="33"/>
        </w:rPr>
        <w:t>四、绩效自评结果拟应用和公开公示情况</w:t>
      </w:r>
      <w:r>
        <w:tab/>
      </w:r>
      <w:r>
        <w:fldChar w:fldCharType="begin"/>
      </w:r>
      <w:r>
        <w:instrText xml:space="preserve"> PAGEREF _Toc24696 </w:instrText>
      </w:r>
      <w:r>
        <w:fldChar w:fldCharType="separate"/>
      </w:r>
      <w:r>
        <w:t>- 34 -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_Toc26273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（一）绩效自评结果拟应用</w:t>
      </w:r>
      <w:r>
        <w:tab/>
      </w:r>
      <w:r>
        <w:fldChar w:fldCharType="begin"/>
      </w:r>
      <w:r>
        <w:instrText xml:space="preserve"> PAGEREF _Toc26273 </w:instrText>
      </w:r>
      <w:r>
        <w:fldChar w:fldCharType="separate"/>
      </w:r>
      <w:r>
        <w:t>- 34 -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_Toc23381 </w:instrText>
      </w:r>
      <w:r>
        <w:rPr>
          <w:rFonts w:ascii="仿宋" w:hAnsi="仿宋" w:eastAsia="仿宋"/>
        </w:rPr>
        <w:fldChar w:fldCharType="separate"/>
      </w:r>
      <w:r>
        <w:rPr>
          <w:rFonts w:hint="default" w:ascii="方正楷体_GBK" w:hAnsi="方正楷体_GBK" w:eastAsia="方正楷体_GBK" w:cs="方正楷体_GBK"/>
          <w:kern w:val="0"/>
          <w:szCs w:val="33"/>
          <w:shd w:val="clear" w:color="auto" w:fill="FFFFFF"/>
          <w:lang w:val="zh-CN"/>
        </w:rPr>
        <w:t>（二）公开公示情况</w:t>
      </w:r>
      <w:r>
        <w:tab/>
      </w:r>
      <w:r>
        <w:fldChar w:fldCharType="begin"/>
      </w:r>
      <w:r>
        <w:instrText xml:space="preserve"> PAGEREF _Toc23381 </w:instrText>
      </w:r>
      <w:r>
        <w:fldChar w:fldCharType="separate"/>
      </w:r>
      <w:r>
        <w:t>- 35 -</w:t>
      </w:r>
      <w:r>
        <w:fldChar w:fldCharType="end"/>
      </w:r>
      <w:r>
        <w:rPr>
          <w:rFonts w:ascii="仿宋" w:hAnsi="仿宋" w:eastAsia="仿宋"/>
        </w:rPr>
        <w:fldChar w:fldCharType="end"/>
      </w:r>
    </w:p>
    <w:p>
      <w:pPr>
        <w:pStyle w:val="36"/>
        <w:tabs>
          <w:tab w:val="right" w:leader="dot" w:pos="8845"/>
        </w:tabs>
      </w:pPr>
      <w:r>
        <w:rPr>
          <w:rFonts w:ascii="仿宋" w:hAnsi="仿宋" w:eastAsia="仿宋"/>
        </w:rPr>
        <w:fldChar w:fldCharType="begin"/>
      </w:r>
      <w:r>
        <w:rPr>
          <w:rFonts w:ascii="仿宋" w:hAnsi="仿宋" w:eastAsia="仿宋"/>
        </w:rPr>
        <w:instrText xml:space="preserve"> HYPERLINK \l _Toc28833 </w:instrText>
      </w:r>
      <w:r>
        <w:rPr>
          <w:rFonts w:ascii="仿宋" w:hAnsi="仿宋" w:eastAsia="仿宋"/>
        </w:rPr>
        <w:fldChar w:fldCharType="separate"/>
      </w:r>
      <w:r>
        <w:rPr>
          <w:rFonts w:hint="default" w:ascii="Times New Roman" w:hAnsi="Times New Roman" w:eastAsia="方正小标宋_GBK" w:cs="Times New Roman"/>
          <w:kern w:val="0"/>
          <w:szCs w:val="38"/>
        </w:rPr>
        <w:t>购买垃圾车</w:t>
      </w:r>
      <w:r>
        <w:rPr>
          <w:rFonts w:hint="default" w:ascii="Times New Roman" w:hAnsi="Times New Roman" w:eastAsia="方正小标宋_GBK" w:cs="Times New Roman"/>
          <w:kern w:val="0"/>
          <w:szCs w:val="38"/>
          <w:lang w:val="zh-CN"/>
        </w:rPr>
        <w:t>项目</w:t>
      </w:r>
      <w:r>
        <w:rPr>
          <w:rFonts w:hint="default" w:ascii="Times New Roman" w:hAnsi="Times New Roman" w:eastAsia="方正小标宋_GBK" w:cs="Times New Roman"/>
          <w:kern w:val="0"/>
          <w:szCs w:val="38"/>
        </w:rPr>
        <w:t>2019年</w:t>
      </w:r>
      <w:r>
        <w:rPr>
          <w:rFonts w:hint="default" w:ascii="Times New Roman" w:hAnsi="Times New Roman" w:eastAsia="方正小标宋_GBK" w:cs="Times New Roman"/>
          <w:kern w:val="0"/>
          <w:szCs w:val="38"/>
          <w:lang w:val="zh-CN"/>
        </w:rPr>
        <w:t>绩效评价报告</w:t>
      </w:r>
      <w:r>
        <w:tab/>
      </w:r>
      <w:r>
        <w:fldChar w:fldCharType="begin"/>
      </w:r>
      <w:r>
        <w:instrText xml:space="preserve"> PAGEREF _Toc28833 </w:instrText>
      </w:r>
      <w:r>
        <w:fldChar w:fldCharType="separate"/>
      </w:r>
      <w:r>
        <w:t>- 36 -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_Toc31669 </w:instrText>
      </w:r>
      <w:r>
        <w:rPr>
          <w:rFonts w:ascii="仿宋" w:hAnsi="仿宋" w:eastAsia="仿宋"/>
        </w:rPr>
        <w:fldChar w:fldCharType="separate"/>
      </w:r>
      <w:r>
        <w:rPr>
          <w:rFonts w:hint="eastAsia" w:ascii="方正黑体_GBK" w:hAnsi="方正黑体_GBK" w:eastAsia="方正黑体_GBK" w:cs="方正黑体_GBK"/>
          <w:szCs w:val="33"/>
        </w:rPr>
        <w:t>一、项目基本情况</w:t>
      </w:r>
      <w:r>
        <w:tab/>
      </w:r>
      <w:r>
        <w:fldChar w:fldCharType="begin"/>
      </w:r>
      <w:r>
        <w:instrText xml:space="preserve"> PAGEREF _Toc31669 </w:instrText>
      </w:r>
      <w:r>
        <w:fldChar w:fldCharType="separate"/>
      </w:r>
      <w:r>
        <w:t>- 36 -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_Toc18940 </w:instrText>
      </w:r>
      <w:r>
        <w:rPr>
          <w:rFonts w:ascii="仿宋" w:hAnsi="仿宋" w:eastAsia="仿宋"/>
        </w:rPr>
        <w:fldChar w:fldCharType="separate"/>
      </w:r>
      <w:r>
        <w:rPr>
          <w:rFonts w:hint="default" w:ascii="方正楷体_GBK" w:hAnsi="方正楷体_GBK" w:eastAsia="方正楷体_GBK" w:cs="方正楷体_GBK"/>
          <w:szCs w:val="33"/>
        </w:rPr>
        <w:t>（一）理想背景</w:t>
      </w:r>
      <w:r>
        <w:tab/>
      </w:r>
      <w:r>
        <w:fldChar w:fldCharType="begin"/>
      </w:r>
      <w:r>
        <w:instrText xml:space="preserve"> PAGEREF _Toc18940 </w:instrText>
      </w:r>
      <w:r>
        <w:fldChar w:fldCharType="separate"/>
      </w:r>
      <w:r>
        <w:t>- 36 -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_Toc24396 </w:instrText>
      </w:r>
      <w:r>
        <w:rPr>
          <w:rFonts w:ascii="仿宋" w:hAnsi="仿宋" w:eastAsia="仿宋"/>
        </w:rPr>
        <w:fldChar w:fldCharType="separate"/>
      </w:r>
      <w:r>
        <w:rPr>
          <w:rFonts w:hint="default" w:ascii="方正楷体_GBK" w:hAnsi="方正楷体_GBK" w:eastAsia="方正楷体_GBK" w:cs="方正楷体_GBK"/>
          <w:szCs w:val="33"/>
        </w:rPr>
        <w:t>（二）立项目的</w:t>
      </w:r>
      <w:r>
        <w:tab/>
      </w:r>
      <w:r>
        <w:fldChar w:fldCharType="begin"/>
      </w:r>
      <w:r>
        <w:instrText xml:space="preserve"> PAGEREF _Toc24396 </w:instrText>
      </w:r>
      <w:r>
        <w:fldChar w:fldCharType="separate"/>
      </w:r>
      <w:r>
        <w:t>- 36 -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_Toc29409 </w:instrText>
      </w:r>
      <w:r>
        <w:rPr>
          <w:rFonts w:ascii="仿宋" w:hAnsi="仿宋" w:eastAsia="仿宋"/>
        </w:rPr>
        <w:fldChar w:fldCharType="separate"/>
      </w:r>
      <w:r>
        <w:rPr>
          <w:rFonts w:hint="default" w:ascii="方正黑体_GBK" w:hAnsi="方正黑体_GBK" w:eastAsia="方正黑体_GBK" w:cs="方正黑体_GBK"/>
          <w:szCs w:val="33"/>
        </w:rPr>
        <w:t>二、资金使用情况</w:t>
      </w:r>
      <w:r>
        <w:tab/>
      </w:r>
      <w:r>
        <w:fldChar w:fldCharType="begin"/>
      </w:r>
      <w:r>
        <w:instrText xml:space="preserve"> PAGEREF _Toc29409 </w:instrText>
      </w:r>
      <w:r>
        <w:fldChar w:fldCharType="separate"/>
      </w:r>
      <w:r>
        <w:t>- 36 -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_Toc457 </w:instrText>
      </w:r>
      <w:r>
        <w:rPr>
          <w:rFonts w:ascii="仿宋" w:hAnsi="仿宋" w:eastAsia="仿宋"/>
        </w:rPr>
        <w:fldChar w:fldCharType="separate"/>
      </w:r>
      <w:r>
        <w:rPr>
          <w:rFonts w:hint="default" w:ascii="方正黑体_GBK" w:hAnsi="方正黑体_GBK" w:eastAsia="方正黑体_GBK" w:cs="方正黑体_GBK"/>
          <w:szCs w:val="33"/>
        </w:rPr>
        <w:t>三、项目绩效目标</w:t>
      </w:r>
      <w:r>
        <w:tab/>
      </w:r>
      <w:r>
        <w:fldChar w:fldCharType="begin"/>
      </w:r>
      <w:r>
        <w:instrText xml:space="preserve"> PAGEREF _Toc457 </w:instrText>
      </w:r>
      <w:r>
        <w:fldChar w:fldCharType="separate"/>
      </w:r>
      <w:r>
        <w:t>- 37 -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_Toc27534 </w:instrText>
      </w:r>
      <w:r>
        <w:rPr>
          <w:rFonts w:ascii="仿宋" w:hAnsi="仿宋" w:eastAsia="仿宋"/>
        </w:rPr>
        <w:fldChar w:fldCharType="separate"/>
      </w:r>
      <w:r>
        <w:rPr>
          <w:rFonts w:hint="default" w:ascii="方正楷体_GBK" w:hAnsi="方正楷体_GBK" w:eastAsia="方正楷体_GBK" w:cs="方正楷体_GBK"/>
          <w:szCs w:val="33"/>
        </w:rPr>
        <w:t>（一）项目绩效总体目标</w:t>
      </w:r>
      <w:r>
        <w:tab/>
      </w:r>
      <w:r>
        <w:fldChar w:fldCharType="begin"/>
      </w:r>
      <w:r>
        <w:instrText xml:space="preserve"> PAGEREF _Toc27534 </w:instrText>
      </w:r>
      <w:r>
        <w:fldChar w:fldCharType="separate"/>
      </w:r>
      <w:r>
        <w:t>- 37 -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_Toc20598 </w:instrText>
      </w:r>
      <w:r>
        <w:rPr>
          <w:rFonts w:ascii="仿宋" w:hAnsi="仿宋" w:eastAsia="仿宋"/>
        </w:rPr>
        <w:fldChar w:fldCharType="separate"/>
      </w:r>
      <w:r>
        <w:rPr>
          <w:rFonts w:hint="default" w:ascii="方正楷体_GBK" w:hAnsi="方正楷体_GBK" w:eastAsia="方正楷体_GBK" w:cs="方正楷体_GBK"/>
          <w:szCs w:val="33"/>
        </w:rPr>
        <w:t>（二）项目年度绩效目标</w:t>
      </w:r>
      <w:r>
        <w:tab/>
      </w:r>
      <w:r>
        <w:fldChar w:fldCharType="begin"/>
      </w:r>
      <w:r>
        <w:instrText xml:space="preserve"> PAGEREF _Toc20598 </w:instrText>
      </w:r>
      <w:r>
        <w:fldChar w:fldCharType="separate"/>
      </w:r>
      <w:r>
        <w:t>- 37 -</w:t>
      </w:r>
      <w:r>
        <w:fldChar w:fldCharType="end"/>
      </w:r>
      <w:r>
        <w:rPr>
          <w:rFonts w:ascii="仿宋" w:hAnsi="仿宋" w:eastAsia="仿宋"/>
        </w:rPr>
        <w:fldChar w:fldCharType="end"/>
      </w:r>
    </w:p>
    <w:p>
      <w:pPr>
        <w:pStyle w:val="38"/>
        <w:tabs>
          <w:tab w:val="right" w:leader="dot" w:pos="8845"/>
        </w:tabs>
      </w:pPr>
      <w:r>
        <w:rPr>
          <w:rFonts w:ascii="仿宋" w:hAnsi="仿宋" w:eastAsia="仿宋"/>
        </w:rPr>
        <w:fldChar w:fldCharType="begin"/>
      </w:r>
      <w:r>
        <w:rPr>
          <w:rFonts w:ascii="仿宋" w:hAnsi="仿宋" w:eastAsia="仿宋"/>
        </w:rPr>
        <w:instrText xml:space="preserve"> HYPERLINK \l _Toc18951 </w:instrText>
      </w:r>
      <w:r>
        <w:rPr>
          <w:rFonts w:ascii="仿宋" w:hAnsi="仿宋" w:eastAsia="仿宋"/>
        </w:rPr>
        <w:fldChar w:fldCharType="separate"/>
      </w:r>
      <w:r>
        <w:rPr>
          <w:rFonts w:hint="eastAsia" w:ascii="方正楷体_GBK" w:hAnsi="方正楷体_GBK" w:eastAsia="方正楷体_GBK" w:cs="方正楷体_GBK"/>
          <w:szCs w:val="33"/>
        </w:rPr>
        <w:t>（三）项目资金管理情况</w:t>
      </w:r>
      <w:r>
        <w:tab/>
      </w:r>
      <w:r>
        <w:fldChar w:fldCharType="begin"/>
      </w:r>
      <w:r>
        <w:instrText xml:space="preserve"> PAGEREF _Toc18951 </w:instrText>
      </w:r>
      <w:r>
        <w:fldChar w:fldCharType="separate"/>
      </w:r>
      <w:r>
        <w:t>- 37 -</w:t>
      </w:r>
      <w:r>
        <w:fldChar w:fldCharType="end"/>
      </w:r>
      <w:r>
        <w:rPr>
          <w:rFonts w:ascii="仿宋" w:hAnsi="仿宋" w:eastAsia="仿宋"/>
        </w:rPr>
        <w:fldChar w:fldCharType="end"/>
      </w:r>
    </w:p>
    <w:p>
      <w:pPr>
        <w:pStyle w:val="36"/>
        <w:tabs>
          <w:tab w:val="right" w:leader="dot" w:pos="8845"/>
        </w:tabs>
      </w:pPr>
      <w:r>
        <w:rPr>
          <w:rFonts w:ascii="仿宋" w:hAnsi="仿宋" w:eastAsia="仿宋"/>
        </w:rPr>
        <w:fldChar w:fldCharType="begin"/>
      </w:r>
      <w:r>
        <w:rPr>
          <w:rFonts w:ascii="仿宋" w:hAnsi="仿宋" w:eastAsia="仿宋"/>
        </w:rPr>
        <w:instrText xml:space="preserve"> HYPERLINK \l _Toc9812 </w:instrText>
      </w:r>
      <w:r>
        <w:rPr>
          <w:rFonts w:ascii="仿宋" w:hAnsi="仿宋" w:eastAsia="仿宋"/>
        </w:rPr>
        <w:fldChar w:fldCharType="separate"/>
      </w:r>
      <w:r>
        <w:rPr>
          <w:rFonts w:hint="eastAsia" w:ascii="方正小标宋_GBK" w:hAnsi="方正小标宋_GBK" w:eastAsia="方正小标宋_GBK" w:cs="方正小标宋_GBK"/>
        </w:rPr>
        <w:t>第五部分 附表</w:t>
      </w:r>
      <w:r>
        <w:tab/>
      </w:r>
      <w:r>
        <w:fldChar w:fldCharType="begin"/>
      </w:r>
      <w:r>
        <w:instrText xml:space="preserve"> PAGEREF _Toc9812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_Toc8294 </w:instrText>
      </w:r>
      <w:r>
        <w:rPr>
          <w:rFonts w:ascii="仿宋" w:hAnsi="仿宋" w:eastAsia="仿宋"/>
        </w:rPr>
        <w:fldChar w:fldCharType="separate"/>
      </w:r>
      <w:r>
        <w:rPr>
          <w:rFonts w:hint="default" w:ascii="Times New Roman" w:hAnsi="Times New Roman" w:eastAsia="方正仿宋_GBK" w:cs="Times New Roman"/>
          <w:szCs w:val="33"/>
        </w:rPr>
        <w:t>一、收入支出决算总表</w:t>
      </w:r>
      <w:r>
        <w:tab/>
      </w:r>
      <w:r>
        <w:fldChar w:fldCharType="begin"/>
      </w:r>
      <w:r>
        <w:instrText xml:space="preserve"> PAGEREF _Toc8294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_Toc22960 </w:instrText>
      </w:r>
      <w:r>
        <w:rPr>
          <w:rFonts w:ascii="仿宋" w:hAnsi="仿宋" w:eastAsia="仿宋"/>
        </w:rPr>
        <w:fldChar w:fldCharType="separate"/>
      </w:r>
      <w:r>
        <w:rPr>
          <w:rFonts w:hint="default" w:ascii="Times New Roman" w:hAnsi="Times New Roman" w:eastAsia="方正仿宋_GBK" w:cs="Times New Roman"/>
          <w:szCs w:val="33"/>
        </w:rPr>
        <w:t>二、收入决算表</w:t>
      </w:r>
      <w:r>
        <w:tab/>
      </w:r>
      <w:r>
        <w:fldChar w:fldCharType="begin"/>
      </w:r>
      <w:r>
        <w:instrText xml:space="preserve"> PAGEREF _Toc22960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_Toc18820 </w:instrText>
      </w:r>
      <w:r>
        <w:rPr>
          <w:rFonts w:ascii="仿宋" w:hAnsi="仿宋" w:eastAsia="仿宋"/>
        </w:rPr>
        <w:fldChar w:fldCharType="separate"/>
      </w:r>
      <w:r>
        <w:rPr>
          <w:rFonts w:hint="default" w:ascii="Times New Roman" w:hAnsi="Times New Roman" w:eastAsia="方正仿宋_GBK" w:cs="Times New Roman"/>
          <w:szCs w:val="33"/>
        </w:rPr>
        <w:t>三、支出决算表</w:t>
      </w:r>
      <w:r>
        <w:tab/>
      </w:r>
      <w:r>
        <w:fldChar w:fldCharType="begin"/>
      </w:r>
      <w:r>
        <w:instrText xml:space="preserve"> PAGEREF _Toc18820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_Toc12383 </w:instrText>
      </w:r>
      <w:r>
        <w:rPr>
          <w:rFonts w:ascii="仿宋" w:hAnsi="仿宋" w:eastAsia="仿宋"/>
        </w:rPr>
        <w:fldChar w:fldCharType="separate"/>
      </w:r>
      <w:r>
        <w:rPr>
          <w:rFonts w:hint="default" w:ascii="Times New Roman" w:hAnsi="Times New Roman" w:eastAsia="方正仿宋_GBK" w:cs="Times New Roman"/>
          <w:szCs w:val="33"/>
        </w:rPr>
        <w:t>四、财政拨款收入支出决算总表</w:t>
      </w:r>
      <w:r>
        <w:tab/>
      </w:r>
      <w:r>
        <w:fldChar w:fldCharType="begin"/>
      </w:r>
      <w:r>
        <w:instrText xml:space="preserve"> PAGEREF _Toc12383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_Toc31870 </w:instrText>
      </w:r>
      <w:r>
        <w:rPr>
          <w:rFonts w:ascii="仿宋" w:hAnsi="仿宋" w:eastAsia="仿宋"/>
        </w:rPr>
        <w:fldChar w:fldCharType="separate"/>
      </w:r>
      <w:r>
        <w:rPr>
          <w:rFonts w:hint="default" w:ascii="Times New Roman" w:hAnsi="Times New Roman" w:eastAsia="方正仿宋_GBK" w:cs="Times New Roman"/>
          <w:szCs w:val="33"/>
        </w:rPr>
        <w:t>五、财政拨款支出决算明细表</w:t>
      </w:r>
      <w:r>
        <w:tab/>
      </w:r>
      <w:r>
        <w:fldChar w:fldCharType="begin"/>
      </w:r>
      <w:r>
        <w:instrText xml:space="preserve"> PAGEREF _Toc31870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_Toc27391 </w:instrText>
      </w:r>
      <w:r>
        <w:rPr>
          <w:rFonts w:ascii="仿宋" w:hAnsi="仿宋" w:eastAsia="仿宋"/>
        </w:rPr>
        <w:fldChar w:fldCharType="separate"/>
      </w:r>
      <w:r>
        <w:rPr>
          <w:rFonts w:hint="default" w:ascii="Times New Roman" w:hAnsi="Times New Roman" w:eastAsia="方正仿宋_GBK" w:cs="Times New Roman"/>
          <w:szCs w:val="33"/>
        </w:rPr>
        <w:t>六、一般公共预算财政拨款支出决算表</w:t>
      </w:r>
      <w:r>
        <w:tab/>
      </w:r>
      <w:r>
        <w:fldChar w:fldCharType="begin"/>
      </w:r>
      <w:r>
        <w:instrText xml:space="preserve"> PAGEREF _Toc27391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_Toc26640 </w:instrText>
      </w:r>
      <w:r>
        <w:rPr>
          <w:rFonts w:ascii="仿宋" w:hAnsi="仿宋" w:eastAsia="仿宋"/>
        </w:rPr>
        <w:fldChar w:fldCharType="separate"/>
      </w:r>
      <w:r>
        <w:rPr>
          <w:rFonts w:hint="default" w:ascii="Times New Roman" w:hAnsi="Times New Roman" w:eastAsia="方正仿宋_GBK" w:cs="Times New Roman"/>
          <w:szCs w:val="33"/>
        </w:rPr>
        <w:t>七、一般公共预算财政拨款支出决算明细表</w:t>
      </w:r>
      <w:r>
        <w:tab/>
      </w:r>
      <w:r>
        <w:fldChar w:fldCharType="begin"/>
      </w:r>
      <w:r>
        <w:instrText xml:space="preserve"> PAGEREF _Toc26640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_Toc5007 </w:instrText>
      </w:r>
      <w:r>
        <w:rPr>
          <w:rFonts w:ascii="仿宋" w:hAnsi="仿宋" w:eastAsia="仿宋"/>
        </w:rPr>
        <w:fldChar w:fldCharType="separate"/>
      </w:r>
      <w:r>
        <w:rPr>
          <w:rFonts w:hint="default" w:ascii="Times New Roman" w:hAnsi="Times New Roman" w:eastAsia="方正仿宋_GBK" w:cs="Times New Roman"/>
          <w:szCs w:val="33"/>
        </w:rPr>
        <w:t>八、一般公共预算财政拨款基本支出决算表</w:t>
      </w:r>
      <w:r>
        <w:tab/>
      </w:r>
      <w:r>
        <w:fldChar w:fldCharType="begin"/>
      </w:r>
      <w:r>
        <w:instrText xml:space="preserve"> PAGEREF _Toc5007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_Toc29610 </w:instrText>
      </w:r>
      <w:r>
        <w:rPr>
          <w:rFonts w:ascii="仿宋" w:hAnsi="仿宋" w:eastAsia="仿宋"/>
        </w:rPr>
        <w:fldChar w:fldCharType="separate"/>
      </w:r>
      <w:r>
        <w:rPr>
          <w:rFonts w:hint="default" w:ascii="Times New Roman" w:hAnsi="Times New Roman" w:eastAsia="方正仿宋_GBK" w:cs="Times New Roman"/>
          <w:szCs w:val="33"/>
        </w:rPr>
        <w:t>九、一般公共预算财政拨款项目支出决算表</w:t>
      </w:r>
      <w:r>
        <w:tab/>
      </w:r>
      <w:r>
        <w:fldChar w:fldCharType="begin"/>
      </w:r>
      <w:r>
        <w:instrText xml:space="preserve"> PAGEREF _Toc29610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_Toc2948 </w:instrText>
      </w:r>
      <w:r>
        <w:rPr>
          <w:rFonts w:ascii="仿宋" w:hAnsi="仿宋" w:eastAsia="仿宋"/>
        </w:rPr>
        <w:fldChar w:fldCharType="separate"/>
      </w:r>
      <w:r>
        <w:rPr>
          <w:rFonts w:hint="default" w:ascii="Times New Roman" w:hAnsi="Times New Roman" w:eastAsia="方正仿宋_GBK" w:cs="Times New Roman"/>
          <w:szCs w:val="33"/>
        </w:rPr>
        <w:t>十、一般公共预算财政拨款“三公”经费支出决算表</w:t>
      </w:r>
      <w:r>
        <w:tab/>
      </w:r>
      <w:r>
        <w:fldChar w:fldCharType="begin"/>
      </w:r>
      <w:r>
        <w:instrText xml:space="preserve"> PAGEREF _Toc2948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_Toc15270 </w:instrText>
      </w:r>
      <w:r>
        <w:rPr>
          <w:rFonts w:ascii="仿宋" w:hAnsi="仿宋" w:eastAsia="仿宋"/>
        </w:rPr>
        <w:fldChar w:fldCharType="separate"/>
      </w:r>
      <w:r>
        <w:rPr>
          <w:rFonts w:hint="default" w:ascii="Times New Roman" w:hAnsi="Times New Roman" w:eastAsia="方正仿宋_GBK" w:cs="Times New Roman"/>
          <w:szCs w:val="33"/>
        </w:rPr>
        <w:t>十一、政府性基金预算财政拨款收入支出决算表</w:t>
      </w:r>
      <w:r>
        <w:tab/>
      </w:r>
      <w:r>
        <w:fldChar w:fldCharType="begin"/>
      </w:r>
      <w:r>
        <w:instrText xml:space="preserve"> PAGEREF _Toc15270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_Toc9119 </w:instrText>
      </w:r>
      <w:r>
        <w:rPr>
          <w:rFonts w:ascii="仿宋" w:hAnsi="仿宋" w:eastAsia="仿宋"/>
        </w:rPr>
        <w:fldChar w:fldCharType="separate"/>
      </w:r>
      <w:r>
        <w:rPr>
          <w:rFonts w:hint="default" w:ascii="Times New Roman" w:hAnsi="Times New Roman" w:eastAsia="方正仿宋_GBK" w:cs="Times New Roman"/>
          <w:szCs w:val="33"/>
        </w:rPr>
        <w:t>十二、政府性基金预算财政拨款“三公”经费支出决算表</w:t>
      </w:r>
      <w:r>
        <w:tab/>
      </w:r>
      <w:r>
        <w:fldChar w:fldCharType="begin"/>
      </w:r>
      <w:r>
        <w:instrText xml:space="preserve"> PAGEREF _Toc9119 </w:instrText>
      </w:r>
      <w:r>
        <w:fldChar w:fldCharType="separate"/>
      </w:r>
      <w:r>
        <w:t>- 38 -</w:t>
      </w:r>
      <w:r>
        <w:fldChar w:fldCharType="end"/>
      </w:r>
      <w:r>
        <w:rPr>
          <w:rFonts w:ascii="仿宋" w:hAnsi="仿宋" w:eastAsia="仿宋"/>
        </w:rPr>
        <w:fldChar w:fldCharType="end"/>
      </w:r>
    </w:p>
    <w:p>
      <w:pPr>
        <w:pStyle w:val="37"/>
        <w:tabs>
          <w:tab w:val="right" w:leader="dot" w:pos="8845"/>
        </w:tabs>
      </w:pPr>
      <w:r>
        <w:rPr>
          <w:rFonts w:ascii="仿宋" w:hAnsi="仿宋" w:eastAsia="仿宋"/>
        </w:rPr>
        <w:fldChar w:fldCharType="begin"/>
      </w:r>
      <w:r>
        <w:rPr>
          <w:rFonts w:ascii="仿宋" w:hAnsi="仿宋" w:eastAsia="仿宋"/>
        </w:rPr>
        <w:instrText xml:space="preserve"> HYPERLINK \l _Toc9294 </w:instrText>
      </w:r>
      <w:r>
        <w:rPr>
          <w:rFonts w:ascii="仿宋" w:hAnsi="仿宋" w:eastAsia="仿宋"/>
        </w:rPr>
        <w:fldChar w:fldCharType="separate"/>
      </w:r>
      <w:r>
        <w:rPr>
          <w:rFonts w:hint="default" w:ascii="Times New Roman" w:hAnsi="Times New Roman" w:eastAsia="方正仿宋_GBK" w:cs="Times New Roman"/>
          <w:szCs w:val="33"/>
        </w:rPr>
        <w:t>十三、国有资本经营预算支出决算表</w:t>
      </w:r>
      <w:r>
        <w:tab/>
      </w:r>
      <w:r>
        <w:fldChar w:fldCharType="begin"/>
      </w:r>
      <w:r>
        <w:instrText xml:space="preserve"> PAGEREF _Toc9294 </w:instrText>
      </w:r>
      <w:r>
        <w:fldChar w:fldCharType="separate"/>
      </w:r>
      <w:r>
        <w:t>- 38 -</w:t>
      </w:r>
      <w:r>
        <w:fldChar w:fldCharType="end"/>
      </w:r>
      <w:r>
        <w:rPr>
          <w:rFonts w:ascii="仿宋" w:hAnsi="仿宋" w:eastAsia="仿宋"/>
        </w:rPr>
        <w:fldChar w:fldCharType="end"/>
      </w:r>
    </w:p>
    <w:p>
      <w:pPr>
        <w:widowControl/>
        <w:spacing w:line="440" w:lineRule="exact"/>
        <w:jc w:val="left"/>
        <w:outlineLvl w:val="9"/>
        <w:rPr>
          <w:rFonts w:ascii="仿宋" w:hAnsi="仿宋" w:eastAsia="仿宋"/>
          <w:b/>
          <w:sz w:val="24"/>
        </w:rPr>
        <w:sectPr>
          <w:footerReference r:id="rId5" w:type="first"/>
          <w:headerReference r:id="rId3" w:type="default"/>
          <w:footerReference r:id="rId4" w:type="default"/>
          <w:pgSz w:w="11906" w:h="16838"/>
          <w:pgMar w:top="2098" w:right="1474" w:bottom="1984" w:left="1587" w:header="851" w:footer="992" w:gutter="0"/>
          <w:pgNumType w:start="1"/>
          <w:cols w:space="720" w:num="1"/>
          <w:titlePg/>
          <w:docGrid w:type="lines" w:linePitch="312" w:charSpace="0"/>
        </w:sectPr>
      </w:pPr>
      <w:r>
        <w:rPr>
          <w:rFonts w:ascii="仿宋" w:hAnsi="仿宋" w:eastAsia="仿宋"/>
        </w:rPr>
        <w:fldChar w:fldCharType="end"/>
      </w:r>
    </w:p>
    <w:p>
      <w:pPr>
        <w:widowControl/>
        <w:spacing w:line="440" w:lineRule="exact"/>
        <w:jc w:val="left"/>
        <w:rPr>
          <w:rFonts w:ascii="仿宋" w:hAnsi="仿宋" w:eastAsia="仿宋"/>
          <w:b/>
          <w:sz w:val="24"/>
        </w:rPr>
      </w:pPr>
    </w:p>
    <w:p>
      <w:pPr>
        <w:pStyle w:val="2"/>
        <w:jc w:val="center"/>
        <w:outlineLvl w:val="0"/>
        <w:rPr>
          <w:rFonts w:hint="eastAsia" w:ascii="方正小标宋_GBK" w:hAnsi="方正小标宋_GBK" w:eastAsia="方正小标宋_GBK" w:cs="方正小标宋_GBK"/>
          <w:sz w:val="38"/>
          <w:szCs w:val="38"/>
        </w:rPr>
      </w:pPr>
      <w:bookmarkStart w:id="19" w:name="_Toc52180065"/>
      <w:bookmarkStart w:id="20" w:name="_Toc3809"/>
      <w:r>
        <w:rPr>
          <w:rFonts w:hint="eastAsia" w:ascii="方正小标宋_GBK" w:hAnsi="方正小标宋_GBK" w:eastAsia="方正小标宋_GBK" w:cs="方正小标宋_GBK"/>
          <w:sz w:val="38"/>
          <w:szCs w:val="38"/>
        </w:rPr>
        <w:t>第一部分 部门概况</w:t>
      </w:r>
      <w:bookmarkEnd w:id="17"/>
      <w:bookmarkEnd w:id="18"/>
      <w:bookmarkEnd w:id="19"/>
      <w:bookmarkEnd w:id="20"/>
    </w:p>
    <w:p>
      <w:pPr>
        <w:widowControl/>
        <w:jc w:val="left"/>
        <w:rPr>
          <w:rFonts w:ascii="黑体" w:eastAsia="黑体"/>
          <w:color w:val="000000"/>
          <w:sz w:val="32"/>
          <w:szCs w:val="32"/>
        </w:rPr>
      </w:pPr>
    </w:p>
    <w:p>
      <w:pPr>
        <w:pStyle w:val="3"/>
        <w:pageBreakBefore w:val="0"/>
        <w:kinsoku/>
        <w:wordWrap/>
        <w:overflowPunct/>
        <w:topLinePunct w:val="0"/>
        <w:bidi w:val="0"/>
        <w:spacing w:line="576" w:lineRule="exact"/>
        <w:ind w:firstLine="660" w:firstLineChars="200"/>
        <w:textAlignment w:val="auto"/>
        <w:outlineLvl w:val="1"/>
        <w:rPr>
          <w:rFonts w:hint="eastAsia" w:ascii="方正黑体_GBK" w:hAnsi="方正黑体_GBK" w:eastAsia="方正黑体_GBK" w:cs="方正黑体_GBK"/>
          <w:b w:val="0"/>
          <w:bCs w:val="0"/>
          <w:sz w:val="33"/>
          <w:szCs w:val="33"/>
        </w:rPr>
      </w:pPr>
      <w:bookmarkStart w:id="21" w:name="_Toc52180066"/>
      <w:bookmarkStart w:id="22" w:name="_Toc15377197"/>
      <w:bookmarkStart w:id="23" w:name="_Toc15396600"/>
      <w:bookmarkStart w:id="24" w:name="_Toc15914"/>
      <w:r>
        <w:rPr>
          <w:rFonts w:hint="eastAsia" w:ascii="方正黑体_GBK" w:hAnsi="方正黑体_GBK" w:eastAsia="方正黑体_GBK" w:cs="方正黑体_GBK"/>
          <w:b w:val="0"/>
          <w:bCs w:val="0"/>
          <w:sz w:val="33"/>
          <w:szCs w:val="33"/>
        </w:rPr>
        <w:t>一、基本职能及主要工作</w:t>
      </w:r>
      <w:bookmarkEnd w:id="21"/>
      <w:bookmarkEnd w:id="22"/>
      <w:bookmarkEnd w:id="23"/>
      <w:bookmarkEnd w:id="24"/>
    </w:p>
    <w:p>
      <w:pPr>
        <w:pStyle w:val="4"/>
        <w:pageBreakBefore w:val="0"/>
        <w:widowControl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sz w:val="33"/>
          <w:szCs w:val="33"/>
        </w:rPr>
      </w:pPr>
      <w:bookmarkStart w:id="25" w:name="_Toc52180067"/>
      <w:bookmarkStart w:id="26" w:name="_Toc15377198"/>
      <w:bookmarkStart w:id="27" w:name="_Toc15378445"/>
      <w:bookmarkStart w:id="28" w:name="_Toc7413"/>
      <w:r>
        <w:rPr>
          <w:rFonts w:hint="eastAsia" w:ascii="方正楷体_GBK" w:hAnsi="方正楷体_GBK" w:eastAsia="方正楷体_GBK" w:cs="方正楷体_GBK"/>
          <w:sz w:val="33"/>
          <w:szCs w:val="33"/>
        </w:rPr>
        <w:t>（一）主要职能</w:t>
      </w:r>
      <w:bookmarkEnd w:id="25"/>
      <w:bookmarkEnd w:id="26"/>
      <w:bookmarkEnd w:id="27"/>
      <w:bookmarkEnd w:id="28"/>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3"/>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红果乡党政机构具有党委和政府两种职能，党委领导政府工作。主要是政治思想和方针政策的领导，干部的选拔，考核和监督，经济和行政工作中重大问题的决策。乡政府是基层国家行政机关，行使本行政区的行政职能。</w:t>
      </w:r>
      <w:r>
        <w:rPr>
          <w:rFonts w:hint="default" w:ascii="Times New Roman" w:hAnsi="Times New Roman" w:eastAsia="方正仿宋_GBK" w:cs="Times New Roman"/>
          <w:sz w:val="33"/>
          <w:szCs w:val="33"/>
        </w:rPr>
        <w:br w:type="textWrapping"/>
      </w:r>
      <w:r>
        <w:rPr>
          <w:rFonts w:hint="eastAsia" w:eastAsia="方正仿宋_GBK" w:cs="Times New Roman"/>
          <w:sz w:val="33"/>
          <w:szCs w:val="33"/>
          <w:lang w:val="en-US" w:eastAsia="zh-CN"/>
        </w:rPr>
        <w:t xml:space="preserve">    </w:t>
      </w:r>
      <w:r>
        <w:rPr>
          <w:rStyle w:val="34"/>
          <w:rFonts w:hint="default" w:ascii="Times New Roman" w:hAnsi="Times New Roman" w:eastAsia="方正仿宋_GBK" w:cs="Times New Roman"/>
          <w:sz w:val="33"/>
          <w:szCs w:val="33"/>
        </w:rPr>
        <w:t>1.党委工作职责</w:t>
      </w:r>
      <w:r>
        <w:rPr>
          <w:rStyle w:val="34"/>
          <w:rFonts w:hint="default" w:ascii="Times New Roman" w:hAnsi="Times New Roman" w:eastAsia="方正仿宋_GBK" w:cs="Times New Roman"/>
          <w:sz w:val="33"/>
          <w:szCs w:val="33"/>
        </w:rPr>
        <w:br w:type="textWrapping"/>
      </w:r>
      <w:r>
        <w:rPr>
          <w:rFonts w:hint="default" w:ascii="Times New Roman" w:hAnsi="Times New Roman" w:eastAsia="方正仿宋_GBK" w:cs="Times New Roman"/>
          <w:sz w:val="33"/>
          <w:szCs w:val="33"/>
        </w:rPr>
        <w:t xml:space="preserve">   </w:t>
      </w:r>
      <w:r>
        <w:rPr>
          <w:rFonts w:hint="default" w:ascii="Times New Roman" w:hAnsi="Times New Roman" w:eastAsia="方正仿宋_GBK" w:cs="Times New Roman"/>
          <w:bCs/>
          <w:sz w:val="33"/>
          <w:szCs w:val="33"/>
        </w:rPr>
        <w:t xml:space="preserve"> 保证党的路线、方针、政策的坚决贯彻执行。保证监督职能、教育和管理职能、服从和服务于经济建设的职能、负责抓好本乡党建工作、群团工作、精神文明建设工作、新闻宣传工作、完成县委、县政府交给的其他工作任务。</w:t>
      </w:r>
    </w:p>
    <w:p>
      <w:pPr>
        <w:pStyle w:val="5"/>
        <w:pageBreakBefore w:val="0"/>
        <w:kinsoku/>
        <w:wordWrap/>
        <w:overflowPunct/>
        <w:topLinePunct w:val="0"/>
        <w:bidi w:val="0"/>
        <w:spacing w:line="576" w:lineRule="exact"/>
        <w:ind w:firstLine="663" w:firstLineChars="200"/>
        <w:textAlignment w:val="auto"/>
        <w:outlineLvl w:val="3"/>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2.政府职能</w:t>
      </w:r>
    </w:p>
    <w:p>
      <w:pPr>
        <w:pageBreakBefore w:val="0"/>
        <w:kinsoku/>
        <w:wordWrap/>
        <w:overflowPunct/>
        <w:topLinePunct w:val="0"/>
        <w:bidi w:val="0"/>
        <w:spacing w:line="576" w:lineRule="exact"/>
        <w:ind w:firstLine="660" w:firstLineChars="200"/>
        <w:textAlignment w:val="auto"/>
        <w:rPr>
          <w:rFonts w:hint="default" w:ascii="Times New Roman" w:hAnsi="Times New Roman" w:eastAsia="方正仿宋_GBK" w:cs="Times New Roman"/>
          <w:bCs/>
          <w:sz w:val="33"/>
          <w:szCs w:val="33"/>
        </w:rPr>
        <w:sectPr>
          <w:footerReference r:id="rId7" w:type="first"/>
          <w:footerReference r:id="rId6" w:type="default"/>
          <w:pgSz w:w="11906" w:h="16838"/>
          <w:pgMar w:top="2098" w:right="1474" w:bottom="1984" w:left="1587" w:header="851" w:footer="992" w:gutter="0"/>
          <w:pgNumType w:fmt="numberInDash" w:start="1"/>
          <w:cols w:space="720" w:num="1"/>
          <w:titlePg/>
          <w:docGrid w:type="lines" w:linePitch="312" w:charSpace="0"/>
        </w:sectPr>
      </w:pPr>
      <w:r>
        <w:rPr>
          <w:rFonts w:hint="default" w:ascii="Times New Roman" w:hAnsi="Times New Roman" w:eastAsia="方正仿宋_GBK" w:cs="Times New Roman"/>
          <w:bCs/>
          <w:sz w:val="33"/>
          <w:szCs w:val="33"/>
        </w:rPr>
        <w:t>制定和组织实施经济、科技和社会发展计划，制定资源开发技术改造和产业结构调整方案，组织指导好各业生产，搞好商品流通，协调好本乡与外地区的经济交流与合作，抓好招商</w:t>
      </w:r>
    </w:p>
    <w:p>
      <w:pPr>
        <w:pageBreakBefore w:val="0"/>
        <w:kinsoku/>
        <w:wordWrap/>
        <w:overflowPunct/>
        <w:topLinePunct w:val="0"/>
        <w:bidi w:val="0"/>
        <w:spacing w:line="576" w:lineRule="exact"/>
        <w:ind w:firstLine="660" w:firstLineChars="200"/>
        <w:textAlignment w:val="auto"/>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引资，人才引进项目开发，不断培育市场体系，组织经济运行，促进经济发展。制定并组织实施村（社区）建设规划，部署重点工程建设，地方道路建设及公共设施，水利设施的管理，负责土地、林木、水等自然资源和生态环境的保护，做好护林防火工作。负责本行政区域内的民政、计划生育、文化教育、卫生、体育等社会公益事业的综合性工作，维护一切经济单位和个人的正当经济权益，取缔非法经济活动，调解和处理民事纠纷，打击刑事犯罪维护社会稳定，按计划组织本级财政收入和地方税的征收，完成国家财政计划，不断培植税源，管好财政资金，增强财政实力，抓好精神文明建设，丰富群众文化生活，提倡移风易俗，反对封建迷信，破除陈规陋习，树立社会主义新风尚，完成上级政府交办的其它事项。</w:t>
      </w:r>
    </w:p>
    <w:p>
      <w:pPr>
        <w:pStyle w:val="4"/>
        <w:pageBreakBefore w:val="0"/>
        <w:kinsoku/>
        <w:wordWrap/>
        <w:overflowPunct/>
        <w:topLinePunct w:val="0"/>
        <w:bidi w:val="0"/>
        <w:spacing w:line="576" w:lineRule="exact"/>
        <w:ind w:firstLine="663" w:firstLineChars="200"/>
        <w:textAlignment w:val="auto"/>
        <w:rPr>
          <w:rFonts w:hint="eastAsia" w:ascii="方正楷体_GBK" w:hAnsi="方正楷体_GBK" w:eastAsia="方正楷体_GBK" w:cs="方正楷体_GBK"/>
          <w:sz w:val="33"/>
          <w:szCs w:val="33"/>
        </w:rPr>
      </w:pPr>
      <w:bookmarkStart w:id="29" w:name="_Toc15377199"/>
      <w:bookmarkStart w:id="30" w:name="_Toc52180068"/>
      <w:bookmarkStart w:id="31" w:name="_Toc15378446"/>
      <w:bookmarkStart w:id="32" w:name="_Toc404"/>
      <w:r>
        <w:rPr>
          <w:rFonts w:hint="eastAsia" w:ascii="方正楷体_GBK" w:hAnsi="方正楷体_GBK" w:eastAsia="方正楷体_GBK" w:cs="方正楷体_GBK"/>
          <w:sz w:val="33"/>
          <w:szCs w:val="33"/>
        </w:rPr>
        <w:t>（二）2019年重点工作完成情况</w:t>
      </w:r>
      <w:bookmarkEnd w:id="29"/>
      <w:bookmarkEnd w:id="30"/>
      <w:bookmarkEnd w:id="31"/>
      <w:bookmarkEnd w:id="32"/>
    </w:p>
    <w:p>
      <w:pPr>
        <w:pStyle w:val="5"/>
        <w:pageBreakBefore w:val="0"/>
        <w:kinsoku/>
        <w:wordWrap/>
        <w:overflowPunct/>
        <w:topLinePunct w:val="0"/>
        <w:bidi w:val="0"/>
        <w:spacing w:line="576" w:lineRule="exact"/>
        <w:ind w:firstLine="663" w:firstLineChars="200"/>
        <w:textAlignment w:val="auto"/>
        <w:outlineLvl w:val="3"/>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1.深入开展脱贫攻坚工作</w:t>
      </w:r>
    </w:p>
    <w:p>
      <w:pPr>
        <w:pageBreakBefore w:val="0"/>
        <w:kinsoku/>
        <w:wordWrap/>
        <w:overflowPunct/>
        <w:topLinePunct w:val="0"/>
        <w:bidi w:val="0"/>
        <w:spacing w:line="576" w:lineRule="exact"/>
        <w:ind w:firstLine="660" w:firstLineChars="200"/>
        <w:textAlignment w:val="auto"/>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一是聚焦凉山自迁贫困户，实现脱贫任务。对照“两不愁、三保障”标准，突出抓好全乡102户499人凉山自迁贫困户脱贫任务，严格按照项目实施标准、程序和要求，抓好2019年脱贫攻坚项目建设任务。实现“两不愁、三保障、三有”目标任务， 2019年11月10日经县脱贫领验收全部达标退出。二是因村因户施策，全面巩固提升脱贫攻坚成果。红果乡共辖4个贫困村，2014年-2019共有已退出贫困人口481户2253人，2019年度4个贫困村“一低五有”指标均得到保障，按照“脱贫不脱帮、脱贫不脱政策”的工作思路，紧盯已退出贫困户“两不愁、三保障、三有”指标，因村规划，加大基础设施建设资金投入，继续在贫困户户内医疗、教育、产业、就业等方面提供有力保障，确保贫困户不返贫,保持较好发展。开展“大走访、大排查”“三精准、三落实、三保障”等专项行动，对标核验、逐户排查，红果乡2019年年内无返贫现象发生。三是强力争取项目，逐步完善基础设施建设。2019年红果乡实施基础设施建设项目43项，共计投入资金1583.36万元。</w:t>
      </w:r>
    </w:p>
    <w:p>
      <w:pPr>
        <w:pStyle w:val="5"/>
        <w:pageBreakBefore w:val="0"/>
        <w:kinsoku/>
        <w:wordWrap/>
        <w:overflowPunct/>
        <w:topLinePunct w:val="0"/>
        <w:bidi w:val="0"/>
        <w:spacing w:line="576" w:lineRule="exact"/>
        <w:ind w:firstLine="663" w:firstLineChars="200"/>
        <w:textAlignment w:val="auto"/>
        <w:outlineLvl w:val="3"/>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2.全力推进棚户区改造工作</w:t>
      </w:r>
    </w:p>
    <w:p>
      <w:pPr>
        <w:pageBreakBefore w:val="0"/>
        <w:widowControl/>
        <w:shd w:val="clear" w:color="auto" w:fill="FFFFFF"/>
        <w:kinsoku/>
        <w:wordWrap/>
        <w:overflowPunct/>
        <w:topLinePunct w:val="0"/>
        <w:bidi w:val="0"/>
        <w:spacing w:line="576" w:lineRule="exact"/>
        <w:ind w:firstLine="660" w:firstLineChars="200"/>
        <w:textAlignment w:val="auto"/>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一是落实国开行的1.97亿贷款资金，目前已完成第一批147户2002.4808万元的报账资料上报，下一步陆续进行第二批、第三批居民报账。二是全力推进棚户区改造基础设施建设，自来水厂项目已完成取水口工程、13公里取水管道安装、挡墙、边坡、清水池及厂房主体结构搭建，道路工程项目正在招投标。三是开展了棚户区腾空土地一期开发筹备土地挂牌工作，初步拟定一期挂牌5宗土地，并配建社区服务中心和600余米道路。</w:t>
      </w:r>
    </w:p>
    <w:p>
      <w:pPr>
        <w:pStyle w:val="5"/>
        <w:pageBreakBefore w:val="0"/>
        <w:kinsoku/>
        <w:wordWrap/>
        <w:overflowPunct/>
        <w:topLinePunct w:val="0"/>
        <w:bidi w:val="0"/>
        <w:spacing w:line="576" w:lineRule="exact"/>
        <w:ind w:firstLine="663" w:firstLineChars="200"/>
        <w:textAlignment w:val="auto"/>
        <w:outlineLvl w:val="3"/>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3.全面抓好安全生产工作</w:t>
      </w:r>
    </w:p>
    <w:p>
      <w:pPr>
        <w:pageBreakBefore w:val="0"/>
        <w:widowControl/>
        <w:shd w:val="clear" w:color="auto" w:fill="FFFFFF"/>
        <w:kinsoku/>
        <w:wordWrap/>
        <w:overflowPunct/>
        <w:topLinePunct w:val="0"/>
        <w:bidi w:val="0"/>
        <w:spacing w:line="576" w:lineRule="exact"/>
        <w:ind w:firstLine="660" w:firstLineChars="200"/>
        <w:textAlignment w:val="auto"/>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一是坚持一把手亲自抓，全面落实责任。2019年，乡政府听取安全生产工作汇报4次，主要领导及分管领导组织召开安全生产专题会议6次，在重要时段亲临生产一线检查安全生产工作10次。年初与辖区各企业和村（社区）签订了安全生产目标责任书，落实了安全生产责任。二是制定监管计划，形成闭环管理。对辖区11口煤矿制定了监管计划，开展井下执法检查86矿次，巡查99矿次，查出问题240余条，所有问题已整改完毕并通过了安监所的复查验收，形成了隐患的闭环管理。三是建立健全道路交通、水上交通岗位职责，依法处理违法违规驾车、超载、超员、无证照等违法行为120余起，实现我乡道路及水上交通零伤亡、零事故。四是严守耕地红线，保障建房安全。加强农村建设用地管理，严格按照法定程序审核把关，全年共受理农村村民建房162户，开展土地动态巡查60多次、170多人次，巡查覆盖率达95%以上。五是编制应急预案，加强巡查及应急演练。对8个地质灾害隐患点进行动态监测，向隐患点群众发放“明白卡”，“一表两卡”100余张，全年开展了1次地质灾害及棚户区消防安全应急演练，完成3户地质灾害避险搬迁，拨付补助资金12万元。六是加强对辖区食品药品安全监管，全年签订300余份责任书，全面压实责任，确保辖区无食品药品安全事故。</w:t>
      </w:r>
    </w:p>
    <w:p>
      <w:pPr>
        <w:pageBreakBefore w:val="0"/>
        <w:kinsoku/>
        <w:wordWrap/>
        <w:overflowPunct/>
        <w:topLinePunct w:val="0"/>
        <w:autoSpaceDE w:val="0"/>
        <w:autoSpaceDN w:val="0"/>
        <w:bidi w:val="0"/>
        <w:spacing w:line="576" w:lineRule="exact"/>
        <w:ind w:firstLine="663" w:firstLineChars="200"/>
        <w:textAlignment w:val="auto"/>
        <w:outlineLvl w:val="3"/>
        <w:rPr>
          <w:rFonts w:hint="default" w:ascii="Times New Roman" w:hAnsi="Times New Roman" w:eastAsia="方正仿宋_GBK" w:cs="Times New Roman"/>
          <w:b/>
          <w:sz w:val="33"/>
          <w:szCs w:val="33"/>
        </w:rPr>
      </w:pPr>
      <w:r>
        <w:rPr>
          <w:rFonts w:hint="default" w:ascii="Times New Roman" w:hAnsi="Times New Roman" w:eastAsia="方正仿宋_GBK" w:cs="Times New Roman"/>
          <w:b/>
          <w:sz w:val="33"/>
          <w:szCs w:val="33"/>
        </w:rPr>
        <w:t>4.持续加强环境保护工作</w:t>
      </w:r>
    </w:p>
    <w:p>
      <w:pPr>
        <w:pageBreakBefore w:val="0"/>
        <w:kinsoku/>
        <w:wordWrap/>
        <w:overflowPunct/>
        <w:topLinePunct w:val="0"/>
        <w:autoSpaceDE w:val="0"/>
        <w:autoSpaceDN w:val="0"/>
        <w:bidi w:val="0"/>
        <w:spacing w:line="576" w:lineRule="exact"/>
        <w:ind w:firstLine="660" w:firstLineChars="200"/>
        <w:textAlignment w:val="auto"/>
        <w:rPr>
          <w:rFonts w:hint="default" w:ascii="Times New Roman" w:hAnsi="Times New Roman" w:eastAsia="方正仿宋_GBK" w:cs="Times New Roman"/>
          <w:bCs/>
          <w:sz w:val="33"/>
          <w:szCs w:val="33"/>
        </w:rPr>
      </w:pPr>
      <w:r>
        <w:rPr>
          <w:rFonts w:hint="default" w:ascii="Times New Roman" w:hAnsi="Times New Roman" w:eastAsia="方正仿宋_GBK" w:cs="Times New Roman"/>
          <w:bCs/>
          <w:sz w:val="33"/>
          <w:szCs w:val="33"/>
        </w:rPr>
        <w:t>一是狠抓林业工作。以发展林下经济来带动林业资源保护，狠抓护林防火和林地清理调查工作，切实保护林业资源，2019年对重点林区重点地段进行计划烧除3000亩，宣传森林防火知识40余次，制定林防火宣传标语300余条、森林防火告知书500余份，登记“五类人员”20人、放牧人员253人，落实了监护人员及放牧地点，登记坟主400人，共清理林业案件9起。二是全面落实环保工作和河长制工作。按照盐边县大气、水、土壤污染防治“三大战役”工作要求，对长林轮运公司红果码头处堆放的5000吨煤矸石进行整改；发动群众，出动人员500余人次，清理二潍水库内垃圾240余吨，要求沿河餐馆修建污水处理池10余户；开展河道护绿活动，组织乡机关及村（社区）干部全面清扫河道垃圾，以点带面保障河道护绿、植绿保护。</w:t>
      </w:r>
    </w:p>
    <w:p>
      <w:pPr>
        <w:pStyle w:val="7"/>
        <w:pageBreakBefore w:val="0"/>
        <w:kinsoku/>
        <w:wordWrap/>
        <w:overflowPunct/>
        <w:topLinePunct w:val="0"/>
        <w:bidi w:val="0"/>
        <w:adjustRightInd w:val="0"/>
        <w:snapToGrid w:val="0"/>
        <w:spacing w:before="93" w:line="576" w:lineRule="exact"/>
        <w:ind w:firstLine="663" w:firstLineChars="200"/>
        <w:textAlignment w:val="auto"/>
        <w:outlineLvl w:val="2"/>
        <w:rPr>
          <w:rFonts w:hint="default" w:ascii="Times New Roman" w:hAnsi="Times New Roman" w:eastAsia="方正仿宋_GBK" w:cs="Times New Roman"/>
          <w:b/>
          <w:kern w:val="2"/>
          <w:sz w:val="33"/>
          <w:szCs w:val="33"/>
        </w:rPr>
      </w:pPr>
      <w:bookmarkStart w:id="33" w:name="_Toc15332"/>
      <w:r>
        <w:rPr>
          <w:rFonts w:hint="default" w:ascii="Times New Roman" w:hAnsi="Times New Roman" w:eastAsia="方正仿宋_GBK" w:cs="Times New Roman"/>
          <w:b/>
          <w:kern w:val="2"/>
          <w:sz w:val="33"/>
          <w:szCs w:val="33"/>
        </w:rPr>
        <w:t>5.按照要求完成建制村调整工作</w:t>
      </w:r>
      <w:bookmarkEnd w:id="33"/>
    </w:p>
    <w:p>
      <w:pPr>
        <w:pStyle w:val="7"/>
        <w:pageBreakBefore w:val="0"/>
        <w:kinsoku/>
        <w:wordWrap/>
        <w:overflowPunct/>
        <w:topLinePunct w:val="0"/>
        <w:bidi w:val="0"/>
        <w:adjustRightInd w:val="0"/>
        <w:snapToGrid w:val="0"/>
        <w:spacing w:before="93" w:line="576" w:lineRule="exact"/>
        <w:ind w:firstLine="580" w:firstLineChars="200"/>
        <w:textAlignment w:val="auto"/>
        <w:outlineLvl w:val="2"/>
        <w:rPr>
          <w:rFonts w:hint="default" w:ascii="Times New Roman" w:hAnsi="Times New Roman" w:eastAsia="方正仿宋_GBK" w:cs="Times New Roman"/>
          <w:bCs/>
          <w:spacing w:val="-20"/>
          <w:kern w:val="2"/>
          <w:sz w:val="33"/>
          <w:szCs w:val="33"/>
        </w:rPr>
      </w:pPr>
      <w:bookmarkStart w:id="34" w:name="_Toc21214"/>
      <w:r>
        <w:rPr>
          <w:rFonts w:hint="default" w:ascii="Times New Roman" w:hAnsi="Times New Roman" w:eastAsia="方正仿宋_GBK" w:cs="Times New Roman"/>
          <w:bCs/>
          <w:spacing w:val="-20"/>
          <w:kern w:val="2"/>
          <w:sz w:val="33"/>
          <w:szCs w:val="33"/>
        </w:rPr>
        <w:t>一是按照全县区划调整改革要求，将我乡原12个村（居）、49个村（居）民小组调整为7个村（居），35个村（居）民小组。</w:t>
      </w:r>
      <w:bookmarkEnd w:id="34"/>
    </w:p>
    <w:p>
      <w:pPr>
        <w:pStyle w:val="3"/>
        <w:pageBreakBefore w:val="0"/>
        <w:kinsoku/>
        <w:wordWrap/>
        <w:overflowPunct/>
        <w:topLinePunct w:val="0"/>
        <w:bidi w:val="0"/>
        <w:spacing w:line="576" w:lineRule="exact"/>
        <w:ind w:firstLine="660" w:firstLineChars="200"/>
        <w:textAlignment w:val="auto"/>
        <w:rPr>
          <w:rStyle w:val="30"/>
          <w:rFonts w:hint="eastAsia" w:ascii="方正黑体_GBK" w:hAnsi="方正黑体_GBK" w:eastAsia="方正黑体_GBK" w:cs="方正黑体_GBK"/>
          <w:b w:val="0"/>
          <w:bCs w:val="0"/>
          <w:sz w:val="33"/>
          <w:szCs w:val="33"/>
        </w:rPr>
      </w:pPr>
      <w:bookmarkStart w:id="35" w:name="_Toc15396601"/>
      <w:bookmarkStart w:id="36" w:name="_Toc15377200"/>
      <w:bookmarkStart w:id="37" w:name="_Toc52180069"/>
      <w:bookmarkStart w:id="38" w:name="_Toc227"/>
      <w:r>
        <w:rPr>
          <w:rFonts w:hint="eastAsia" w:ascii="方正黑体_GBK" w:hAnsi="方正黑体_GBK" w:eastAsia="方正黑体_GBK" w:cs="方正黑体_GBK"/>
          <w:b w:val="0"/>
          <w:color w:val="000000"/>
          <w:sz w:val="33"/>
          <w:szCs w:val="33"/>
        </w:rPr>
        <w:t>二、机</w:t>
      </w:r>
      <w:r>
        <w:rPr>
          <w:rStyle w:val="30"/>
          <w:rFonts w:hint="eastAsia" w:ascii="方正黑体_GBK" w:hAnsi="方正黑体_GBK" w:eastAsia="方正黑体_GBK" w:cs="方正黑体_GBK"/>
          <w:b w:val="0"/>
          <w:bCs w:val="0"/>
          <w:sz w:val="33"/>
          <w:szCs w:val="33"/>
        </w:rPr>
        <w:t>构设置</w:t>
      </w:r>
      <w:bookmarkEnd w:id="35"/>
      <w:bookmarkEnd w:id="36"/>
      <w:bookmarkEnd w:id="37"/>
      <w:bookmarkEnd w:id="38"/>
    </w:p>
    <w:p>
      <w:pPr>
        <w:pStyle w:val="7"/>
        <w:pageBreakBefore w:val="0"/>
        <w:kinsoku/>
        <w:wordWrap/>
        <w:overflowPunct/>
        <w:topLinePunct w:val="0"/>
        <w:bidi w:val="0"/>
        <w:adjustRightInd w:val="0"/>
        <w:snapToGrid w:val="0"/>
        <w:spacing w:before="93" w:line="576" w:lineRule="exact"/>
        <w:ind w:firstLine="580" w:firstLineChars="200"/>
        <w:textAlignment w:val="auto"/>
        <w:rPr>
          <w:rFonts w:hint="default" w:ascii="Times New Roman" w:hAnsi="Times New Roman" w:eastAsia="方正仿宋_GBK" w:cs="Times New Roman"/>
          <w:bCs/>
          <w:spacing w:val="-20"/>
          <w:kern w:val="2"/>
          <w:sz w:val="33"/>
          <w:szCs w:val="33"/>
        </w:rPr>
      </w:pPr>
      <w:r>
        <w:rPr>
          <w:rFonts w:hint="default" w:ascii="Times New Roman" w:hAnsi="Times New Roman" w:eastAsia="方正仿宋_GBK" w:cs="Times New Roman"/>
          <w:bCs/>
          <w:spacing w:val="-20"/>
          <w:kern w:val="2"/>
          <w:sz w:val="33"/>
          <w:szCs w:val="33"/>
        </w:rPr>
        <w:t>盐边县红果乡人民政府属于机关事业一级单位，其中行政单位1个，事业单位3个，包含：农业服务中心、宣文中心、社会保障和就业服务中心。</w:t>
      </w:r>
    </w:p>
    <w:p>
      <w:pPr>
        <w:pStyle w:val="3"/>
        <w:keepNext/>
        <w:keepLines/>
        <w:pageBreakBefore w:val="0"/>
        <w:widowControl w:val="0"/>
        <w:kinsoku/>
        <w:wordWrap/>
        <w:overflowPunct/>
        <w:topLinePunct w:val="0"/>
        <w:autoSpaceDE/>
        <w:autoSpaceDN/>
        <w:bidi w:val="0"/>
        <w:adjustRightInd/>
        <w:snapToGrid/>
        <w:spacing w:line="576" w:lineRule="exact"/>
        <w:jc w:val="center"/>
        <w:textAlignment w:val="auto"/>
        <w:outlineLvl w:val="0"/>
        <w:rPr>
          <w:rFonts w:hint="eastAsia" w:ascii="方正小标宋_GBK" w:hAnsi="方正小标宋_GBK" w:eastAsia="方正小标宋_GBK" w:cs="方正小标宋_GBK"/>
          <w:sz w:val="38"/>
          <w:szCs w:val="38"/>
        </w:rPr>
      </w:pPr>
      <w:bookmarkStart w:id="39" w:name="_Toc15396602"/>
      <w:bookmarkStart w:id="40" w:name="_Toc15377204"/>
      <w:bookmarkStart w:id="41" w:name="_Toc52180073"/>
      <w:bookmarkStart w:id="42" w:name="_Toc4073"/>
      <w:r>
        <w:rPr>
          <w:rFonts w:hint="eastAsia" w:ascii="方正小标宋_GBK" w:hAnsi="方正小标宋_GBK" w:eastAsia="方正小标宋_GBK" w:cs="方正小标宋_GBK"/>
          <w:sz w:val="38"/>
          <w:szCs w:val="38"/>
        </w:rPr>
        <w:t>第二部分2019年度部门决算情况说明</w:t>
      </w:r>
      <w:bookmarkEnd w:id="39"/>
      <w:bookmarkEnd w:id="40"/>
      <w:bookmarkEnd w:id="41"/>
      <w:bookmarkEnd w:id="42"/>
      <w:bookmarkStart w:id="43" w:name="_Toc15377205"/>
      <w:bookmarkStart w:id="44" w:name="_Toc52180074"/>
      <w:bookmarkStart w:id="45" w:name="_Toc15396603"/>
    </w:p>
    <w:p>
      <w:pPr>
        <w:pStyle w:val="3"/>
        <w:keepNext/>
        <w:keepLines/>
        <w:pageBreakBefore w:val="0"/>
        <w:widowControl w:val="0"/>
        <w:kinsoku/>
        <w:wordWrap/>
        <w:overflowPunct/>
        <w:topLinePunct w:val="0"/>
        <w:autoSpaceDE/>
        <w:autoSpaceDN/>
        <w:bidi w:val="0"/>
        <w:adjustRightInd/>
        <w:snapToGrid/>
        <w:spacing w:line="576" w:lineRule="exact"/>
        <w:textAlignment w:val="auto"/>
        <w:outlineLvl w:val="9"/>
        <w:rPr>
          <w:rFonts w:hint="eastAsia"/>
        </w:rPr>
      </w:pPr>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b w:val="0"/>
          <w:bCs w:val="0"/>
          <w:sz w:val="33"/>
          <w:szCs w:val="33"/>
        </w:rPr>
      </w:pPr>
      <w:bookmarkStart w:id="46" w:name="_Toc455"/>
      <w:r>
        <w:rPr>
          <w:rFonts w:hint="eastAsia" w:ascii="方正黑体_GBK" w:hAnsi="方正黑体_GBK" w:eastAsia="方正黑体_GBK" w:cs="方正黑体_GBK"/>
          <w:b w:val="0"/>
          <w:bCs w:val="0"/>
          <w:sz w:val="33"/>
          <w:szCs w:val="33"/>
        </w:rPr>
        <w:t>一、收入支出决算总体情况说明</w:t>
      </w:r>
      <w:bookmarkEnd w:id="43"/>
      <w:bookmarkEnd w:id="44"/>
      <w:bookmarkEnd w:id="45"/>
      <w:bookmarkEnd w:id="46"/>
    </w:p>
    <w:p>
      <w:pPr>
        <w:pStyle w:val="20"/>
        <w:pageBreakBefore w:val="0"/>
        <w:widowControl w:val="0"/>
        <w:kinsoku/>
        <w:wordWrap/>
        <w:overflowPunct/>
        <w:topLinePunct w:val="0"/>
        <w:bidi w:val="0"/>
        <w:snapToGrid/>
        <w:spacing w:line="576" w:lineRule="exact"/>
        <w:textAlignment w:val="auto"/>
        <w:outlineLvl w:val="1"/>
        <w:rPr>
          <w:rFonts w:hint="default" w:ascii="Times New Roman" w:hAnsi="Times New Roman" w:eastAsia="方正仿宋_GBK" w:cs="Times New Roman"/>
          <w:bCs/>
          <w:sz w:val="33"/>
          <w:szCs w:val="33"/>
        </w:rPr>
      </w:pPr>
      <w:bookmarkStart w:id="47" w:name="_Toc20680"/>
      <w:bookmarkStart w:id="48" w:name="_Toc15396604"/>
      <w:bookmarkStart w:id="49" w:name="_Toc15377206"/>
      <w:bookmarkStart w:id="50" w:name="_Toc52180075"/>
      <w:r>
        <w:rPr>
          <w:rFonts w:hint="default" w:ascii="Times New Roman" w:hAnsi="Times New Roman" w:eastAsia="方正仿宋_GBK" w:cs="Times New Roman"/>
          <w:bCs/>
          <w:sz w:val="33"/>
          <w:szCs w:val="33"/>
        </w:rPr>
        <w:t>2019年度收入1352万元，与2018年1133万元相比，增加219万元，增长19%；支出1417.37万元，与2018年1202.95万元相比，增加214万元，增,17%。主要变动原因是人员新增较多，和专户项目并入基本户账户进行资金核算。</w:t>
      </w:r>
      <w:bookmarkEnd w:id="47"/>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51" w:name="_Toc12709"/>
      <w:r>
        <w:rPr>
          <w:rFonts w:hint="default" w:ascii="方正黑体_GBK" w:hAnsi="方正黑体_GBK" w:eastAsia="方正黑体_GBK" w:cs="方正黑体_GBK"/>
          <w:b w:val="0"/>
          <w:bCs w:val="0"/>
          <w:sz w:val="33"/>
          <w:szCs w:val="33"/>
        </w:rPr>
        <w:t>二、收入决算情况说明</w:t>
      </w:r>
      <w:bookmarkEnd w:id="48"/>
      <w:bookmarkEnd w:id="49"/>
      <w:bookmarkEnd w:id="50"/>
      <w:bookmarkEnd w:id="51"/>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bCs/>
          <w:sz w:val="33"/>
          <w:szCs w:val="33"/>
        </w:rPr>
      </w:pPr>
      <w:bookmarkStart w:id="52" w:name="_Toc52180076"/>
      <w:bookmarkStart w:id="53" w:name="_Toc54277975"/>
      <w:bookmarkStart w:id="54" w:name="_Toc12899"/>
      <w:bookmarkStart w:id="55" w:name="_Toc15396605"/>
      <w:bookmarkStart w:id="56" w:name="_Toc15377207"/>
      <w:bookmarkStart w:id="57" w:name="_Toc52180077"/>
      <w:r>
        <w:rPr>
          <w:rFonts w:hint="default" w:ascii="Times New Roman" w:hAnsi="Times New Roman" w:eastAsia="方正仿宋_GBK" w:cs="Times New Roman"/>
          <w:bCs/>
          <w:sz w:val="33"/>
          <w:szCs w:val="33"/>
        </w:rPr>
        <w:t>2019年本年收入合计1352万元，其中：一般公共预算财政拨款收入1352万元，占100%</w:t>
      </w:r>
      <w:bookmarkEnd w:id="52"/>
      <w:r>
        <w:rPr>
          <w:rFonts w:hint="default" w:ascii="Times New Roman" w:hAnsi="Times New Roman" w:eastAsia="方正仿宋_GBK" w:cs="Times New Roman"/>
          <w:bCs/>
          <w:sz w:val="33"/>
          <w:szCs w:val="33"/>
        </w:rPr>
        <w:t>。</w:t>
      </w:r>
      <w:bookmarkEnd w:id="53"/>
      <w:bookmarkEnd w:id="54"/>
      <w:r>
        <w:rPr>
          <w:rFonts w:hint="default" w:ascii="Times New Roman" w:hAnsi="Times New Roman" w:eastAsia="方正仿宋_GBK" w:cs="Times New Roman"/>
          <w:bCs/>
          <w:sz w:val="33"/>
          <w:szCs w:val="33"/>
        </w:rPr>
        <w:t xml:space="preserve"> </w:t>
      </w:r>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58" w:name="_Toc24411"/>
      <w:r>
        <w:rPr>
          <w:rFonts w:hint="default" w:ascii="方正黑体_GBK" w:hAnsi="方正黑体_GBK" w:eastAsia="方正黑体_GBK" w:cs="方正黑体_GBK"/>
          <w:b w:val="0"/>
          <w:bCs w:val="0"/>
          <w:sz w:val="33"/>
          <w:szCs w:val="33"/>
        </w:rPr>
        <w:t>三、支出决算情况说明</w:t>
      </w:r>
      <w:bookmarkEnd w:id="55"/>
      <w:bookmarkEnd w:id="56"/>
      <w:bookmarkEnd w:id="57"/>
      <w:bookmarkEnd w:id="58"/>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bCs/>
          <w:sz w:val="33"/>
          <w:szCs w:val="33"/>
        </w:rPr>
      </w:pPr>
      <w:bookmarkStart w:id="59" w:name="_Toc52180078"/>
      <w:bookmarkStart w:id="60" w:name="_Toc16203"/>
      <w:r>
        <w:rPr>
          <w:rFonts w:hint="default" w:ascii="Times New Roman" w:hAnsi="Times New Roman" w:eastAsia="方正仿宋_GBK" w:cs="Times New Roman"/>
          <w:bCs/>
          <w:sz w:val="33"/>
          <w:szCs w:val="33"/>
        </w:rPr>
        <w:t>2019年本年支出合计1417.37万元，其中：基本支出878.68万元，占61%；项目支出538.69万元，占39%</w:t>
      </w:r>
      <w:bookmarkEnd w:id="59"/>
      <w:r>
        <w:rPr>
          <w:rFonts w:hint="default" w:ascii="Times New Roman" w:hAnsi="Times New Roman" w:eastAsia="方正仿宋_GBK" w:cs="Times New Roman"/>
          <w:bCs/>
          <w:sz w:val="33"/>
          <w:szCs w:val="33"/>
        </w:rPr>
        <w:t>。</w:t>
      </w:r>
      <w:bookmarkEnd w:id="60"/>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61" w:name="_Toc15377208"/>
      <w:bookmarkStart w:id="62" w:name="_Toc52180079"/>
      <w:bookmarkStart w:id="63" w:name="_Toc15396606"/>
      <w:bookmarkStart w:id="64" w:name="_Toc19871"/>
      <w:r>
        <w:rPr>
          <w:rFonts w:hint="default" w:ascii="方正黑体_GBK" w:hAnsi="方正黑体_GBK" w:eastAsia="方正黑体_GBK" w:cs="方正黑体_GBK"/>
          <w:b w:val="0"/>
          <w:bCs w:val="0"/>
          <w:sz w:val="33"/>
          <w:szCs w:val="33"/>
        </w:rPr>
        <w:t>四、财政拨款收入支出决算总体情况说明</w:t>
      </w:r>
      <w:bookmarkEnd w:id="61"/>
      <w:bookmarkEnd w:id="62"/>
      <w:bookmarkEnd w:id="63"/>
      <w:bookmarkEnd w:id="64"/>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bCs/>
          <w:sz w:val="33"/>
          <w:szCs w:val="33"/>
        </w:rPr>
      </w:pPr>
      <w:bookmarkStart w:id="65" w:name="_Toc12324"/>
      <w:r>
        <w:rPr>
          <w:rFonts w:hint="default" w:ascii="Times New Roman" w:hAnsi="Times New Roman" w:eastAsia="方正仿宋_GBK" w:cs="Times New Roman"/>
          <w:bCs/>
          <w:sz w:val="33"/>
          <w:szCs w:val="33"/>
        </w:rPr>
        <w:t>2019年度收入1352.36万元，支出1417.37万元。与2018年相比，收、支各增加218.92、214.42万元，分别增长19%、17%。主要变动原因是基本工资增加、中途追加预算项目增加、村社经费增加、项目经费增加。</w:t>
      </w:r>
      <w:bookmarkEnd w:id="65"/>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66" w:name="_Toc15396607"/>
      <w:bookmarkStart w:id="67" w:name="_Toc52180080"/>
      <w:bookmarkStart w:id="68" w:name="_Toc15377209"/>
      <w:bookmarkStart w:id="69" w:name="_Toc22597"/>
      <w:r>
        <w:rPr>
          <w:rFonts w:hint="default" w:ascii="方正黑体_GBK" w:hAnsi="方正黑体_GBK" w:eastAsia="方正黑体_GBK" w:cs="方正黑体_GBK"/>
          <w:b w:val="0"/>
          <w:bCs w:val="0"/>
          <w:sz w:val="33"/>
          <w:szCs w:val="33"/>
        </w:rPr>
        <w:t>五、一般公共预算财政拨款支出决算情况说明</w:t>
      </w:r>
      <w:bookmarkEnd w:id="66"/>
      <w:bookmarkEnd w:id="67"/>
      <w:bookmarkEnd w:id="68"/>
      <w:bookmarkEnd w:id="69"/>
    </w:p>
    <w:p>
      <w:pPr>
        <w:pStyle w:val="4"/>
        <w:pageBreakBefore w:val="0"/>
        <w:widowControl w:val="0"/>
        <w:kinsoku/>
        <w:wordWrap/>
        <w:overflowPunct/>
        <w:topLinePunct w:val="0"/>
        <w:bidi w:val="0"/>
        <w:snapToGrid/>
        <w:spacing w:line="576" w:lineRule="exact"/>
        <w:ind w:firstLine="663" w:firstLineChars="200"/>
        <w:textAlignment w:val="auto"/>
        <w:rPr>
          <w:rFonts w:hint="eastAsia" w:ascii="方正楷体_GBK" w:hAnsi="方正楷体_GBK" w:eastAsia="方正楷体_GBK" w:cs="方正楷体_GBK"/>
          <w:sz w:val="33"/>
          <w:szCs w:val="33"/>
        </w:rPr>
      </w:pPr>
      <w:bookmarkStart w:id="70" w:name="_Toc15377210"/>
      <w:bookmarkStart w:id="71" w:name="_Toc52180081"/>
      <w:bookmarkStart w:id="72" w:name="_Toc18500"/>
      <w:r>
        <w:rPr>
          <w:rFonts w:hint="eastAsia" w:ascii="方正楷体_GBK" w:hAnsi="方正楷体_GBK" w:eastAsia="方正楷体_GBK" w:cs="方正楷体_GBK"/>
          <w:sz w:val="33"/>
          <w:szCs w:val="33"/>
        </w:rPr>
        <w:t>（一）一般公共预算财政拨款支出决算总体情况</w:t>
      </w:r>
      <w:bookmarkEnd w:id="70"/>
      <w:bookmarkEnd w:id="71"/>
      <w:bookmarkEnd w:id="72"/>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bCs/>
          <w:sz w:val="33"/>
          <w:szCs w:val="33"/>
        </w:rPr>
      </w:pPr>
      <w:bookmarkStart w:id="73" w:name="_Toc30929"/>
      <w:r>
        <w:rPr>
          <w:rFonts w:hint="default" w:ascii="Times New Roman" w:hAnsi="Times New Roman" w:eastAsia="方正仿宋_GBK" w:cs="Times New Roman"/>
          <w:bCs/>
          <w:sz w:val="33"/>
          <w:szCs w:val="33"/>
        </w:rPr>
        <w:t>2019年一般公共预算财政拨款支出1352万元，占本年支出合计的100%。与2018年相比，一般公共预算财政拨款增加219万元，增长19%。主要变动原因是基本工资增加、中途追加预算项目增加、村社经费增加，项目支出较多。</w:t>
      </w:r>
      <w:bookmarkEnd w:id="73"/>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74" w:name="_Toc15377211"/>
      <w:bookmarkStart w:id="75" w:name="_Toc52180082"/>
      <w:bookmarkStart w:id="76" w:name="_Toc30849"/>
      <w:r>
        <w:rPr>
          <w:rFonts w:hint="default" w:ascii="方正楷体_GBK" w:hAnsi="方正楷体_GBK" w:eastAsia="方正楷体_GBK" w:cs="方正楷体_GBK"/>
          <w:sz w:val="33"/>
          <w:szCs w:val="33"/>
        </w:rPr>
        <w:t>（二）一般公共预算财政拨款支出决算结构情况</w:t>
      </w:r>
      <w:bookmarkEnd w:id="74"/>
      <w:bookmarkEnd w:id="75"/>
      <w:bookmarkEnd w:id="76"/>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bCs/>
          <w:sz w:val="33"/>
          <w:szCs w:val="33"/>
        </w:rPr>
      </w:pPr>
      <w:bookmarkStart w:id="77" w:name="_Toc19610"/>
      <w:bookmarkStart w:id="78" w:name="_Toc52180083"/>
      <w:bookmarkStart w:id="79" w:name="_Toc15377212"/>
      <w:r>
        <w:rPr>
          <w:rFonts w:hint="default" w:ascii="Times New Roman" w:hAnsi="Times New Roman" w:eastAsia="方正仿宋_GBK" w:cs="Times New Roman"/>
          <w:bCs/>
          <w:sz w:val="33"/>
          <w:szCs w:val="33"/>
        </w:rPr>
        <w:t>2019年一般公共预算财政拨款支出1417万元，主要用于以下方面:一般公共服务（类）支出589万元，占41.56%%；教育支出（类）0万元，占0%；科学技术（类）支出0万元，占0%；文化旅游体育与传媒（类）支出16.7万元，占0.01%；社会保障和就业（类）支出163万元，占11.5%；卫生健康支出19.3万元，占1.4%；住房保障支出67.3万元，占4.7%；城乡社区支出42万元，占2.9%；农林水支出476.8万占33.6%；交通运输支出23万元，占1.6%；灾害防治和应急支出20万，占1.4%。</w:t>
      </w:r>
      <w:bookmarkEnd w:id="77"/>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80" w:name="_Toc327"/>
      <w:r>
        <w:rPr>
          <w:rFonts w:hint="default" w:ascii="方正楷体_GBK" w:hAnsi="方正楷体_GBK" w:eastAsia="方正楷体_GBK" w:cs="方正楷体_GBK"/>
          <w:sz w:val="33"/>
          <w:szCs w:val="33"/>
        </w:rPr>
        <w:t>（三）一般公共预算财政拨款支出决算具体情况</w:t>
      </w:r>
      <w:bookmarkEnd w:id="78"/>
      <w:bookmarkEnd w:id="79"/>
      <w:bookmarkEnd w:id="80"/>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sz w:val="33"/>
          <w:szCs w:val="33"/>
        </w:rPr>
      </w:pPr>
      <w:bookmarkStart w:id="81" w:name="_Toc15377444"/>
      <w:bookmarkStart w:id="82" w:name="_Toc15378460"/>
      <w:bookmarkStart w:id="83" w:name="_Toc52180084"/>
      <w:bookmarkStart w:id="84" w:name="_Toc15377213"/>
      <w:bookmarkStart w:id="85" w:name="_Toc4359"/>
      <w:r>
        <w:rPr>
          <w:rFonts w:hint="default" w:ascii="Times New Roman" w:hAnsi="Times New Roman" w:eastAsia="方正仿宋_GBK" w:cs="Times New Roman"/>
          <w:sz w:val="33"/>
          <w:szCs w:val="33"/>
        </w:rPr>
        <w:t>2019年一般公共预算支出决算数为589.18万元，完成预算100%。其中：</w:t>
      </w:r>
      <w:bookmarkEnd w:id="81"/>
      <w:bookmarkEnd w:id="82"/>
      <w:bookmarkEnd w:id="83"/>
      <w:bookmarkEnd w:id="84"/>
      <w:bookmarkEnd w:id="85"/>
    </w:p>
    <w:p>
      <w:pPr>
        <w:pStyle w:val="20"/>
        <w:pageBreakBefore w:val="0"/>
        <w:widowControl w:val="0"/>
        <w:kinsoku/>
        <w:wordWrap/>
        <w:overflowPunct/>
        <w:topLinePunct w:val="0"/>
        <w:bidi w:val="0"/>
        <w:snapToGrid/>
        <w:spacing w:line="576" w:lineRule="exact"/>
        <w:ind w:firstLine="660"/>
        <w:textAlignment w:val="auto"/>
        <w:outlineLvl w:val="1"/>
        <w:rPr>
          <w:rFonts w:hint="default" w:ascii="Times New Roman" w:hAnsi="Times New Roman" w:eastAsia="方正仿宋_GBK" w:cs="Times New Roman"/>
          <w:sz w:val="33"/>
          <w:szCs w:val="33"/>
        </w:rPr>
      </w:pPr>
      <w:bookmarkStart w:id="86" w:name="_Toc22115"/>
      <w:r>
        <w:rPr>
          <w:rFonts w:hint="default" w:ascii="Times New Roman" w:hAnsi="Times New Roman" w:eastAsia="方正仿宋_GBK" w:cs="Times New Roman"/>
          <w:sz w:val="33"/>
          <w:szCs w:val="33"/>
        </w:rPr>
        <w:t>1.</w:t>
      </w:r>
      <w:r>
        <w:rPr>
          <w:rFonts w:hint="default" w:ascii="Times New Roman" w:hAnsi="Times New Roman" w:eastAsia="方正仿宋_GBK" w:cs="Times New Roman"/>
          <w:b/>
          <w:sz w:val="33"/>
          <w:szCs w:val="33"/>
        </w:rPr>
        <w:t>一般公共服务支出</w:t>
      </w:r>
      <w:r>
        <w:rPr>
          <w:rFonts w:hint="default" w:ascii="Times New Roman" w:hAnsi="Times New Roman" w:eastAsia="方正仿宋_GBK" w:cs="Times New Roman"/>
          <w:sz w:val="33"/>
          <w:szCs w:val="33"/>
        </w:rPr>
        <w:t>:2010101人大事务行政运行支出决算为31.2万元，完成预算100%； 2010301政府行政运行支出决算为409.05万元，完成预算100%；2010302政府一般行政管理事务支出决算为7.49万元，完成预算100%；2010350  事业运行支出决算为16.53万元，完成预算100%；2010602财政一般行政管理事务支出决算为0.72万元，完成预算100%；2012304民族工作专项支出预算33万元，完成预算100%；2012901行政运行支出预算39.89万元，完成预算100%；2012999其他群众团体事务预算支出8万元，完成预算100%；2013101党委行政运行支出决算为43.3万元，完成预算100%；</w:t>
      </w:r>
      <w:bookmarkEnd w:id="86"/>
      <w:r>
        <w:rPr>
          <w:rFonts w:hint="default" w:ascii="Times New Roman" w:hAnsi="Times New Roman" w:eastAsia="方正仿宋_GBK" w:cs="Times New Roman"/>
          <w:sz w:val="33"/>
          <w:szCs w:val="33"/>
        </w:rPr>
        <w:t xml:space="preserve"> </w:t>
      </w:r>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87" w:name="_Toc28332"/>
      <w:r>
        <w:rPr>
          <w:rFonts w:hint="default" w:ascii="Times New Roman" w:hAnsi="Times New Roman" w:eastAsia="方正仿宋_GBK" w:cs="Times New Roman"/>
          <w:b/>
          <w:sz w:val="33"/>
          <w:szCs w:val="33"/>
        </w:rPr>
        <w:t>2.</w:t>
      </w:r>
      <w:r>
        <w:rPr>
          <w:rFonts w:hint="default" w:ascii="Times New Roman" w:hAnsi="Times New Roman" w:eastAsia="方正仿宋_GBK" w:cs="Times New Roman"/>
          <w:bCs/>
          <w:sz w:val="33"/>
          <w:szCs w:val="33"/>
        </w:rPr>
        <w:t xml:space="preserve"> </w:t>
      </w:r>
      <w:r>
        <w:rPr>
          <w:rFonts w:hint="default" w:ascii="Times New Roman" w:hAnsi="Times New Roman" w:eastAsia="方正仿宋_GBK" w:cs="Times New Roman"/>
          <w:b/>
          <w:sz w:val="33"/>
          <w:szCs w:val="33"/>
        </w:rPr>
        <w:t>文化旅游体育与传媒支出:</w:t>
      </w:r>
      <w:r>
        <w:rPr>
          <w:rFonts w:hint="default" w:ascii="Times New Roman" w:hAnsi="Times New Roman" w:eastAsia="方正仿宋_GBK" w:cs="Times New Roman"/>
          <w:sz w:val="33"/>
          <w:szCs w:val="33"/>
        </w:rPr>
        <w:t xml:space="preserve"> 2070109群众文化预算支出16.67万元，完成预算100%；</w:t>
      </w:r>
      <w:bookmarkEnd w:id="87"/>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88" w:name="_Toc23083"/>
      <w:r>
        <w:rPr>
          <w:rFonts w:hint="default" w:ascii="Times New Roman" w:hAnsi="Times New Roman" w:eastAsia="方正仿宋_GBK" w:cs="Times New Roman"/>
          <w:b/>
          <w:sz w:val="33"/>
          <w:szCs w:val="33"/>
        </w:rPr>
        <w:t>3.</w:t>
      </w:r>
      <w:r>
        <w:rPr>
          <w:rFonts w:hint="default" w:ascii="Times New Roman" w:hAnsi="Times New Roman" w:eastAsia="方正仿宋_GBK" w:cs="Times New Roman"/>
          <w:bCs/>
          <w:sz w:val="33"/>
          <w:szCs w:val="33"/>
        </w:rPr>
        <w:t xml:space="preserve"> 社会保障和就业支出</w:t>
      </w:r>
      <w:r>
        <w:rPr>
          <w:rFonts w:hint="default" w:ascii="Times New Roman" w:hAnsi="Times New Roman" w:eastAsia="方正仿宋_GBK" w:cs="Times New Roman"/>
          <w:b/>
          <w:sz w:val="33"/>
          <w:szCs w:val="33"/>
        </w:rPr>
        <w:t>:</w:t>
      </w:r>
      <w:r>
        <w:rPr>
          <w:rFonts w:hint="default" w:ascii="Times New Roman" w:hAnsi="Times New Roman" w:eastAsia="方正仿宋_GBK" w:cs="Times New Roman"/>
          <w:sz w:val="33"/>
          <w:szCs w:val="33"/>
        </w:rPr>
        <w:t xml:space="preserve"> 2080109社会保障和就业预算支出30.59万元，完成预算100%；2080208基层政权和社区建设预算支出50.21万元。完成预算100%;2080504未归口管理的行政单位离退休预算支出19.76万元。完成预算100%；2080505机关事业单位基本养老保险缴费预算支出49.71万元，完成预算100%；2082102农村特困人员救助供养支出12.8万元，完成预算100%；</w:t>
      </w:r>
      <w:bookmarkEnd w:id="88"/>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89" w:name="_Toc29263"/>
      <w:r>
        <w:rPr>
          <w:rFonts w:hint="default" w:ascii="Times New Roman" w:hAnsi="Times New Roman" w:eastAsia="方正仿宋_GBK" w:cs="Times New Roman"/>
          <w:b/>
          <w:sz w:val="33"/>
          <w:szCs w:val="33"/>
        </w:rPr>
        <w:t>4.卫生健康支出：</w:t>
      </w:r>
      <w:r>
        <w:rPr>
          <w:rFonts w:hint="default" w:ascii="Times New Roman" w:hAnsi="Times New Roman" w:eastAsia="方正仿宋_GBK" w:cs="Times New Roman"/>
          <w:sz w:val="33"/>
          <w:szCs w:val="33"/>
        </w:rPr>
        <w:t>2100799卫生健康支出19.37万元，完成预算100%；</w:t>
      </w:r>
      <w:bookmarkEnd w:id="89"/>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90" w:name="_Toc29420"/>
      <w:r>
        <w:rPr>
          <w:rFonts w:hint="default" w:ascii="Times New Roman" w:hAnsi="Times New Roman" w:eastAsia="方正仿宋_GBK" w:cs="Times New Roman"/>
          <w:b/>
          <w:sz w:val="33"/>
          <w:szCs w:val="33"/>
        </w:rPr>
        <w:t>5.城乡社区支出：</w:t>
      </w:r>
      <w:r>
        <w:rPr>
          <w:rFonts w:hint="default" w:ascii="Times New Roman" w:hAnsi="Times New Roman" w:eastAsia="方正仿宋_GBK" w:cs="Times New Roman"/>
          <w:sz w:val="33"/>
          <w:szCs w:val="33"/>
        </w:rPr>
        <w:t>2120501城乡社区环境卫生预算支出42.04万元，完成预算100%；</w:t>
      </w:r>
      <w:bookmarkEnd w:id="90"/>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91" w:name="_Toc19235"/>
      <w:r>
        <w:rPr>
          <w:rFonts w:hint="default" w:ascii="Times New Roman" w:hAnsi="Times New Roman" w:eastAsia="方正仿宋_GBK" w:cs="Times New Roman"/>
          <w:b/>
          <w:sz w:val="33"/>
          <w:szCs w:val="33"/>
        </w:rPr>
        <w:t>6.</w:t>
      </w:r>
      <w:r>
        <w:rPr>
          <w:rFonts w:hint="default" w:ascii="Times New Roman" w:hAnsi="Times New Roman" w:eastAsia="方正仿宋_GBK" w:cs="Times New Roman"/>
          <w:bCs/>
          <w:sz w:val="33"/>
          <w:szCs w:val="33"/>
        </w:rPr>
        <w:t xml:space="preserve"> </w:t>
      </w:r>
      <w:r>
        <w:rPr>
          <w:rFonts w:hint="default" w:ascii="Times New Roman" w:hAnsi="Times New Roman" w:eastAsia="方正仿宋_GBK" w:cs="Times New Roman"/>
          <w:b/>
          <w:sz w:val="33"/>
          <w:szCs w:val="33"/>
        </w:rPr>
        <w:t>农林水支出：</w:t>
      </w:r>
      <w:r>
        <w:rPr>
          <w:rFonts w:hint="default" w:ascii="Times New Roman" w:hAnsi="Times New Roman" w:eastAsia="方正仿宋_GBK" w:cs="Times New Roman"/>
          <w:sz w:val="33"/>
          <w:szCs w:val="33"/>
        </w:rPr>
        <w:t>2130104事业运行预算支出132.24万元，完成预算100%；2130599其他扶贫支出19.76万元，完成预算100%；2130701对村级一事一议的补助预算支出15.88万元，完成预算100%；2130705对村民委员会和村党支部的补助预算支出297.47万元，完成预算100%；</w:t>
      </w:r>
      <w:bookmarkEnd w:id="91"/>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92" w:name="_Toc21704"/>
      <w:r>
        <w:rPr>
          <w:rFonts w:hint="default" w:ascii="Times New Roman" w:hAnsi="Times New Roman" w:eastAsia="方正仿宋_GBK" w:cs="Times New Roman"/>
          <w:b/>
          <w:sz w:val="33"/>
          <w:szCs w:val="33"/>
        </w:rPr>
        <w:t>7.</w:t>
      </w:r>
      <w:r>
        <w:rPr>
          <w:rFonts w:hint="default" w:ascii="Times New Roman" w:hAnsi="Times New Roman" w:eastAsia="方正仿宋_GBK" w:cs="Times New Roman"/>
          <w:bCs/>
          <w:sz w:val="33"/>
          <w:szCs w:val="33"/>
        </w:rPr>
        <w:t xml:space="preserve"> </w:t>
      </w:r>
      <w:r>
        <w:rPr>
          <w:rFonts w:hint="default" w:ascii="Times New Roman" w:hAnsi="Times New Roman" w:eastAsia="方正仿宋_GBK" w:cs="Times New Roman"/>
          <w:b/>
          <w:sz w:val="33"/>
          <w:szCs w:val="33"/>
        </w:rPr>
        <w:t>交通运输支出:</w:t>
      </w:r>
      <w:r>
        <w:rPr>
          <w:rFonts w:hint="default" w:ascii="Times New Roman" w:hAnsi="Times New Roman" w:eastAsia="方正仿宋_GBK" w:cs="Times New Roman"/>
          <w:sz w:val="33"/>
          <w:szCs w:val="33"/>
        </w:rPr>
        <w:t xml:space="preserve"> 2140106交通运输支出22.57万元，完成预算100%；</w:t>
      </w:r>
      <w:bookmarkEnd w:id="92"/>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sz w:val="33"/>
          <w:szCs w:val="33"/>
        </w:rPr>
      </w:pPr>
      <w:bookmarkStart w:id="93" w:name="_Toc24496"/>
      <w:r>
        <w:rPr>
          <w:rFonts w:hint="default" w:ascii="Times New Roman" w:hAnsi="Times New Roman" w:eastAsia="方正仿宋_GBK" w:cs="Times New Roman"/>
          <w:b/>
          <w:sz w:val="33"/>
          <w:szCs w:val="33"/>
        </w:rPr>
        <w:t>8.住房保障支出:</w:t>
      </w:r>
      <w:r>
        <w:rPr>
          <w:rFonts w:hint="default" w:ascii="Times New Roman" w:hAnsi="Times New Roman" w:eastAsia="方正仿宋_GBK" w:cs="Times New Roman"/>
          <w:sz w:val="33"/>
          <w:szCs w:val="33"/>
        </w:rPr>
        <w:t xml:space="preserve"> 2210103棚户区改造预算支出11.16万元，完成预算100%；2210201住房公积金56.16万元，完成预算100%；</w:t>
      </w:r>
      <w:bookmarkEnd w:id="93"/>
    </w:p>
    <w:p>
      <w:pPr>
        <w:pStyle w:val="20"/>
        <w:pageBreakBefore w:val="0"/>
        <w:widowControl w:val="0"/>
        <w:kinsoku/>
        <w:wordWrap/>
        <w:overflowPunct/>
        <w:topLinePunct w:val="0"/>
        <w:bidi w:val="0"/>
        <w:snapToGrid/>
        <w:spacing w:line="576" w:lineRule="exact"/>
        <w:ind w:firstLine="663"/>
        <w:textAlignment w:val="auto"/>
        <w:outlineLvl w:val="1"/>
        <w:rPr>
          <w:rFonts w:hint="default" w:ascii="Times New Roman" w:hAnsi="Times New Roman" w:eastAsia="方正仿宋_GBK" w:cs="Times New Roman"/>
          <w:bCs/>
          <w:sz w:val="33"/>
          <w:szCs w:val="33"/>
        </w:rPr>
      </w:pPr>
      <w:bookmarkStart w:id="94" w:name="_Toc27486"/>
      <w:r>
        <w:rPr>
          <w:rFonts w:hint="default" w:ascii="Times New Roman" w:hAnsi="Times New Roman" w:eastAsia="方正仿宋_GBK" w:cs="Times New Roman"/>
          <w:b/>
          <w:sz w:val="33"/>
          <w:szCs w:val="33"/>
        </w:rPr>
        <w:t>9.</w:t>
      </w:r>
      <w:r>
        <w:rPr>
          <w:rFonts w:hint="default" w:ascii="Times New Roman" w:hAnsi="Times New Roman" w:eastAsia="方正仿宋_GBK" w:cs="Times New Roman"/>
          <w:bCs/>
          <w:sz w:val="33"/>
          <w:szCs w:val="33"/>
        </w:rPr>
        <w:t xml:space="preserve"> </w:t>
      </w:r>
      <w:r>
        <w:rPr>
          <w:rFonts w:hint="default" w:ascii="Times New Roman" w:hAnsi="Times New Roman" w:eastAsia="方正仿宋_GBK" w:cs="Times New Roman"/>
          <w:b/>
          <w:sz w:val="33"/>
          <w:szCs w:val="33"/>
        </w:rPr>
        <w:t>灾害防治及应急管理支出:</w:t>
      </w:r>
      <w:r>
        <w:rPr>
          <w:rFonts w:hint="default" w:ascii="Times New Roman" w:hAnsi="Times New Roman" w:eastAsia="方正仿宋_GBK" w:cs="Times New Roman"/>
          <w:sz w:val="33"/>
          <w:szCs w:val="33"/>
        </w:rPr>
        <w:t xml:space="preserve"> 2240106安全监管预算支出19.96万元，完成预算100%;2240701中央自然灾害生活补助预算支出0.37万元，完成预算100%。</w:t>
      </w:r>
      <w:bookmarkEnd w:id="94"/>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95" w:name="_Toc15396608"/>
      <w:bookmarkStart w:id="96" w:name="_Toc15377214"/>
      <w:bookmarkStart w:id="97" w:name="_Toc52180085"/>
      <w:bookmarkStart w:id="98" w:name="_Toc5967"/>
      <w:r>
        <w:rPr>
          <w:rFonts w:hint="default" w:ascii="方正黑体_GBK" w:hAnsi="方正黑体_GBK" w:eastAsia="方正黑体_GBK" w:cs="方正黑体_GBK"/>
          <w:b w:val="0"/>
          <w:bCs w:val="0"/>
          <w:sz w:val="33"/>
          <w:szCs w:val="33"/>
        </w:rPr>
        <w:t>六、一般公共预算财政拨款基本支出决算情况说明</w:t>
      </w:r>
      <w:bookmarkEnd w:id="95"/>
      <w:bookmarkEnd w:id="96"/>
      <w:bookmarkEnd w:id="97"/>
      <w:bookmarkEnd w:id="98"/>
      <w:r>
        <w:rPr>
          <w:rFonts w:hint="default" w:ascii="方正黑体_GBK" w:hAnsi="方正黑体_GBK" w:eastAsia="方正黑体_GBK" w:cs="方正黑体_GBK"/>
          <w:b w:val="0"/>
          <w:bCs w:val="0"/>
          <w:sz w:val="33"/>
          <w:szCs w:val="33"/>
        </w:rPr>
        <w:tab/>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一般公共预算财政拨款基本支出620.03万元，其中：人员经费717.84万元，主要包括：基本工资140.3万元、津贴补贴152.99万元、奖金207.31万元、绩效工资82.92万元、机关事业单位基本养老保险缴费49.71万元、其他社会保障缴费28.44万元、住房公积金56.16万元等。</w:t>
      </w:r>
      <w:r>
        <w:rPr>
          <w:rFonts w:hint="default" w:ascii="Times New Roman" w:hAnsi="Times New Roman" w:eastAsia="方正仿宋_GBK" w:cs="Times New Roman"/>
          <w:sz w:val="33"/>
          <w:szCs w:val="33"/>
        </w:rPr>
        <w:br w:type="textWrapping"/>
      </w:r>
      <w:r>
        <w:rPr>
          <w:rFonts w:hint="default" w:ascii="Times New Roman" w:hAnsi="Times New Roman" w:eastAsia="方正仿宋_GBK" w:cs="Times New Roman"/>
          <w:sz w:val="33"/>
          <w:szCs w:val="33"/>
        </w:rPr>
        <w:t>　　日常公用经费119.32万元，主要包括：办公费18.8万元、电费3.12万元、邮电费1.91万元、差旅费18.15万元、维修费0.05万元、租赁费0.04万元、会议费7.39万元、培训费1.38万元、公务接待费0.07万元、劳务费22.46万元、工会经费6.26万元、福利费4.41万元、公务用车运行维护费8.01万元、其他交通费19.5万元、其他商品和服务支出8万元等。</w:t>
      </w:r>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99" w:name="_Toc52180086"/>
      <w:bookmarkStart w:id="100" w:name="_Toc15377215"/>
      <w:bookmarkStart w:id="101" w:name="_Toc15396609"/>
      <w:bookmarkStart w:id="102" w:name="_Toc27135"/>
      <w:r>
        <w:rPr>
          <w:rFonts w:hint="default" w:ascii="方正黑体_GBK" w:hAnsi="方正黑体_GBK" w:eastAsia="方正黑体_GBK" w:cs="方正黑体_GBK"/>
          <w:b w:val="0"/>
          <w:bCs w:val="0"/>
          <w:sz w:val="33"/>
          <w:szCs w:val="33"/>
        </w:rPr>
        <w:t>七、“三公”经费财政拨款支出决算情况说明</w:t>
      </w:r>
      <w:bookmarkEnd w:id="99"/>
      <w:bookmarkEnd w:id="100"/>
      <w:bookmarkEnd w:id="101"/>
      <w:bookmarkEnd w:id="102"/>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03" w:name="_Toc15377216"/>
      <w:bookmarkStart w:id="104" w:name="_Toc52180087"/>
      <w:bookmarkStart w:id="105" w:name="_Toc25625"/>
      <w:r>
        <w:rPr>
          <w:rFonts w:hint="default" w:ascii="方正楷体_GBK" w:hAnsi="方正楷体_GBK" w:eastAsia="方正楷体_GBK" w:cs="方正楷体_GBK"/>
          <w:sz w:val="33"/>
          <w:szCs w:val="33"/>
        </w:rPr>
        <w:t>（一）“三公”经费财政拨款支出决算总体情况说明</w:t>
      </w:r>
      <w:bookmarkEnd w:id="103"/>
      <w:bookmarkEnd w:id="104"/>
      <w:bookmarkEnd w:id="105"/>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2019年“三公”经费财政拨款支出决算为8.08万元，完成预算100%，其中：公务用车运行维护费8.01万元，公务接待费0.07万元、。</w:t>
      </w:r>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06" w:name="_Toc15377217"/>
      <w:bookmarkStart w:id="107" w:name="_Toc52180088"/>
      <w:bookmarkStart w:id="108" w:name="_Toc32313"/>
      <w:r>
        <w:rPr>
          <w:rFonts w:hint="default" w:ascii="方正楷体_GBK" w:hAnsi="方正楷体_GBK" w:eastAsia="方正楷体_GBK" w:cs="方正楷体_GBK"/>
          <w:sz w:val="33"/>
          <w:szCs w:val="33"/>
        </w:rPr>
        <w:t>（二）“三公”经费财政拨款支出决算具体情况说明</w:t>
      </w:r>
      <w:bookmarkEnd w:id="106"/>
      <w:bookmarkEnd w:id="107"/>
      <w:bookmarkEnd w:id="108"/>
    </w:p>
    <w:p>
      <w:pPr>
        <w:pageBreakBefore w:val="0"/>
        <w:widowControl w:val="0"/>
        <w:kinsoku/>
        <w:wordWrap/>
        <w:overflowPunct/>
        <w:topLinePunct w:val="0"/>
        <w:bidi w:val="0"/>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2019年“三公”经费财政拨款支出决算中，因公出国（境）费支出决算0万元；公务用车购置及运行维护费支出决算8.01万元，占99.1%；公务接待费支出决算0.07万元，占0.9%。具体情况如下：</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1.因公出国（境）经费支出0万元。</w:t>
      </w:r>
    </w:p>
    <w:p>
      <w:pPr>
        <w:pageBreakBefore w:val="0"/>
        <w:widowControl w:val="0"/>
        <w:kinsoku/>
        <w:wordWrap/>
        <w:overflowPunct/>
        <w:topLinePunct w:val="0"/>
        <w:bidi w:val="0"/>
        <w:snapToGrid/>
        <w:spacing w:line="576" w:lineRule="exact"/>
        <w:ind w:firstLine="825" w:firstLineChars="25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公务用车购置及运行维护费支出8.01万元,完成预算100%。公务用车购置及运行维护费支出决算比2018年增加2.01万元，上升33%。主要原因是维修费用增加，其中：公务用车购置支出0万元。全年按规定更新购置公务用车0辆，金额0元。截至2019年12月底，单位共有公务用车2辆，其中：主要领导干部用车0辆、机要通信用车1辆、应急保障用车1辆、 执法执勤用车0辆、特种专业技术用车0辆。</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 公务接待费支出0.07万元。公务接待费支出决算比2018年减少0.05万元，下降41%。</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（1）公务用车运行维护费支出8.01万元。主要用于具体工作等所需的公务用车燃料费、维修费、过路过桥费、保险费等支出。</w:t>
      </w:r>
    </w:p>
    <w:p>
      <w:pPr>
        <w:pageBreakBefore w:val="0"/>
        <w:widowControl w:val="0"/>
        <w:kinsoku/>
        <w:wordWrap/>
        <w:overflowPunct/>
        <w:topLinePunct w:val="0"/>
        <w:bidi w:val="0"/>
        <w:snapToGrid/>
        <w:spacing w:line="576" w:lineRule="exact"/>
        <w:ind w:firstLine="64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（2）国内公务接待支出0.07万元。主要用于执行公务、开展业务活动开支的交通费、住宿费、用餐费等。具体内容包括：市、县各部门公务接待用餐。外事接待支出0万元，外事接待0批次，0人，共计支出0万元。</w:t>
      </w:r>
      <w:bookmarkStart w:id="109" w:name="_Toc15396610"/>
      <w:bookmarkStart w:id="110" w:name="_Toc15377218"/>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11" w:name="_Toc52180089"/>
      <w:bookmarkStart w:id="112" w:name="_Toc14780"/>
      <w:r>
        <w:rPr>
          <w:rFonts w:hint="default" w:ascii="方正黑体_GBK" w:hAnsi="方正黑体_GBK" w:eastAsia="方正黑体_GBK" w:cs="方正黑体_GBK"/>
          <w:b w:val="0"/>
          <w:bCs w:val="0"/>
          <w:sz w:val="33"/>
          <w:szCs w:val="33"/>
        </w:rPr>
        <w:t>八、政府性基金预算支出决算情况说明</w:t>
      </w:r>
      <w:bookmarkEnd w:id="109"/>
      <w:bookmarkEnd w:id="110"/>
      <w:bookmarkEnd w:id="111"/>
      <w:bookmarkEnd w:id="112"/>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2019年政府性基金预算拨款支出0万元。</w:t>
      </w:r>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13" w:name="_Toc52180090"/>
      <w:bookmarkStart w:id="114" w:name="_Toc15377219"/>
      <w:bookmarkStart w:id="115" w:name="_Toc15396611"/>
      <w:bookmarkStart w:id="116" w:name="_Toc16379"/>
      <w:r>
        <w:rPr>
          <w:rFonts w:hint="default" w:ascii="方正黑体_GBK" w:hAnsi="方正黑体_GBK" w:eastAsia="方正黑体_GBK" w:cs="方正黑体_GBK"/>
          <w:b w:val="0"/>
          <w:bCs w:val="0"/>
          <w:sz w:val="33"/>
          <w:szCs w:val="33"/>
        </w:rPr>
        <w:t>九、国有资本经营预算支出决算情况说明</w:t>
      </w:r>
      <w:bookmarkEnd w:id="113"/>
      <w:bookmarkEnd w:id="114"/>
      <w:bookmarkEnd w:id="115"/>
      <w:bookmarkEnd w:id="116"/>
    </w:p>
    <w:p>
      <w:pPr>
        <w:pageBreakBefore w:val="0"/>
        <w:widowControl w:val="0"/>
        <w:kinsoku/>
        <w:wordWrap/>
        <w:overflowPunct/>
        <w:topLinePunct w:val="0"/>
        <w:bidi w:val="0"/>
        <w:snapToGrid/>
        <w:spacing w:line="576" w:lineRule="exact"/>
        <w:ind w:firstLine="990" w:firstLineChars="3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2019年国有资本经营预算拨款支出0万元。</w:t>
      </w:r>
    </w:p>
    <w:p>
      <w:pPr>
        <w:pStyle w:val="3"/>
        <w:keepNext/>
        <w:keepLines/>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17" w:name="_Toc15396612"/>
      <w:bookmarkStart w:id="118" w:name="_Toc15377221"/>
      <w:bookmarkStart w:id="119" w:name="_Toc52180091"/>
      <w:bookmarkStart w:id="120" w:name="_Toc16280"/>
      <w:r>
        <w:rPr>
          <w:rFonts w:hint="default" w:ascii="方正黑体_GBK" w:hAnsi="方正黑体_GBK" w:eastAsia="方正黑体_GBK" w:cs="方正黑体_GBK"/>
          <w:b w:val="0"/>
          <w:bCs w:val="0"/>
          <w:sz w:val="33"/>
          <w:szCs w:val="33"/>
        </w:rPr>
        <w:t>十、其他重要事项的情况说明</w:t>
      </w:r>
      <w:bookmarkEnd w:id="117"/>
      <w:bookmarkEnd w:id="118"/>
      <w:bookmarkEnd w:id="119"/>
      <w:bookmarkEnd w:id="120"/>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21" w:name="_Toc52180092"/>
      <w:bookmarkStart w:id="122" w:name="_Toc15377222"/>
      <w:bookmarkStart w:id="123" w:name="_Toc5028"/>
      <w:r>
        <w:rPr>
          <w:rFonts w:hint="default" w:ascii="方正楷体_GBK" w:hAnsi="方正楷体_GBK" w:eastAsia="方正楷体_GBK" w:cs="方正楷体_GBK"/>
          <w:sz w:val="33"/>
          <w:szCs w:val="33"/>
        </w:rPr>
        <w:t>（一）机关运行经费支出情况</w:t>
      </w:r>
      <w:bookmarkEnd w:id="121"/>
      <w:bookmarkEnd w:id="122"/>
      <w:bookmarkEnd w:id="123"/>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sz w:val="33"/>
          <w:szCs w:val="33"/>
        </w:rPr>
        <w:t>2019年，红果乡机关运行经费支出1352万元，比2018年增加219万元，增长19%。主要原因是项目支出较多</w:t>
      </w:r>
      <w:r>
        <w:rPr>
          <w:rFonts w:hint="default" w:ascii="Times New Roman" w:hAnsi="Times New Roman" w:eastAsia="方正仿宋_GBK" w:cs="Times New Roman"/>
          <w:color w:val="000000"/>
          <w:sz w:val="33"/>
          <w:szCs w:val="33"/>
        </w:rPr>
        <w:t>。</w:t>
      </w:r>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24" w:name="_Toc15377223"/>
      <w:bookmarkStart w:id="125" w:name="_Toc52180093"/>
      <w:bookmarkStart w:id="126" w:name="_Toc16647"/>
      <w:r>
        <w:rPr>
          <w:rFonts w:hint="default" w:ascii="方正楷体_GBK" w:hAnsi="方正楷体_GBK" w:eastAsia="方正楷体_GBK" w:cs="方正楷体_GBK"/>
          <w:sz w:val="33"/>
          <w:szCs w:val="33"/>
        </w:rPr>
        <w:t>（二）政府采购支出情况</w:t>
      </w:r>
      <w:bookmarkEnd w:id="124"/>
      <w:bookmarkEnd w:id="125"/>
      <w:bookmarkEnd w:id="126"/>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27" w:name="_Toc15377224"/>
      <w:bookmarkStart w:id="128" w:name="_Toc52180094"/>
      <w:bookmarkStart w:id="129" w:name="_Toc5559"/>
      <w:r>
        <w:rPr>
          <w:rFonts w:hint="default" w:ascii="方正楷体_GBK" w:hAnsi="方正楷体_GBK" w:eastAsia="方正楷体_GBK" w:cs="方正楷体_GBK"/>
          <w:sz w:val="33"/>
          <w:szCs w:val="33"/>
        </w:rPr>
        <w:t>（三）国有资产占有使用情况</w:t>
      </w:r>
      <w:bookmarkEnd w:id="127"/>
      <w:bookmarkEnd w:id="128"/>
      <w:bookmarkEnd w:id="129"/>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截至2019年12月31日，共有车辆2辆，其中：主要领导干部用车0辆、机要通信用车1辆、应急保障用车1辆、特种专业技术用车0辆，单价50万元以上通用设备0台（套），单价100万元以上专用设备0台（套）。</w:t>
      </w:r>
    </w:p>
    <w:p>
      <w:pPr>
        <w:pStyle w:val="4"/>
        <w:pageBreakBefore w:val="0"/>
        <w:widowControl w:val="0"/>
        <w:kinsoku/>
        <w:wordWrap/>
        <w:overflowPunct/>
        <w:topLinePunct w:val="0"/>
        <w:bidi w:val="0"/>
        <w:snapToGrid/>
        <w:spacing w:line="576" w:lineRule="exact"/>
        <w:ind w:firstLine="663" w:firstLineChars="200"/>
        <w:textAlignment w:val="auto"/>
        <w:rPr>
          <w:rFonts w:hint="default" w:ascii="方正楷体_GBK" w:hAnsi="方正楷体_GBK" w:eastAsia="方正楷体_GBK" w:cs="方正楷体_GBK"/>
          <w:sz w:val="33"/>
          <w:szCs w:val="33"/>
        </w:rPr>
      </w:pPr>
      <w:bookmarkStart w:id="130" w:name="_Toc52180095"/>
      <w:bookmarkStart w:id="131" w:name="_Toc13516"/>
      <w:r>
        <w:rPr>
          <w:rFonts w:hint="default" w:ascii="方正楷体_GBK" w:hAnsi="方正楷体_GBK" w:eastAsia="方正楷体_GBK" w:cs="方正楷体_GBK"/>
          <w:sz w:val="33"/>
          <w:szCs w:val="33"/>
        </w:rPr>
        <w:t>（四）预算绩效管理情况。</w:t>
      </w:r>
      <w:bookmarkEnd w:id="130"/>
      <w:bookmarkEnd w:id="131"/>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根据预算绩效管理要求，红果乡人民政府在年初预算编制阶段，组织对红果乡项目开展了预算事前绩效评估，对47个项目编制了绩效目标，预算执行过程中，选取47个项目开展绩效监控，年终执行完毕后，对47个项目开展了绩效目标完成情况自评。</w:t>
      </w: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项目绩效目标完成情况：本部门在2019年度部门决算中反映“公共运行””对村级一事一议的补助”“三州开发项目用于红果乡人行桥和水毁道路恢复项目”等47个项目绩效目标实际完成情况。</w:t>
      </w: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乡镇公共运行红果乡基层组织活动和公共服务运行经费项目绩效目标完成情况综述。项目全年预算数56万元，执行数为56万元，完成预算的100%。通过项目实施，提高了个村的公共运行项目和基础设施的改善，提高各村的运行效率。发现的主要问题：项目报账较慢。下一步改进措施：加快公共运行的报账。</w:t>
      </w: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对村民一事一议奖补资金项目绩效目标完成情况综述。项目全年预算数15.88万元，执行数为15.88万元，完成预算的100%。通过项目实施，保障各村一事一议项目的顺利推进和开展，发现的主要问题：资金的利用产的效益较低。下一步改进措施：努力提高资金的利用效益。</w:t>
      </w: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三州开发项目用于红果乡人行桥和水毁道路恢复项目绩效目标完成情况综述。项目全年预算数33万元，执行数为33万元，完成预算的100%。通过项目实施，提高了红果三社农户出行安全，有力于促进该村社的农户生产和生活，提高生产效率。发现的主要问题：该项目实施进度较慢。下一步改进措施：以后加快项目推进的速度。</w:t>
      </w: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val="0"/>
        <w:autoSpaceDN w:val="0"/>
        <w:bidi w:val="0"/>
        <w:adjustRightInd w:val="0"/>
        <w:snapToGrid/>
        <w:spacing w:line="576" w:lineRule="exact"/>
        <w:ind w:firstLine="660" w:firstLineChars="200"/>
        <w:jc w:val="left"/>
        <w:textAlignment w:val="auto"/>
        <w:rPr>
          <w:rFonts w:hint="default" w:ascii="Times New Roman" w:hAnsi="Times New Roman" w:eastAsia="方正仿宋_GBK" w:cs="Times New Roman"/>
          <w:sz w:val="33"/>
          <w:szCs w:val="33"/>
        </w:rPr>
      </w:pPr>
    </w:p>
    <w:p>
      <w:pPr>
        <w:autoSpaceDE w:val="0"/>
        <w:autoSpaceDN w:val="0"/>
        <w:adjustRightInd w:val="0"/>
        <w:spacing w:line="600" w:lineRule="exact"/>
        <w:ind w:firstLine="660" w:firstLineChars="200"/>
        <w:jc w:val="left"/>
        <w:rPr>
          <w:rFonts w:hint="default" w:ascii="Times New Roman" w:hAnsi="Times New Roman" w:eastAsia="方正仿宋_GBK" w:cs="Times New Roman"/>
          <w:sz w:val="33"/>
          <w:szCs w:val="33"/>
        </w:rPr>
      </w:pPr>
    </w:p>
    <w:tbl>
      <w:tblPr>
        <w:tblStyle w:val="15"/>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143"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b/>
                <w:color w:val="000000"/>
                <w:sz w:val="20"/>
                <w:szCs w:val="20"/>
              </w:rPr>
              <w:t>一</w:t>
            </w:r>
            <w:r>
              <w:rPr>
                <w:rStyle w:val="30"/>
                <w:rFonts w:hint="default" w:ascii="Times New Roman" w:hAnsi="Times New Roman" w:eastAsia="方正仿宋_GBK" w:cs="Times New Roman"/>
                <w:sz w:val="20"/>
                <w:szCs w:val="20"/>
              </w:rPr>
              <w:t>般公共预算财政拨款</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红果乡人民政府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538万元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538万元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方正仿宋_GBK" w:cs="Times New Roman"/>
                <w:color w:val="000000"/>
                <w:sz w:val="20"/>
                <w:szCs w:val="20"/>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方正仿宋_GBK" w:cs="Times New Roman"/>
                <w:color w:val="000000"/>
                <w:sz w:val="20"/>
                <w:szCs w:val="20"/>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eastAsia="方正仿宋_GBK" w:cs="Times New Roman"/>
                <w:color w:val="000000"/>
                <w:sz w:val="20"/>
                <w:szCs w:val="20"/>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预计完成全年目标的95%以上。</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达到了年初预期目标</w:t>
            </w:r>
          </w:p>
        </w:tc>
      </w:tr>
      <w:tr>
        <w:tblPrEx>
          <w:tblCellMar>
            <w:top w:w="0" w:type="dxa"/>
            <w:left w:w="0" w:type="dxa"/>
            <w:bottom w:w="0" w:type="dxa"/>
            <w:right w:w="0" w:type="dxa"/>
          </w:tblCellMar>
        </w:tblPrEx>
        <w:trPr>
          <w:trHeight w:val="454" w:hRule="exact"/>
          <w:jc w:val="center"/>
        </w:trPr>
        <w:tc>
          <w:tcPr>
            <w:tcW w:w="390" w:type="dxa"/>
            <w:vMerge w:val="restart"/>
            <w:tcBorders>
              <w:top w:val="single" w:color="000000" w:sz="4" w:space="0"/>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实际完成指标值(包含数字及文字描述)</w:t>
            </w: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项目完成指标</w:t>
            </w:r>
          </w:p>
        </w:tc>
        <w:tc>
          <w:tcPr>
            <w:tcW w:w="102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项目完成指标</w:t>
            </w:r>
          </w:p>
        </w:tc>
        <w:tc>
          <w:tcPr>
            <w:tcW w:w="1025"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top w:val="single" w:color="auto" w:sz="4" w:space="0"/>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sz w:val="20"/>
                <w:szCs w:val="20"/>
              </w:rPr>
              <w:t>……</w:t>
            </w:r>
          </w:p>
        </w:tc>
        <w:tc>
          <w:tcPr>
            <w:tcW w:w="102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kern w:val="0"/>
                <w:sz w:val="20"/>
                <w:szCs w:val="20"/>
              </w:rPr>
            </w:pPr>
            <w:r>
              <w:rPr>
                <w:rFonts w:hint="default" w:ascii="Times New Roman" w:hAnsi="Times New Roman" w:eastAsia="方正仿宋_GBK" w:cs="Times New Roman"/>
                <w:color w:val="000000"/>
                <w:kern w:val="0"/>
                <w:sz w:val="20"/>
                <w:szCs w:val="20"/>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r>
        <w:tblPrEx>
          <w:tblCellMar>
            <w:top w:w="0" w:type="dxa"/>
            <w:left w:w="0" w:type="dxa"/>
            <w:bottom w:w="0" w:type="dxa"/>
            <w:right w:w="0" w:type="dxa"/>
          </w:tblCellMar>
        </w:tblPrEx>
        <w:trPr>
          <w:trHeight w:val="454" w:hRule="exact"/>
          <w:jc w:val="center"/>
        </w:trPr>
        <w:tc>
          <w:tcPr>
            <w:tcW w:w="390" w:type="dxa"/>
            <w:vMerge w:val="continue"/>
            <w:tcBorders>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r>
              <w:rPr>
                <w:rFonts w:hint="default" w:ascii="Times New Roman" w:hAnsi="Times New Roman" w:eastAsia="方正仿宋_GBK" w:cs="Times New Roman"/>
                <w:color w:val="000000"/>
                <w:kern w:val="0"/>
                <w:sz w:val="20"/>
                <w:szCs w:val="20"/>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eastAsia="方正仿宋_GBK" w:cs="Times New Roman"/>
                <w:color w:val="000000"/>
                <w:sz w:val="20"/>
                <w:szCs w:val="20"/>
              </w:rPr>
            </w:pPr>
          </w:p>
        </w:tc>
      </w:tr>
    </w:tbl>
    <w:p>
      <w:pPr>
        <w:spacing w:line="580" w:lineRule="exact"/>
        <w:ind w:left="630"/>
        <w:jc w:val="center"/>
        <w:rPr>
          <w:rFonts w:hint="eastAsia" w:ascii="方正小标宋_GBK" w:hAnsi="方正小标宋_GBK" w:eastAsia="方正小标宋_GBK" w:cs="方正小标宋_GBK"/>
          <w:sz w:val="38"/>
          <w:szCs w:val="38"/>
        </w:rPr>
      </w:pPr>
      <w:r>
        <w:rPr>
          <w:rFonts w:hint="eastAsia" w:ascii="方正小标宋_GBK" w:hAnsi="方正小标宋_GBK" w:eastAsia="方正小标宋_GBK" w:cs="方正小标宋_GBK"/>
          <w:sz w:val="38"/>
          <w:szCs w:val="38"/>
        </w:rPr>
        <w:t>部门绩效评价结果</w:t>
      </w:r>
    </w:p>
    <w:p>
      <w:pPr>
        <w:spacing w:line="580" w:lineRule="exact"/>
        <w:ind w:firstLine="660" w:firstLineChars="200"/>
        <w:rPr>
          <w:rFonts w:hint="eastAsia" w:cs="方正仿宋_GBK"/>
          <w:sz w:val="33"/>
          <w:szCs w:val="33"/>
        </w:rPr>
      </w:pPr>
    </w:p>
    <w:p>
      <w:pPr>
        <w:spacing w:line="58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本部门按要求对2019年度部门整体支出绩效评价情况开展自评，《红果乡2019年部门整体支出绩效评价报告》见附件（附件1）。</w:t>
      </w:r>
    </w:p>
    <w:p>
      <w:pPr>
        <w:spacing w:line="580" w:lineRule="exact"/>
        <w:ind w:firstLine="660" w:firstLineChars="200"/>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本部门自行组织对 “红果乡垃圾车购买”项目、项目开展了绩效评价，《红果乡垃圾车购买项目2019年绩效评价报告》见附件（附件2）。</w:t>
      </w:r>
    </w:p>
    <w:p>
      <w:pPr>
        <w:spacing w:line="600" w:lineRule="exact"/>
        <w:jc w:val="left"/>
        <w:outlineLvl w:val="9"/>
        <w:rPr>
          <w:rFonts w:ascii="黑体" w:hAnsi="黑体" w:eastAsia="黑体" w:cs="黑体"/>
          <w:sz w:val="32"/>
          <w:szCs w:val="32"/>
        </w:rPr>
      </w:pPr>
      <w:bookmarkStart w:id="132" w:name="_Toc50042290"/>
      <w:bookmarkStart w:id="133" w:name="_Toc50042766"/>
      <w:bookmarkStart w:id="134" w:name="_Toc54277995"/>
    </w:p>
    <w:p>
      <w:pPr>
        <w:spacing w:line="600" w:lineRule="exact"/>
        <w:jc w:val="left"/>
        <w:outlineLvl w:val="9"/>
        <w:rPr>
          <w:rFonts w:ascii="黑体" w:hAnsi="黑体" w:eastAsia="黑体" w:cs="黑体"/>
          <w:sz w:val="32"/>
          <w:szCs w:val="32"/>
        </w:rPr>
      </w:pPr>
    </w:p>
    <w:p>
      <w:pPr>
        <w:spacing w:line="600" w:lineRule="exact"/>
        <w:jc w:val="left"/>
        <w:outlineLvl w:val="9"/>
        <w:rPr>
          <w:rFonts w:ascii="黑体" w:hAnsi="黑体" w:eastAsia="黑体" w:cs="黑体"/>
          <w:sz w:val="32"/>
          <w:szCs w:val="32"/>
        </w:rPr>
      </w:pPr>
    </w:p>
    <w:p>
      <w:pPr>
        <w:spacing w:line="600" w:lineRule="exact"/>
        <w:jc w:val="left"/>
        <w:outlineLvl w:val="9"/>
        <w:rPr>
          <w:rFonts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9"/>
        <w:rPr>
          <w:rFonts w:hint="eastAsia" w:ascii="黑体" w:hAnsi="黑体" w:eastAsia="黑体" w:cs="黑体"/>
          <w:sz w:val="32"/>
          <w:szCs w:val="32"/>
        </w:rPr>
      </w:pPr>
    </w:p>
    <w:p>
      <w:pPr>
        <w:spacing w:line="600" w:lineRule="exact"/>
        <w:jc w:val="left"/>
        <w:outlineLvl w:val="1"/>
        <w:rPr>
          <w:rFonts w:hint="default" w:ascii="Times New Roman" w:hAnsi="Times New Roman" w:eastAsia="方正仿宋_GBK" w:cs="Times New Roman"/>
          <w:sz w:val="33"/>
          <w:szCs w:val="33"/>
        </w:rPr>
      </w:pPr>
      <w:bookmarkStart w:id="135" w:name="_Toc9486"/>
      <w:r>
        <w:rPr>
          <w:rFonts w:hint="default" w:ascii="Times New Roman" w:hAnsi="Times New Roman" w:eastAsia="方正仿宋_GBK" w:cs="Times New Roman"/>
          <w:sz w:val="33"/>
          <w:szCs w:val="33"/>
        </w:rPr>
        <w:t>附件1</w:t>
      </w:r>
      <w:bookmarkEnd w:id="132"/>
      <w:bookmarkEnd w:id="133"/>
      <w:bookmarkEnd w:id="134"/>
      <w:bookmarkEnd w:id="135"/>
    </w:p>
    <w:p>
      <w:pPr>
        <w:spacing w:line="600" w:lineRule="exact"/>
        <w:jc w:val="center"/>
        <w:rPr>
          <w:rFonts w:ascii="仿宋_GB2312" w:hAnsi="仿宋_GB2312" w:eastAsia="仿宋_GB2312" w:cs="仿宋_GB2312"/>
          <w:sz w:val="32"/>
          <w:szCs w:val="32"/>
        </w:rPr>
      </w:pPr>
    </w:p>
    <w:p>
      <w:pPr>
        <w:spacing w:line="600" w:lineRule="exact"/>
        <w:jc w:val="center"/>
        <w:rPr>
          <w:rFonts w:hint="default" w:ascii="Times New Roman" w:hAnsi="Times New Roman" w:eastAsia="方正小标宋_GBK" w:cs="Times New Roman"/>
          <w:sz w:val="38"/>
          <w:szCs w:val="38"/>
        </w:rPr>
      </w:pPr>
      <w:r>
        <w:rPr>
          <w:rFonts w:hint="default" w:ascii="Times New Roman" w:hAnsi="Times New Roman" w:eastAsia="方正小标宋_GBK" w:cs="Times New Roman"/>
          <w:sz w:val="38"/>
          <w:szCs w:val="38"/>
        </w:rPr>
        <w:t>2019年部门预算整体支出绩效</w:t>
      </w:r>
    </w:p>
    <w:p>
      <w:pPr>
        <w:spacing w:line="600" w:lineRule="exact"/>
        <w:jc w:val="center"/>
        <w:rPr>
          <w:rFonts w:hint="default" w:ascii="Times New Roman" w:hAnsi="Times New Roman" w:eastAsia="方正小标宋_GBK" w:cs="Times New Roman"/>
          <w:sz w:val="38"/>
          <w:szCs w:val="38"/>
        </w:rPr>
      </w:pPr>
      <w:r>
        <w:rPr>
          <w:rFonts w:hint="default" w:ascii="Times New Roman" w:hAnsi="Times New Roman" w:eastAsia="方正小标宋_GBK" w:cs="Times New Roman"/>
          <w:sz w:val="38"/>
          <w:szCs w:val="38"/>
        </w:rPr>
        <w:t>自评报告</w:t>
      </w:r>
    </w:p>
    <w:p>
      <w:pPr>
        <w:pStyle w:val="3"/>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b w:val="0"/>
          <w:bCs w:val="0"/>
          <w:sz w:val="33"/>
          <w:szCs w:val="33"/>
        </w:rPr>
      </w:pPr>
      <w:bookmarkStart w:id="136" w:name="_Toc54277996"/>
      <w:bookmarkStart w:id="137" w:name="_Toc15601"/>
      <w:r>
        <w:rPr>
          <w:rFonts w:hint="eastAsia" w:ascii="方正黑体_GBK" w:hAnsi="方正黑体_GBK" w:eastAsia="方正黑体_GBK" w:cs="方正黑体_GBK"/>
          <w:b w:val="0"/>
          <w:bCs w:val="0"/>
          <w:sz w:val="33"/>
          <w:szCs w:val="33"/>
        </w:rPr>
        <w:t>一、项目基本情况</w:t>
      </w:r>
      <w:bookmarkEnd w:id="136"/>
      <w:bookmarkEnd w:id="137"/>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sz w:val="33"/>
          <w:szCs w:val="33"/>
        </w:rPr>
      </w:pPr>
      <w:bookmarkStart w:id="138" w:name="_Toc54277997"/>
      <w:bookmarkStart w:id="139" w:name="_Toc1984"/>
      <w:r>
        <w:rPr>
          <w:rFonts w:hint="eastAsia" w:ascii="方正楷体_GBK" w:hAnsi="方正楷体_GBK" w:eastAsia="方正楷体_GBK" w:cs="方正楷体_GBK"/>
          <w:sz w:val="33"/>
          <w:szCs w:val="33"/>
        </w:rPr>
        <w:t>（</w:t>
      </w:r>
      <w:r>
        <w:rPr>
          <w:rFonts w:hint="eastAsia" w:ascii="方正楷体_GBK" w:hAnsi="方正楷体_GBK" w:eastAsia="方正楷体_GBK" w:cs="方正楷体_GBK"/>
          <w:sz w:val="33"/>
          <w:szCs w:val="33"/>
          <w:lang w:eastAsia="zh-CN"/>
        </w:rPr>
        <w:t>一</w:t>
      </w:r>
      <w:r>
        <w:rPr>
          <w:rFonts w:hint="eastAsia" w:ascii="方正楷体_GBK" w:hAnsi="方正楷体_GBK" w:eastAsia="方正楷体_GBK" w:cs="方正楷体_GBK"/>
          <w:sz w:val="33"/>
          <w:szCs w:val="33"/>
        </w:rPr>
        <w:t>）项目概况</w:t>
      </w:r>
      <w:bookmarkEnd w:id="138"/>
      <w:bookmarkEnd w:id="139"/>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40" w:name="_Toc54277998"/>
      <w:r>
        <w:rPr>
          <w:rFonts w:hint="default" w:ascii="Times New Roman" w:hAnsi="Times New Roman" w:eastAsia="方正仿宋_GBK" w:cs="Times New Roman"/>
          <w:sz w:val="33"/>
          <w:szCs w:val="33"/>
        </w:rPr>
        <w:t xml:space="preserve"> </w:t>
      </w:r>
      <w:bookmarkStart w:id="141" w:name="_Toc19101"/>
      <w:r>
        <w:rPr>
          <w:rFonts w:hint="default" w:ascii="Times New Roman" w:hAnsi="Times New Roman" w:eastAsia="方正仿宋_GBK" w:cs="Times New Roman"/>
          <w:sz w:val="33"/>
          <w:szCs w:val="33"/>
        </w:rPr>
        <w:t>2019年红果乡预算项目总共28项。涉及到红果乡2019年全年工作的正常运行。</w:t>
      </w:r>
      <w:bookmarkEnd w:id="140"/>
      <w:bookmarkEnd w:id="141"/>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42" w:name="_Toc54277999"/>
      <w:bookmarkStart w:id="143" w:name="_Toc18453"/>
      <w:r>
        <w:rPr>
          <w:rFonts w:hint="default" w:ascii="方正楷体_GBK" w:hAnsi="方正楷体_GBK" w:eastAsia="方正楷体_GBK" w:cs="方正楷体_GBK"/>
          <w:sz w:val="33"/>
          <w:szCs w:val="33"/>
        </w:rPr>
        <w:t>（二）红果乡预算整日支出性质、用途和主要内容</w:t>
      </w:r>
      <w:bookmarkEnd w:id="142"/>
      <w:bookmarkEnd w:id="143"/>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44" w:name="_Toc54278000"/>
      <w:bookmarkStart w:id="145" w:name="_Toc11698"/>
      <w:r>
        <w:rPr>
          <w:rFonts w:hint="default" w:ascii="Times New Roman" w:hAnsi="Times New Roman" w:eastAsia="方正仿宋_GBK" w:cs="Times New Roman"/>
          <w:sz w:val="33"/>
          <w:szCs w:val="33"/>
        </w:rPr>
        <w:t>项目包括基层政权建设，资金设计范围：社区管理与建设，用于红星社区人员经费和公用经费；对村级一事一议的补助，用于各村一事一议项目奖补资金；对村民委员会和村党支部的补助，用途为各村村社干部报酬和办公费；三州资金民政专项资金，用于红果乡红果村人行桥项目和水毁道路恢复；红果乡劳务费，用于红果乡聘用临时人员工资和民工劳务费用；城乡环境卫生清运垃圾劳务费，用于红果乡集镇垃圾车集中清运垃圾劳务费；土地资源调查资金，用于红果乡第三次国土资源调查经费；棚户区改造配套设施自来水厂修建森林恢复植被恢复资金，用于棚户区自来水厂植被恢复资金；2019年下达火把节经费，用于红果乡火把节活动费；安全生产监督专项资金，用于全乡安全监督生产专项经费；二滩库区非农安置移民困难人口生活补助资金； 计划生育员补助经费，用于计生员补助。</w:t>
      </w:r>
      <w:bookmarkEnd w:id="144"/>
      <w:bookmarkEnd w:id="145"/>
    </w:p>
    <w:p>
      <w:pPr>
        <w:pStyle w:val="3"/>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46" w:name="_Toc54278003"/>
      <w:bookmarkStart w:id="147" w:name="_Toc4669"/>
      <w:r>
        <w:rPr>
          <w:rFonts w:hint="default" w:ascii="方正黑体_GBK" w:hAnsi="方正黑体_GBK" w:eastAsia="方正黑体_GBK" w:cs="方正黑体_GBK"/>
          <w:b w:val="0"/>
          <w:bCs w:val="0"/>
          <w:sz w:val="33"/>
          <w:szCs w:val="33"/>
        </w:rPr>
        <w:t>二、项目资金使用及管理情况</w:t>
      </w:r>
      <w:bookmarkEnd w:id="146"/>
      <w:bookmarkEnd w:id="147"/>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48" w:name="_Toc54278004"/>
      <w:bookmarkStart w:id="149" w:name="_Toc22058"/>
      <w:r>
        <w:rPr>
          <w:rFonts w:hint="default" w:ascii="方正楷体_GBK" w:hAnsi="方正楷体_GBK" w:eastAsia="方正楷体_GBK" w:cs="方正楷体_GBK"/>
          <w:sz w:val="33"/>
          <w:szCs w:val="33"/>
        </w:rPr>
        <w:t>（一）项目资金到位情况分析</w:t>
      </w:r>
      <w:bookmarkEnd w:id="148"/>
      <w:bookmarkEnd w:id="149"/>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50" w:name="_Toc54278005"/>
      <w:bookmarkStart w:id="151" w:name="_Toc24743"/>
      <w:r>
        <w:rPr>
          <w:rFonts w:hint="default" w:ascii="Times New Roman" w:hAnsi="Times New Roman" w:eastAsia="方正仿宋_GBK" w:cs="Times New Roman"/>
          <w:sz w:val="33"/>
          <w:szCs w:val="33"/>
        </w:rPr>
        <w:t>财政安排全年项目预算金额为778万元，本级财政拨款778万元。实际到位资金778万元，到位率100%。</w:t>
      </w:r>
      <w:bookmarkEnd w:id="150"/>
      <w:bookmarkEnd w:id="151"/>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52" w:name="_Toc54278006"/>
      <w:bookmarkStart w:id="153" w:name="_Toc32144"/>
      <w:r>
        <w:rPr>
          <w:rFonts w:hint="default" w:ascii="方正楷体_GBK" w:hAnsi="方正楷体_GBK" w:eastAsia="方正楷体_GBK" w:cs="方正楷体_GBK"/>
          <w:sz w:val="33"/>
          <w:szCs w:val="33"/>
        </w:rPr>
        <w:t>（二）项目自己使用情况分析</w:t>
      </w:r>
      <w:bookmarkEnd w:id="152"/>
      <w:bookmarkEnd w:id="153"/>
    </w:p>
    <w:p>
      <w:pPr>
        <w:pageBreakBefore w:val="0"/>
        <w:widowControl w:val="0"/>
        <w:kinsoku/>
        <w:wordWrap/>
        <w:overflowPunct/>
        <w:topLinePunct w:val="0"/>
        <w:autoSpaceDE/>
        <w:autoSpaceDN/>
        <w:bidi w:val="0"/>
        <w:adjustRightInd/>
        <w:snapToGrid/>
        <w:spacing w:line="576" w:lineRule="exact"/>
        <w:textAlignment w:val="auto"/>
        <w:outlineLvl w:val="1"/>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w:t>
      </w:r>
      <w:bookmarkStart w:id="154" w:name="_Toc54278007"/>
      <w:r>
        <w:rPr>
          <w:rFonts w:hint="default" w:ascii="Times New Roman" w:hAnsi="Times New Roman" w:eastAsia="方正仿宋_GBK" w:cs="Times New Roman"/>
          <w:sz w:val="33"/>
          <w:szCs w:val="33"/>
        </w:rPr>
        <w:t xml:space="preserve"> </w:t>
      </w:r>
      <w:bookmarkStart w:id="155" w:name="_Toc29740"/>
      <w:r>
        <w:rPr>
          <w:rFonts w:hint="default" w:ascii="Times New Roman" w:hAnsi="Times New Roman" w:eastAsia="方正仿宋_GBK" w:cs="Times New Roman"/>
          <w:sz w:val="33"/>
          <w:szCs w:val="33"/>
        </w:rPr>
        <w:t>截止到评价日，该项资金实际已支付538万元，资金使用率69.15%。</w:t>
      </w:r>
      <w:bookmarkEnd w:id="154"/>
      <w:bookmarkEnd w:id="155"/>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56" w:name="_Toc54278008"/>
      <w:bookmarkStart w:id="157" w:name="_Toc24835"/>
      <w:r>
        <w:rPr>
          <w:rFonts w:hint="default" w:ascii="方正楷体_GBK" w:hAnsi="方正楷体_GBK" w:eastAsia="方正楷体_GBK" w:cs="方正楷体_GBK"/>
          <w:sz w:val="33"/>
          <w:szCs w:val="33"/>
        </w:rPr>
        <w:t>（三）项目资金管理情况</w:t>
      </w:r>
      <w:bookmarkEnd w:id="156"/>
      <w:bookmarkEnd w:id="157"/>
      <w:r>
        <w:rPr>
          <w:rFonts w:hint="default" w:ascii="方正楷体_GBK" w:hAnsi="方正楷体_GBK" w:eastAsia="方正楷体_GBK" w:cs="方正楷体_GBK"/>
          <w:sz w:val="33"/>
          <w:szCs w:val="33"/>
        </w:rPr>
        <w:t xml:space="preserve"> </w:t>
      </w:r>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58" w:name="_Toc54278009"/>
      <w:bookmarkStart w:id="159" w:name="_Toc15975"/>
      <w:r>
        <w:rPr>
          <w:rFonts w:hint="default" w:ascii="Times New Roman" w:hAnsi="Times New Roman" w:eastAsia="方正仿宋_GBK" w:cs="Times New Roman"/>
          <w:sz w:val="33"/>
          <w:szCs w:val="33"/>
        </w:rPr>
        <w:t>在项目资金管理上，红果乡项目资金均严格按照国家法律法规执行，转款专用。按照具体财政要求，财务均由财政所统一进行核算。</w:t>
      </w:r>
      <w:bookmarkEnd w:id="158"/>
      <w:bookmarkEnd w:id="159"/>
    </w:p>
    <w:p>
      <w:pPr>
        <w:pStyle w:val="3"/>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60" w:name="_Toc54278010"/>
      <w:bookmarkStart w:id="161" w:name="_Toc14511"/>
      <w:r>
        <w:rPr>
          <w:rFonts w:hint="default" w:ascii="方正黑体_GBK" w:hAnsi="方正黑体_GBK" w:eastAsia="方正黑体_GBK" w:cs="方正黑体_GBK"/>
          <w:b w:val="0"/>
          <w:bCs w:val="0"/>
          <w:sz w:val="33"/>
          <w:szCs w:val="33"/>
        </w:rPr>
        <w:t>三、项目绩效情况</w:t>
      </w:r>
      <w:bookmarkEnd w:id="160"/>
      <w:bookmarkEnd w:id="161"/>
    </w:p>
    <w:p>
      <w:pPr>
        <w:pStyle w:val="4"/>
        <w:pageBreakBefore w:val="0"/>
        <w:widowControl w:val="0"/>
        <w:kinsoku/>
        <w:wordWrap/>
        <w:overflowPunct/>
        <w:topLinePunct w:val="0"/>
        <w:autoSpaceDE/>
        <w:autoSpaceDN/>
        <w:bidi w:val="0"/>
        <w:adjustRightInd/>
        <w:snapToGrid/>
        <w:spacing w:line="576" w:lineRule="exact"/>
        <w:textAlignment w:val="auto"/>
        <w:rPr>
          <w:rFonts w:hint="default" w:ascii="方正楷体_GBK" w:hAnsi="方正楷体_GBK" w:eastAsia="方正楷体_GBK" w:cs="方正楷体_GBK"/>
          <w:b/>
          <w:bCs/>
          <w:kern w:val="2"/>
          <w:sz w:val="33"/>
          <w:szCs w:val="33"/>
          <w:lang w:val="en-US" w:eastAsia="zh-CN" w:bidi="ar-SA"/>
        </w:rPr>
      </w:pPr>
      <w:bookmarkStart w:id="162" w:name="_Toc54278011"/>
      <w:r>
        <w:rPr>
          <w:rFonts w:hint="default" w:ascii="Times New Roman" w:hAnsi="Times New Roman" w:eastAsia="方正仿宋_GBK" w:cs="Times New Roman"/>
          <w:sz w:val="33"/>
          <w:szCs w:val="33"/>
        </w:rPr>
        <w:t xml:space="preserve"> </w:t>
      </w:r>
      <w:r>
        <w:rPr>
          <w:rFonts w:hint="default" w:ascii="方正楷体_GBK" w:hAnsi="方正楷体_GBK" w:eastAsia="方正楷体_GBK" w:cs="方正楷体_GBK"/>
          <w:b/>
          <w:bCs/>
          <w:kern w:val="2"/>
          <w:sz w:val="33"/>
          <w:szCs w:val="33"/>
          <w:lang w:val="en-US" w:eastAsia="zh-CN" w:bidi="ar-SA"/>
        </w:rPr>
        <w:t xml:space="preserve">  </w:t>
      </w:r>
      <w:bookmarkStart w:id="163" w:name="_Toc22510"/>
      <w:r>
        <w:rPr>
          <w:rFonts w:hint="default" w:ascii="方正楷体_GBK" w:hAnsi="方正楷体_GBK" w:eastAsia="方正楷体_GBK" w:cs="方正楷体_GBK"/>
          <w:b/>
          <w:bCs/>
          <w:kern w:val="2"/>
          <w:sz w:val="33"/>
          <w:szCs w:val="33"/>
          <w:lang w:val="en-US" w:eastAsia="zh-CN" w:bidi="ar-SA"/>
        </w:rPr>
        <w:t>（一）项目的实施进度</w:t>
      </w:r>
      <w:bookmarkEnd w:id="162"/>
      <w:bookmarkEnd w:id="163"/>
      <w:bookmarkStart w:id="164" w:name="_Toc54278012"/>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65" w:name="_Toc16281"/>
      <w:r>
        <w:rPr>
          <w:rFonts w:hint="default" w:ascii="Times New Roman" w:hAnsi="Times New Roman" w:eastAsia="方正仿宋_GBK" w:cs="Times New Roman"/>
          <w:sz w:val="33"/>
          <w:szCs w:val="33"/>
        </w:rPr>
        <w:t>截止到2019年年底，红果乡预算绩效目标完成情况如下：</w:t>
      </w:r>
      <w:bookmarkEnd w:id="164"/>
      <w:bookmarkEnd w:id="165"/>
    </w:p>
    <w:p>
      <w:pPr>
        <w:pageBreakBefore w:val="0"/>
        <w:widowControl w:val="0"/>
        <w:kinsoku/>
        <w:wordWrap/>
        <w:overflowPunct/>
        <w:topLinePunct w:val="0"/>
        <w:autoSpaceDE/>
        <w:autoSpaceDN/>
        <w:bidi w:val="0"/>
        <w:adjustRightInd/>
        <w:snapToGrid/>
        <w:spacing w:line="576" w:lineRule="exact"/>
        <w:textAlignment w:val="auto"/>
        <w:outlineLvl w:val="1"/>
        <w:rPr>
          <w:rFonts w:hint="default" w:ascii="Times New Roman" w:hAnsi="Times New Roman" w:eastAsia="方正仿宋_GBK" w:cs="Times New Roman"/>
          <w:sz w:val="33"/>
          <w:szCs w:val="33"/>
        </w:rPr>
      </w:pPr>
      <w:bookmarkStart w:id="166" w:name="_Toc54278013"/>
      <w:r>
        <w:rPr>
          <w:rFonts w:hint="default" w:ascii="Times New Roman" w:hAnsi="Times New Roman" w:eastAsia="方正仿宋_GBK" w:cs="Times New Roman"/>
          <w:sz w:val="33"/>
          <w:szCs w:val="33"/>
        </w:rPr>
        <w:t xml:space="preserve">    </w:t>
      </w:r>
      <w:bookmarkStart w:id="167" w:name="_Toc10578"/>
      <w:r>
        <w:rPr>
          <w:rFonts w:hint="default" w:ascii="Times New Roman" w:hAnsi="Times New Roman" w:eastAsia="方正仿宋_GBK" w:cs="Times New Roman"/>
          <w:sz w:val="33"/>
          <w:szCs w:val="33"/>
        </w:rPr>
        <w:t>根据川财基【2017】14号下达2018年公共运行经费，该项目款为保证11个村（居）的正常的公共运行，合计下达56万，以前全部拨付到位。</w:t>
      </w:r>
      <w:bookmarkEnd w:id="166"/>
      <w:bookmarkEnd w:id="167"/>
    </w:p>
    <w:p>
      <w:pPr>
        <w:pageBreakBefore w:val="0"/>
        <w:widowControl w:val="0"/>
        <w:kinsoku/>
        <w:wordWrap/>
        <w:overflowPunct/>
        <w:topLinePunct w:val="0"/>
        <w:autoSpaceDE/>
        <w:autoSpaceDN/>
        <w:bidi w:val="0"/>
        <w:adjustRightInd/>
        <w:snapToGrid/>
        <w:spacing w:line="576" w:lineRule="exact"/>
        <w:textAlignment w:val="auto"/>
        <w:outlineLvl w:val="1"/>
        <w:rPr>
          <w:rFonts w:hint="default" w:ascii="Times New Roman" w:hAnsi="Times New Roman" w:eastAsia="方正仿宋_GBK" w:cs="Times New Roman"/>
          <w:sz w:val="33"/>
          <w:szCs w:val="33"/>
        </w:rPr>
      </w:pPr>
      <w:bookmarkStart w:id="168" w:name="_Toc54278014"/>
      <w:r>
        <w:rPr>
          <w:rFonts w:hint="default" w:ascii="Times New Roman" w:hAnsi="Times New Roman" w:eastAsia="方正仿宋_GBK" w:cs="Times New Roman"/>
          <w:sz w:val="33"/>
          <w:szCs w:val="33"/>
        </w:rPr>
        <w:t xml:space="preserve">     </w:t>
      </w:r>
      <w:bookmarkStart w:id="169" w:name="_Toc30507"/>
      <w:r>
        <w:rPr>
          <w:rFonts w:hint="default" w:ascii="Times New Roman" w:hAnsi="Times New Roman" w:eastAsia="方正仿宋_GBK" w:cs="Times New Roman"/>
          <w:sz w:val="33"/>
          <w:szCs w:val="33"/>
        </w:rPr>
        <w:t>民族工作专项资金方面，包括三滩社道路1公里硬化项目和红果村人行桥以及水毁道路恢复项目，合计63万，其中红果村人行桥项目已经完工并支付完毕，三滩村社道路硬化，由于工程未完工故未进行支付。</w:t>
      </w:r>
      <w:bookmarkEnd w:id="168"/>
      <w:bookmarkEnd w:id="169"/>
    </w:p>
    <w:p>
      <w:pPr>
        <w:pageBreakBefore w:val="0"/>
        <w:widowControl w:val="0"/>
        <w:kinsoku/>
        <w:wordWrap/>
        <w:overflowPunct/>
        <w:topLinePunct w:val="0"/>
        <w:autoSpaceDE/>
        <w:autoSpaceDN/>
        <w:bidi w:val="0"/>
        <w:adjustRightInd/>
        <w:snapToGrid/>
        <w:spacing w:line="576" w:lineRule="exact"/>
        <w:ind w:firstLine="645"/>
        <w:textAlignment w:val="auto"/>
        <w:outlineLvl w:val="1"/>
        <w:rPr>
          <w:rFonts w:hint="default" w:ascii="Times New Roman" w:hAnsi="Times New Roman" w:eastAsia="方正仿宋_GBK" w:cs="Times New Roman"/>
          <w:sz w:val="33"/>
          <w:szCs w:val="33"/>
        </w:rPr>
      </w:pPr>
      <w:bookmarkStart w:id="170" w:name="_Toc54278015"/>
      <w:bookmarkStart w:id="171" w:name="_Toc25862"/>
      <w:r>
        <w:rPr>
          <w:rFonts w:hint="default" w:ascii="Times New Roman" w:hAnsi="Times New Roman" w:eastAsia="方正仿宋_GBK" w:cs="Times New Roman"/>
          <w:sz w:val="33"/>
          <w:szCs w:val="33"/>
        </w:rPr>
        <w:t>公路硬化方面，红果乡合计安排32.9万，用于红果乡全乡道路水毁项目工程款，全年合计安排支出20.9万，其余资金结转到下一年安排使用。</w:t>
      </w:r>
      <w:bookmarkEnd w:id="170"/>
      <w:bookmarkEnd w:id="171"/>
    </w:p>
    <w:p>
      <w:pPr>
        <w:pageBreakBefore w:val="0"/>
        <w:widowControl w:val="0"/>
        <w:kinsoku/>
        <w:wordWrap/>
        <w:overflowPunct/>
        <w:topLinePunct w:val="0"/>
        <w:autoSpaceDE/>
        <w:autoSpaceDN/>
        <w:bidi w:val="0"/>
        <w:adjustRightInd/>
        <w:snapToGrid/>
        <w:spacing w:line="576" w:lineRule="exact"/>
        <w:ind w:firstLine="645"/>
        <w:textAlignment w:val="auto"/>
        <w:outlineLvl w:val="1"/>
        <w:rPr>
          <w:rFonts w:hint="default" w:ascii="Times New Roman" w:hAnsi="Times New Roman" w:eastAsia="方正仿宋_GBK" w:cs="Times New Roman"/>
          <w:sz w:val="33"/>
          <w:szCs w:val="33"/>
        </w:rPr>
      </w:pPr>
      <w:bookmarkStart w:id="172" w:name="_Toc54278016"/>
      <w:bookmarkStart w:id="173" w:name="_Toc27635"/>
      <w:r>
        <w:rPr>
          <w:rFonts w:hint="default" w:ascii="Times New Roman" w:hAnsi="Times New Roman" w:eastAsia="方正仿宋_GBK" w:cs="Times New Roman"/>
          <w:sz w:val="33"/>
          <w:szCs w:val="33"/>
        </w:rPr>
        <w:t>红果乡垃圾车采购资金，根据盐财资建【2018】51号将元省级专项资金盘活，用于红果乡垃圾车购买，红果乡需要将红果集镇垃圾集中转运到垃圾车处理，故需要采购垃圾车一台，为保障该项工作的顺利开展，故申请县级财政安排45万资金，用于红果乡垃圾车购买，实际使用37.9万，剩余资金请示县级部门后自行安排使用。</w:t>
      </w:r>
      <w:bookmarkEnd w:id="172"/>
      <w:bookmarkEnd w:id="173"/>
    </w:p>
    <w:p>
      <w:pPr>
        <w:pStyle w:val="3"/>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74" w:name="_Toc54278017"/>
      <w:bookmarkStart w:id="175" w:name="_Toc8610"/>
      <w:r>
        <w:rPr>
          <w:rFonts w:hint="default" w:ascii="方正楷体_GBK" w:hAnsi="方正楷体_GBK" w:eastAsia="方正楷体_GBK" w:cs="方正楷体_GBK"/>
          <w:sz w:val="33"/>
          <w:szCs w:val="33"/>
        </w:rPr>
        <w:t>（二）项目的效益性分析</w:t>
      </w:r>
      <w:bookmarkEnd w:id="174"/>
      <w:bookmarkEnd w:id="175"/>
    </w:p>
    <w:p>
      <w:pPr>
        <w:pStyle w:val="5"/>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Times New Roman" w:hAnsi="Times New Roman" w:eastAsia="方正仿宋_GBK" w:cs="Times New Roman"/>
          <w:sz w:val="33"/>
          <w:szCs w:val="33"/>
        </w:rPr>
      </w:pPr>
      <w:bookmarkStart w:id="176" w:name="_Toc54278018"/>
      <w:r>
        <w:rPr>
          <w:rFonts w:hint="default" w:ascii="Times New Roman" w:hAnsi="Times New Roman" w:eastAsia="方正仿宋_GBK" w:cs="Times New Roman"/>
          <w:sz w:val="33"/>
          <w:szCs w:val="33"/>
        </w:rPr>
        <w:t>1.项目实施对经济和社会的影响</w:t>
      </w:r>
      <w:bookmarkEnd w:id="176"/>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77" w:name="_Toc54278019"/>
      <w:bookmarkStart w:id="178" w:name="_Toc11620"/>
      <w:r>
        <w:rPr>
          <w:rFonts w:hint="default" w:ascii="Times New Roman" w:hAnsi="Times New Roman" w:eastAsia="方正仿宋_GBK" w:cs="Times New Roman"/>
          <w:sz w:val="33"/>
          <w:szCs w:val="33"/>
        </w:rPr>
        <w:t>这些项目的实施，保障了红果乡的经济发展和基础设施建设，有力的推进了红果乡的全面发展，有利的保障了红果政府各方面工作的全面进展。</w:t>
      </w:r>
      <w:bookmarkEnd w:id="177"/>
      <w:bookmarkEnd w:id="178"/>
      <w:bookmarkStart w:id="179" w:name="_Toc54278020"/>
    </w:p>
    <w:p>
      <w:pPr>
        <w:pageBreakBefore w:val="0"/>
        <w:widowControl w:val="0"/>
        <w:kinsoku/>
        <w:wordWrap/>
        <w:overflowPunct/>
        <w:topLinePunct w:val="0"/>
        <w:autoSpaceDE/>
        <w:autoSpaceDN/>
        <w:bidi w:val="0"/>
        <w:adjustRightInd/>
        <w:snapToGrid/>
        <w:spacing w:line="576" w:lineRule="exact"/>
        <w:ind w:firstLine="663" w:firstLineChars="200"/>
        <w:textAlignment w:val="auto"/>
        <w:outlineLvl w:val="1"/>
        <w:rPr>
          <w:rFonts w:hint="default" w:ascii="Times New Roman" w:hAnsi="Times New Roman" w:eastAsia="方正仿宋_GBK" w:cs="Times New Roman"/>
          <w:b/>
          <w:bCs/>
          <w:sz w:val="33"/>
          <w:szCs w:val="33"/>
        </w:rPr>
      </w:pPr>
      <w:bookmarkStart w:id="180" w:name="_Toc7966"/>
      <w:r>
        <w:rPr>
          <w:rFonts w:hint="default" w:ascii="Times New Roman" w:hAnsi="Times New Roman" w:eastAsia="方正仿宋_GBK" w:cs="Times New Roman"/>
          <w:b/>
          <w:bCs/>
          <w:sz w:val="33"/>
          <w:szCs w:val="33"/>
        </w:rPr>
        <w:t>2.该项目的可持续性分析</w:t>
      </w:r>
      <w:bookmarkEnd w:id="179"/>
      <w:bookmarkEnd w:id="180"/>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81" w:name="_Toc54278021"/>
      <w:bookmarkStart w:id="182" w:name="_Toc30882"/>
      <w:r>
        <w:rPr>
          <w:rFonts w:hint="default" w:ascii="Times New Roman" w:hAnsi="Times New Roman" w:eastAsia="方正仿宋_GBK" w:cs="Times New Roman"/>
          <w:sz w:val="33"/>
          <w:szCs w:val="33"/>
        </w:rPr>
        <w:t>国家及地方财政每年均全额拨款，保障项目建设的可持续性。</w:t>
      </w:r>
      <w:bookmarkEnd w:id="181"/>
      <w:bookmarkEnd w:id="182"/>
    </w:p>
    <w:p>
      <w:pPr>
        <w:pStyle w:val="3"/>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183" w:name="_Toc54278022"/>
      <w:bookmarkStart w:id="184" w:name="_Toc22258"/>
      <w:r>
        <w:rPr>
          <w:rFonts w:hint="eastAsia" w:ascii="方正黑体_GBK" w:hAnsi="方正黑体_GBK" w:eastAsia="方正黑体_GBK" w:cs="方正黑体_GBK"/>
          <w:b w:val="0"/>
          <w:bCs w:val="0"/>
          <w:sz w:val="33"/>
          <w:szCs w:val="33"/>
          <w:lang w:eastAsia="zh-CN"/>
        </w:rPr>
        <w:t>四、</w:t>
      </w:r>
      <w:r>
        <w:rPr>
          <w:rFonts w:hint="default" w:ascii="方正黑体_GBK" w:hAnsi="方正黑体_GBK" w:eastAsia="方正黑体_GBK" w:cs="方正黑体_GBK"/>
          <w:b w:val="0"/>
          <w:bCs w:val="0"/>
          <w:sz w:val="33"/>
          <w:szCs w:val="33"/>
        </w:rPr>
        <w:t>主要经验及做法、存在的问题和建议</w:t>
      </w:r>
      <w:bookmarkEnd w:id="183"/>
      <w:bookmarkEnd w:id="184"/>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85" w:name="_Toc54278023"/>
      <w:bookmarkStart w:id="186" w:name="_Toc22169"/>
      <w:r>
        <w:rPr>
          <w:rFonts w:hint="default" w:ascii="Times New Roman" w:hAnsi="Times New Roman" w:eastAsia="方正仿宋_GBK" w:cs="Times New Roman"/>
          <w:sz w:val="33"/>
          <w:szCs w:val="33"/>
        </w:rPr>
        <w:t>1.预算绩效有部分安排不合理，未能有效的进行支付。</w:t>
      </w:r>
      <w:bookmarkEnd w:id="185"/>
      <w:bookmarkEnd w:id="186"/>
    </w:p>
    <w:p>
      <w:pPr>
        <w:pageBreakBefore w:val="0"/>
        <w:widowControl w:val="0"/>
        <w:kinsoku/>
        <w:wordWrap/>
        <w:overflowPunct/>
        <w:topLinePunct w:val="0"/>
        <w:autoSpaceDE/>
        <w:autoSpaceDN/>
        <w:bidi w:val="0"/>
        <w:adjustRightInd/>
        <w:snapToGrid/>
        <w:spacing w:line="576" w:lineRule="exact"/>
        <w:ind w:firstLine="660" w:firstLineChars="200"/>
        <w:textAlignment w:val="auto"/>
        <w:outlineLvl w:val="1"/>
        <w:rPr>
          <w:rFonts w:hint="default" w:ascii="Times New Roman" w:hAnsi="Times New Roman" w:eastAsia="方正仿宋_GBK" w:cs="Times New Roman"/>
          <w:sz w:val="33"/>
          <w:szCs w:val="33"/>
        </w:rPr>
      </w:pPr>
      <w:bookmarkStart w:id="187" w:name="_Toc54278024"/>
      <w:bookmarkStart w:id="188" w:name="_Toc13898"/>
      <w:r>
        <w:rPr>
          <w:rFonts w:hint="default" w:ascii="Times New Roman" w:hAnsi="Times New Roman" w:eastAsia="方正仿宋_GBK" w:cs="Times New Roman"/>
          <w:sz w:val="33"/>
          <w:szCs w:val="33"/>
        </w:rPr>
        <w:t>2.项目进度较慢，导致资金项目不能及时进行支付。</w:t>
      </w:r>
      <w:bookmarkEnd w:id="187"/>
      <w:bookmarkEnd w:id="188"/>
    </w:p>
    <w:p>
      <w:pPr>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方正仿宋_GBK" w:cs="Times New Roman"/>
          <w:sz w:val="33"/>
          <w:szCs w:val="33"/>
        </w:rPr>
      </w:pPr>
    </w:p>
    <w:p>
      <w:pPr>
        <w:pageBreakBefore w:val="0"/>
        <w:widowControl w:val="0"/>
        <w:kinsoku/>
        <w:wordWrap/>
        <w:overflowPunct/>
        <w:topLinePunct w:val="0"/>
        <w:autoSpaceDE/>
        <w:autoSpaceDN/>
        <w:bidi w:val="0"/>
        <w:adjustRightInd/>
        <w:snapToGrid/>
        <w:spacing w:line="576" w:lineRule="exact"/>
        <w:jc w:val="left"/>
        <w:textAlignment w:val="auto"/>
        <w:rPr>
          <w:rFonts w:hint="default" w:ascii="Times New Roman" w:hAnsi="Times New Roman" w:eastAsia="方正仿宋_GBK" w:cs="Times New Roman"/>
          <w:sz w:val="33"/>
          <w:szCs w:val="33"/>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ascii="仿宋" w:hAnsi="仿宋" w:eastAsia="仿宋" w:cs="黑体"/>
          <w:sz w:val="32"/>
          <w:szCs w:val="32"/>
        </w:rPr>
      </w:pPr>
    </w:p>
    <w:p>
      <w:pPr>
        <w:spacing w:line="600" w:lineRule="exact"/>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附件2：</w:t>
      </w:r>
    </w:p>
    <w:p>
      <w:pPr>
        <w:spacing w:line="600" w:lineRule="exact"/>
        <w:jc w:val="center"/>
        <w:rPr>
          <w:rFonts w:hint="default" w:ascii="Times New Roman" w:hAnsi="Times New Roman" w:eastAsia="方正小标宋_GBK" w:cs="Times New Roman"/>
          <w:sz w:val="38"/>
          <w:szCs w:val="38"/>
        </w:rPr>
      </w:pPr>
    </w:p>
    <w:p>
      <w:pPr>
        <w:spacing w:line="600" w:lineRule="exact"/>
        <w:jc w:val="center"/>
        <w:rPr>
          <w:rFonts w:hint="default" w:ascii="Times New Roman" w:hAnsi="Times New Roman" w:eastAsia="方正小标宋_GBK" w:cs="Times New Roman"/>
          <w:sz w:val="38"/>
          <w:szCs w:val="38"/>
        </w:rPr>
      </w:pPr>
      <w:r>
        <w:rPr>
          <w:rFonts w:hint="default" w:ascii="Times New Roman" w:hAnsi="Times New Roman" w:eastAsia="方正小标宋_GBK" w:cs="Times New Roman"/>
          <w:sz w:val="38"/>
          <w:szCs w:val="38"/>
        </w:rPr>
        <w:t>2019年绩效评价报告</w:t>
      </w:r>
    </w:p>
    <w:p>
      <w:pPr>
        <w:pStyle w:val="3"/>
        <w:pageBreakBefore w:val="0"/>
        <w:widowControl w:val="0"/>
        <w:kinsoku/>
        <w:wordWrap/>
        <w:overflowPunct/>
        <w:topLinePunct w:val="0"/>
        <w:autoSpaceDE/>
        <w:autoSpaceDN/>
        <w:bidi w:val="0"/>
        <w:adjustRightInd/>
        <w:snapToGrid/>
        <w:spacing w:line="576" w:lineRule="exact"/>
        <w:ind w:firstLine="660" w:firstLineChars="200"/>
        <w:textAlignment w:val="auto"/>
        <w:rPr>
          <w:rFonts w:hint="eastAsia" w:ascii="方正黑体_GBK" w:hAnsi="方正黑体_GBK" w:eastAsia="方正黑体_GBK" w:cs="方正黑体_GBK"/>
          <w:b w:val="0"/>
          <w:bCs w:val="0"/>
          <w:sz w:val="33"/>
          <w:szCs w:val="33"/>
        </w:rPr>
      </w:pPr>
      <w:bookmarkStart w:id="189" w:name="_Toc12278"/>
      <w:r>
        <w:rPr>
          <w:rFonts w:hint="eastAsia" w:ascii="方正黑体_GBK" w:hAnsi="方正黑体_GBK" w:eastAsia="方正黑体_GBK" w:cs="方正黑体_GBK"/>
          <w:b w:val="0"/>
          <w:bCs w:val="0"/>
          <w:sz w:val="33"/>
          <w:szCs w:val="33"/>
        </w:rPr>
        <w:t>一、项目基本情况</w:t>
      </w:r>
      <w:bookmarkEnd w:id="189"/>
    </w:p>
    <w:p>
      <w:pPr>
        <w:pStyle w:val="4"/>
        <w:pageBreakBefore w:val="0"/>
        <w:widowControl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sz w:val="33"/>
          <w:szCs w:val="33"/>
        </w:rPr>
      </w:pPr>
      <w:bookmarkStart w:id="190" w:name="_Toc6820"/>
      <w:r>
        <w:rPr>
          <w:rFonts w:hint="eastAsia" w:ascii="方正楷体_GBK" w:hAnsi="方正楷体_GBK" w:eastAsia="方正楷体_GBK" w:cs="方正楷体_GBK"/>
          <w:sz w:val="33"/>
          <w:szCs w:val="33"/>
        </w:rPr>
        <w:t>（一）理想背景</w:t>
      </w:r>
      <w:bookmarkEnd w:id="190"/>
    </w:p>
    <w:p>
      <w:pPr>
        <w:pStyle w:val="4"/>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b w:val="0"/>
          <w:bCs w:val="0"/>
          <w:sz w:val="33"/>
          <w:szCs w:val="33"/>
        </w:rPr>
      </w:pPr>
      <w:bookmarkStart w:id="191" w:name="_Toc11705"/>
      <w:r>
        <w:rPr>
          <w:rFonts w:hint="default" w:ascii="Times New Roman" w:hAnsi="Times New Roman" w:eastAsia="方正仿宋_GBK" w:cs="Times New Roman"/>
          <w:b w:val="0"/>
          <w:bCs w:val="0"/>
          <w:sz w:val="33"/>
          <w:szCs w:val="33"/>
        </w:rPr>
        <w:t>红果乡城镇化建设和环境卫生的要求，需要将红果乡的垃圾集中转运到专业垃圾处理场进行集中处理，需要购置垃圾车一辆。</w:t>
      </w:r>
      <w:bookmarkEnd w:id="191"/>
    </w:p>
    <w:p>
      <w:pPr>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1.立项目的：为满足红果乡的垃圾转运的要求</w:t>
      </w:r>
    </w:p>
    <w:p>
      <w:pPr>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2.资金使用情况: 该项目为县住建局盘活资金，合计下达45万，实际开支37.9万。</w:t>
      </w:r>
    </w:p>
    <w:p>
      <w:pPr>
        <w:pStyle w:val="4"/>
        <w:pageBreakBefore w:val="0"/>
        <w:widowControl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192" w:name="_Toc11409"/>
      <w:r>
        <w:rPr>
          <w:rFonts w:hint="default" w:ascii="方正楷体_GBK" w:hAnsi="方正楷体_GBK" w:eastAsia="方正楷体_GBK" w:cs="方正楷体_GBK"/>
          <w:sz w:val="33"/>
          <w:szCs w:val="33"/>
        </w:rPr>
        <w:t>（二）项目绩效目标</w:t>
      </w:r>
      <w:bookmarkEnd w:id="192"/>
    </w:p>
    <w:p>
      <w:pPr>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1.项目绩效总体目标：为了满足环保要求，加快红果乡集镇化建设，提高红果乡卫生水平，为此县财政专门拨款45万，实际支出 。2019年完成采购任务，成功将垃圾车采购到位。保证环境卫生工作的正常开展。</w:t>
      </w:r>
    </w:p>
    <w:p>
      <w:pPr>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2.项目年度绩效目标：完成红果乡的垃圾集中清运，保证红果乡的环境卫生工作的开展。</w:t>
      </w:r>
    </w:p>
    <w:p>
      <w:pPr>
        <w:pageBreakBefore w:val="0"/>
        <w:widowControl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3.项目资金管理情况:</w:t>
      </w:r>
      <w:bookmarkStart w:id="193" w:name="_Toc54278026"/>
      <w:r>
        <w:rPr>
          <w:rFonts w:hint="default" w:ascii="Times New Roman" w:hAnsi="Times New Roman" w:eastAsia="方正仿宋_GBK" w:cs="Times New Roman"/>
          <w:sz w:val="33"/>
          <w:szCs w:val="33"/>
        </w:rPr>
        <w:t xml:space="preserve"> 在项目资金管理上，红果乡项目资金均严格按照国家法律法规执行，转款专用。按照具体财政要求，财务均由财政所统一进行核算。</w:t>
      </w:r>
      <w:bookmarkEnd w:id="193"/>
    </w:p>
    <w:p>
      <w:pPr>
        <w:pStyle w:val="2"/>
        <w:jc w:val="center"/>
        <w:outlineLvl w:val="9"/>
        <w:rPr>
          <w:rFonts w:hint="eastAsia" w:ascii="方正小标宋_GBK" w:hAnsi="方正小标宋_GBK" w:eastAsia="方正小标宋_GBK" w:cs="方正小标宋_GBK"/>
          <w:sz w:val="38"/>
          <w:szCs w:val="38"/>
          <w:lang w:val="en-US" w:eastAsia="zh-CN"/>
        </w:rPr>
      </w:pPr>
      <w:bookmarkStart w:id="194" w:name="_Toc15377225"/>
      <w:bookmarkStart w:id="195" w:name="_Toc52180096"/>
      <w:bookmarkStart w:id="196" w:name="_Toc15396613"/>
    </w:p>
    <w:p>
      <w:pPr>
        <w:pStyle w:val="2"/>
        <w:jc w:val="center"/>
        <w:outlineLvl w:val="9"/>
        <w:rPr>
          <w:rFonts w:hint="eastAsia" w:ascii="方正小标宋_GBK" w:hAnsi="方正小标宋_GBK" w:eastAsia="方正小标宋_GBK" w:cs="方正小标宋_GBK"/>
          <w:sz w:val="38"/>
          <w:szCs w:val="38"/>
          <w:lang w:val="en-US" w:eastAsia="zh-CN"/>
        </w:rPr>
      </w:pPr>
    </w:p>
    <w:p>
      <w:pPr>
        <w:pStyle w:val="2"/>
        <w:jc w:val="center"/>
        <w:outlineLvl w:val="9"/>
        <w:rPr>
          <w:rFonts w:hint="eastAsia" w:ascii="方正小标宋_GBK" w:hAnsi="方正小标宋_GBK" w:eastAsia="方正小标宋_GBK" w:cs="方正小标宋_GBK"/>
          <w:sz w:val="38"/>
          <w:szCs w:val="38"/>
          <w:lang w:val="en-US" w:eastAsia="zh-CN"/>
        </w:rPr>
      </w:pPr>
    </w:p>
    <w:p>
      <w:pPr>
        <w:pStyle w:val="2"/>
        <w:jc w:val="center"/>
        <w:outlineLvl w:val="9"/>
        <w:rPr>
          <w:rFonts w:hint="eastAsia" w:ascii="方正小标宋_GBK" w:hAnsi="方正小标宋_GBK" w:eastAsia="方正小标宋_GBK" w:cs="方正小标宋_GBK"/>
          <w:sz w:val="38"/>
          <w:szCs w:val="38"/>
          <w:lang w:val="en-US" w:eastAsia="zh-CN"/>
        </w:rPr>
      </w:pPr>
      <w:r>
        <w:rPr>
          <w:rFonts w:hint="eastAsia" w:ascii="方正小标宋_GBK" w:hAnsi="方正小标宋_GBK" w:eastAsia="方正小标宋_GBK" w:cs="方正小标宋_GBK"/>
          <w:sz w:val="38"/>
          <w:szCs w:val="38"/>
          <w:lang w:val="en-US" w:eastAsia="zh-CN"/>
        </w:rPr>
        <w:t xml:space="preserve">                                                                 </w:t>
      </w:r>
    </w:p>
    <w:p>
      <w:pPr>
        <w:pStyle w:val="2"/>
        <w:jc w:val="center"/>
        <w:outlineLvl w:val="9"/>
        <w:rPr>
          <w:rFonts w:hint="eastAsia" w:ascii="方正小标宋_GBK" w:hAnsi="方正小标宋_GBK" w:eastAsia="方正小标宋_GBK" w:cs="方正小标宋_GBK"/>
          <w:sz w:val="38"/>
          <w:szCs w:val="38"/>
          <w:lang w:val="en-US" w:eastAsia="zh-CN"/>
        </w:rPr>
      </w:pPr>
    </w:p>
    <w:p>
      <w:pPr>
        <w:pStyle w:val="2"/>
        <w:jc w:val="center"/>
        <w:outlineLvl w:val="9"/>
        <w:rPr>
          <w:rFonts w:hint="eastAsia" w:ascii="方正小标宋_GBK" w:hAnsi="方正小标宋_GBK" w:eastAsia="方正小标宋_GBK" w:cs="方正小标宋_GBK"/>
          <w:sz w:val="38"/>
          <w:szCs w:val="38"/>
          <w:lang w:val="en-US" w:eastAsia="zh-CN"/>
        </w:rPr>
      </w:pPr>
    </w:p>
    <w:p>
      <w:pPr>
        <w:pStyle w:val="2"/>
        <w:jc w:val="center"/>
        <w:outlineLvl w:val="9"/>
        <w:rPr>
          <w:rFonts w:hint="eastAsia" w:ascii="方正小标宋_GBK" w:hAnsi="方正小标宋_GBK" w:eastAsia="方正小标宋_GBK" w:cs="方正小标宋_GBK"/>
          <w:sz w:val="38"/>
          <w:szCs w:val="38"/>
          <w:lang w:val="en-US" w:eastAsia="zh-CN"/>
        </w:rPr>
      </w:pPr>
    </w:p>
    <w:p>
      <w:pPr>
        <w:pStyle w:val="2"/>
        <w:jc w:val="center"/>
        <w:outlineLvl w:val="9"/>
        <w:rPr>
          <w:rFonts w:hint="eastAsia" w:ascii="方正小标宋_GBK" w:hAnsi="方正小标宋_GBK" w:eastAsia="方正小标宋_GBK" w:cs="方正小标宋_GBK"/>
          <w:sz w:val="38"/>
          <w:szCs w:val="38"/>
          <w:lang w:val="en-US" w:eastAsia="zh-CN"/>
        </w:rPr>
      </w:pPr>
    </w:p>
    <w:p>
      <w:pPr>
        <w:rPr>
          <w:rFonts w:hint="eastAsia" w:ascii="方正小标宋_GBK" w:hAnsi="方正小标宋_GBK" w:eastAsia="方正小标宋_GBK" w:cs="方正小标宋_GBK"/>
          <w:sz w:val="38"/>
          <w:szCs w:val="38"/>
          <w:lang w:val="en-US" w:eastAsia="zh-CN"/>
        </w:rPr>
      </w:pPr>
    </w:p>
    <w:p>
      <w:pPr>
        <w:rPr>
          <w:rFonts w:hint="eastAsia" w:ascii="方正小标宋_GBK" w:hAnsi="方正小标宋_GBK" w:eastAsia="方正小标宋_GBK" w:cs="方正小标宋_GBK"/>
          <w:sz w:val="38"/>
          <w:szCs w:val="38"/>
          <w:lang w:val="en-US" w:eastAsia="zh-CN"/>
        </w:rPr>
      </w:pPr>
    </w:p>
    <w:p>
      <w:pPr>
        <w:pStyle w:val="2"/>
        <w:jc w:val="center"/>
        <w:rPr>
          <w:rFonts w:hint="eastAsia" w:ascii="方正小标宋_GBK" w:hAnsi="方正小标宋_GBK" w:eastAsia="方正小标宋_GBK" w:cs="方正小标宋_GBK"/>
          <w:sz w:val="38"/>
          <w:szCs w:val="38"/>
        </w:rPr>
      </w:pPr>
      <w:bookmarkStart w:id="197" w:name="_Toc13170"/>
      <w:r>
        <w:rPr>
          <w:rFonts w:hint="eastAsia" w:ascii="方正小标宋_GBK" w:hAnsi="方正小标宋_GBK" w:eastAsia="方正小标宋_GBK" w:cs="方正小标宋_GBK"/>
          <w:sz w:val="38"/>
          <w:szCs w:val="38"/>
        </w:rPr>
        <w:t>第三部分 名词解释</w:t>
      </w:r>
      <w:bookmarkEnd w:id="194"/>
      <w:bookmarkEnd w:id="195"/>
      <w:bookmarkEnd w:id="196"/>
      <w:bookmarkEnd w:id="197"/>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1.财政拨款收入：</w:t>
      </w:r>
      <w:r>
        <w:rPr>
          <w:rFonts w:hint="default" w:ascii="Times New Roman" w:hAnsi="Times New Roman" w:eastAsia="方正仿宋_GBK" w:cs="Times New Roman"/>
          <w:color w:val="auto"/>
          <w:kern w:val="2"/>
          <w:sz w:val="33"/>
          <w:szCs w:val="33"/>
        </w:rPr>
        <w:t>指单位从同级财政部门取得的财政预算资金。</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2.事业收入：</w:t>
      </w:r>
      <w:r>
        <w:rPr>
          <w:rFonts w:hint="default" w:ascii="Times New Roman" w:hAnsi="Times New Roman" w:eastAsia="方正仿宋_GBK" w:cs="Times New Roman"/>
          <w:color w:val="auto"/>
          <w:kern w:val="2"/>
          <w:sz w:val="33"/>
          <w:szCs w:val="33"/>
        </w:rPr>
        <w:t>指事业单位开展专业业务活动及辅助活动取得的收入。如…（二级预算单位事业收入情况）等。</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3.经营收入：</w:t>
      </w:r>
      <w:r>
        <w:rPr>
          <w:rFonts w:hint="default" w:ascii="Times New Roman" w:hAnsi="Times New Roman" w:eastAsia="方正仿宋_GBK" w:cs="Times New Roman"/>
          <w:color w:val="auto"/>
          <w:kern w:val="2"/>
          <w:sz w:val="33"/>
          <w:szCs w:val="33"/>
        </w:rPr>
        <w:t>指事业单位在专业业务活动及其辅助活动之外开展非独立核算经营活动取得的收入。如…（二级预算单位经营收入情况）等。</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4.其他收入：</w:t>
      </w:r>
      <w:r>
        <w:rPr>
          <w:rFonts w:hint="default" w:ascii="Times New Roman" w:hAnsi="Times New Roman" w:eastAsia="方正仿宋_GBK" w:cs="Times New Roman"/>
          <w:color w:val="auto"/>
          <w:kern w:val="2"/>
          <w:sz w:val="33"/>
          <w:szCs w:val="33"/>
        </w:rPr>
        <w:t>指单位取得的除上述收入以外的各项收入。主要是…（收入类型）等。</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5.用事业基金弥补收支差额：</w:t>
      </w:r>
      <w:r>
        <w:rPr>
          <w:rFonts w:hint="default" w:ascii="Times New Roman" w:hAnsi="Times New Roman" w:eastAsia="方正仿宋_GBK" w:cs="Times New Roman"/>
          <w:color w:val="auto"/>
          <w:kern w:val="2"/>
          <w:sz w:val="33"/>
          <w:szCs w:val="33"/>
        </w:rPr>
        <w:t>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6.年初结转和结余：</w:t>
      </w:r>
      <w:r>
        <w:rPr>
          <w:rFonts w:hint="default" w:ascii="Times New Roman" w:hAnsi="Times New Roman" w:eastAsia="方正仿宋_GBK" w:cs="Times New Roman"/>
          <w:color w:val="auto"/>
          <w:kern w:val="2"/>
          <w:sz w:val="33"/>
          <w:szCs w:val="33"/>
        </w:rPr>
        <w:t>指以前年度尚未完成、结转到本年按有关规定继续使用的资金。</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7.结余分配：</w:t>
      </w:r>
      <w:r>
        <w:rPr>
          <w:rFonts w:hint="default" w:ascii="Times New Roman" w:hAnsi="Times New Roman" w:eastAsia="方正仿宋_GBK" w:cs="Times New Roman"/>
          <w:color w:val="auto"/>
          <w:kern w:val="2"/>
          <w:sz w:val="33"/>
          <w:szCs w:val="33"/>
        </w:rPr>
        <w:t>指事业单位按照事业单位会计制度的规定从非财政补助结余中分配的事业基金和职工福利基金等。</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8、年末结转和结余：</w:t>
      </w:r>
      <w:r>
        <w:rPr>
          <w:rFonts w:hint="default" w:ascii="Times New Roman" w:hAnsi="Times New Roman" w:eastAsia="方正仿宋_GBK" w:cs="Times New Roman"/>
          <w:color w:val="auto"/>
          <w:kern w:val="2"/>
          <w:sz w:val="33"/>
          <w:szCs w:val="33"/>
        </w:rPr>
        <w:t>指单位按有关规定结转到下年或以后年度继续使用的资金。</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9.一般公共服务（类）…（款）…（项）：指……。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10.外交（类）…（款）…（项）：指……。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11.公共安全（类）…（款）…（项）：指……。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12.教育（类）…（款）…（项）：指……。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13.科学技术（类）…（款）…（项）：指……。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14.文化体育与传媒（类）…（款）…（项）：指……。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15.社会保障和就业（类）…（款）…（项）：指……。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16.医疗卫生与计划生育（类）…（款）…（项）：指……。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17.节能环保（类）…（款）…（项）：指……。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18.城乡社区（类）…（款）…（项）：指……。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19.农林水（类）…（款）…（项）：指……。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20.交通运输（类）…（款）…（项）：指……。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21.资源勘探信息等（类）…（款）…（项）：指……。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22.商业服务业（类）…（款）…（项）：指……。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23.金融（类）…（款）…（项）：指……。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24.国土海洋气象等（类）…（款）…（项）：指……。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25.住房保障（类）…（款）…（项）：指……。</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26.粮油物资储备（类）…（款）…（项）：指……。</w:t>
      </w:r>
    </w:p>
    <w:p>
      <w:pPr>
        <w:pageBreakBefore w:val="0"/>
        <w:widowControl w:val="0"/>
        <w:kinsoku/>
        <w:wordWrap/>
        <w:overflowPunct/>
        <w:topLinePunct w:val="0"/>
        <w:bidi w:val="0"/>
        <w:snapToGrid/>
        <w:spacing w:line="576" w:lineRule="exact"/>
        <w:ind w:firstLine="640"/>
        <w:textAlignment w:val="auto"/>
        <w:rPr>
          <w:rFonts w:hint="default" w:ascii="Times New Roman" w:hAnsi="Times New Roman" w:eastAsia="方正仿宋_GBK" w:cs="Times New Roman"/>
          <w:b/>
          <w:color w:val="000000"/>
          <w:sz w:val="33"/>
          <w:szCs w:val="33"/>
        </w:rPr>
      </w:pPr>
      <w:r>
        <w:rPr>
          <w:rFonts w:hint="default" w:ascii="Times New Roman" w:hAnsi="Times New Roman" w:eastAsia="方正仿宋_GBK" w:cs="Times New Roman"/>
          <w:b/>
          <w:color w:val="000000"/>
          <w:sz w:val="33"/>
          <w:szCs w:val="33"/>
        </w:rPr>
        <w:t>（解释本部门决算报表中全部功能分类科目至项级，请参照《2019年政府收支分类科目》增减内容。）</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27.基本支出：</w:t>
      </w:r>
      <w:r>
        <w:rPr>
          <w:rFonts w:hint="default" w:ascii="Times New Roman" w:hAnsi="Times New Roman" w:eastAsia="方正仿宋_GBK" w:cs="Times New Roman"/>
          <w:sz w:val="33"/>
          <w:szCs w:val="33"/>
        </w:rPr>
        <w:t>指为保障机构正常运转、完成日常工作任务而发生的人员支出和公用支出。</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28.项目支出：</w:t>
      </w:r>
      <w:r>
        <w:rPr>
          <w:rFonts w:hint="default" w:ascii="Times New Roman" w:hAnsi="Times New Roman" w:eastAsia="方正仿宋_GBK" w:cs="Times New Roman"/>
          <w:sz w:val="33"/>
          <w:szCs w:val="33"/>
        </w:rPr>
        <w:t>指在基本支出之外为完成特定行政任务和事业发展目标所发生的支出。</w:t>
      </w:r>
    </w:p>
    <w:p>
      <w:pPr>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29.经营支出：</w:t>
      </w:r>
      <w:r>
        <w:rPr>
          <w:rFonts w:hint="default" w:ascii="Times New Roman" w:hAnsi="Times New Roman" w:eastAsia="方正仿宋_GBK" w:cs="Times New Roman"/>
          <w:sz w:val="33"/>
          <w:szCs w:val="33"/>
        </w:rPr>
        <w:t>指事业单位在专业业务活动及其辅助活动之外开展非独立核算经营活动发生的支出。</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30.“三公”经费：</w:t>
      </w:r>
      <w:r>
        <w:rPr>
          <w:rFonts w:hint="default" w:ascii="Times New Roman" w:hAnsi="Times New Roman" w:eastAsia="方正仿宋_GBK" w:cs="Times New Roman"/>
          <w:color w:val="auto"/>
          <w:kern w:val="2"/>
          <w:sz w:val="33"/>
          <w:szCs w:val="33"/>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color w:val="auto"/>
          <w:kern w:val="2"/>
          <w:sz w:val="33"/>
          <w:szCs w:val="33"/>
        </w:rPr>
      </w:pPr>
      <w:r>
        <w:rPr>
          <w:rFonts w:hint="default" w:ascii="Times New Roman" w:hAnsi="Times New Roman" w:eastAsia="方正仿宋_GBK" w:cs="Times New Roman"/>
          <w:sz w:val="33"/>
          <w:szCs w:val="33"/>
        </w:rPr>
        <w:t>31.机关运行经费：</w:t>
      </w:r>
      <w:r>
        <w:rPr>
          <w:rFonts w:hint="default" w:ascii="Times New Roman" w:hAnsi="Times New Roman" w:eastAsia="方正仿宋_GBK" w:cs="Times New Roman"/>
          <w:color w:val="auto"/>
          <w:kern w:val="2"/>
          <w:sz w:val="33"/>
          <w:szCs w:val="33"/>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9"/>
        <w:pageBreakBefore w:val="0"/>
        <w:widowControl w:val="0"/>
        <w:kinsoku/>
        <w:wordWrap/>
        <w:overflowPunct/>
        <w:topLinePunct w:val="0"/>
        <w:bidi w:val="0"/>
        <w:snapToGrid/>
        <w:spacing w:line="576" w:lineRule="exact"/>
        <w:ind w:firstLine="660" w:firstLineChars="200"/>
        <w:textAlignment w:val="auto"/>
        <w:rPr>
          <w:rFonts w:hint="default" w:ascii="Times New Roman" w:hAnsi="Times New Roman" w:eastAsia="方正仿宋_GBK" w:cs="Times New Roman"/>
          <w:sz w:val="33"/>
          <w:szCs w:val="33"/>
        </w:rPr>
      </w:pPr>
    </w:p>
    <w:p>
      <w:pPr>
        <w:pStyle w:val="2"/>
        <w:pageBreakBefore w:val="0"/>
        <w:widowControl w:val="0"/>
        <w:kinsoku/>
        <w:wordWrap/>
        <w:overflowPunct/>
        <w:topLinePunct w:val="0"/>
        <w:bidi w:val="0"/>
        <w:snapToGrid/>
        <w:spacing w:line="576" w:lineRule="exact"/>
        <w:jc w:val="center"/>
        <w:textAlignment w:val="auto"/>
      </w:pPr>
      <w:bookmarkStart w:id="198" w:name="_Toc15377226"/>
      <w:r>
        <w:rPr>
          <w:rFonts w:hint="default" w:ascii="Times New Roman" w:hAnsi="Times New Roman" w:eastAsia="方正仿宋_GBK" w:cs="Times New Roman"/>
          <w:color w:val="000000"/>
          <w:sz w:val="33"/>
          <w:szCs w:val="33"/>
        </w:rPr>
        <w:br w:type="page"/>
      </w:r>
      <w:bookmarkStart w:id="199" w:name="_Toc52180097"/>
      <w:bookmarkStart w:id="200" w:name="_Toc15396614"/>
      <w:bookmarkStart w:id="201" w:name="_Toc20864"/>
      <w:r>
        <w:rPr>
          <w:rFonts w:hint="eastAsia" w:ascii="方正小标宋_GBK" w:hAnsi="方正小标宋_GBK" w:eastAsia="方正小标宋_GBK" w:cs="方正小标宋_GBK"/>
          <w:color w:val="000000"/>
        </w:rPr>
        <w:t>第</w:t>
      </w:r>
      <w:r>
        <w:rPr>
          <w:rFonts w:hint="eastAsia" w:ascii="方正小标宋_GBK" w:hAnsi="方正小标宋_GBK" w:eastAsia="方正小标宋_GBK" w:cs="方正小标宋_GBK"/>
        </w:rPr>
        <w:t>四部分 附件</w:t>
      </w:r>
      <w:bookmarkEnd w:id="199"/>
      <w:bookmarkEnd w:id="200"/>
      <w:bookmarkEnd w:id="201"/>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hint="default" w:ascii="Times New Roman" w:hAnsi="Times New Roman" w:eastAsia="方正小标宋_GBK" w:cs="Times New Roman"/>
          <w:color w:val="333333"/>
          <w:sz w:val="38"/>
          <w:szCs w:val="38"/>
          <w:shd w:val="clear" w:color="auto" w:fill="FFFFFF"/>
        </w:rPr>
      </w:pPr>
      <w:r>
        <w:rPr>
          <w:rFonts w:hint="default" w:ascii="Times New Roman" w:hAnsi="Times New Roman" w:eastAsia="方正小标宋_GBK" w:cs="Times New Roman"/>
          <w:color w:val="333333"/>
          <w:sz w:val="38"/>
          <w:szCs w:val="38"/>
          <w:shd w:val="clear" w:color="auto" w:fill="FFFFFF"/>
        </w:rPr>
        <w:t>红果彝族乡人民政府</w:t>
      </w:r>
    </w:p>
    <w:p>
      <w:pPr>
        <w:spacing w:line="600" w:lineRule="exact"/>
        <w:jc w:val="center"/>
        <w:rPr>
          <w:rFonts w:hint="default" w:ascii="Times New Roman" w:hAnsi="Times New Roman" w:eastAsia="方正小标宋_GBK" w:cs="Times New Roman"/>
          <w:color w:val="333333"/>
          <w:sz w:val="38"/>
          <w:szCs w:val="38"/>
          <w:shd w:val="clear" w:color="auto" w:fill="FFFFFF"/>
        </w:rPr>
      </w:pPr>
      <w:r>
        <w:rPr>
          <w:rFonts w:hint="default" w:ascii="Times New Roman" w:hAnsi="Times New Roman" w:eastAsia="方正小标宋_GBK" w:cs="Times New Roman"/>
          <w:color w:val="333333"/>
          <w:sz w:val="38"/>
          <w:szCs w:val="38"/>
          <w:shd w:val="clear" w:color="auto" w:fill="FFFFFF"/>
        </w:rPr>
        <w:t>2019年部门整体支出绩效评价报告</w:t>
      </w:r>
    </w:p>
    <w:p>
      <w:pPr>
        <w:pStyle w:val="3"/>
        <w:pageBreakBefore w:val="0"/>
        <w:kinsoku/>
        <w:wordWrap/>
        <w:overflowPunct/>
        <w:topLinePunct w:val="0"/>
        <w:autoSpaceDE/>
        <w:autoSpaceDN/>
        <w:bidi w:val="0"/>
        <w:spacing w:line="576" w:lineRule="exact"/>
        <w:ind w:firstLine="663" w:firstLineChars="200"/>
        <w:textAlignment w:val="auto"/>
        <w:outlineLvl w:val="9"/>
        <w:rPr>
          <w:rFonts w:hint="default" w:ascii="Times New Roman" w:hAnsi="Times New Roman" w:eastAsia="方正仿宋_GBK" w:cs="Times New Roman"/>
          <w:sz w:val="33"/>
          <w:szCs w:val="33"/>
        </w:rPr>
      </w:pPr>
    </w:p>
    <w:p>
      <w:pPr>
        <w:pStyle w:val="3"/>
        <w:pageBreakBefore w:val="0"/>
        <w:kinsoku/>
        <w:wordWrap/>
        <w:overflowPunct/>
        <w:topLinePunct w:val="0"/>
        <w:autoSpaceDE/>
        <w:autoSpaceDN/>
        <w:bidi w:val="0"/>
        <w:spacing w:line="576" w:lineRule="exact"/>
        <w:ind w:firstLine="660" w:firstLineChars="200"/>
        <w:textAlignment w:val="auto"/>
        <w:rPr>
          <w:rFonts w:hint="eastAsia" w:ascii="方正黑体_GBK" w:hAnsi="方正黑体_GBK" w:eastAsia="方正黑体_GBK" w:cs="方正黑体_GBK"/>
          <w:b w:val="0"/>
          <w:bCs w:val="0"/>
          <w:sz w:val="33"/>
          <w:szCs w:val="33"/>
        </w:rPr>
      </w:pPr>
      <w:bookmarkStart w:id="202" w:name="_Toc26741"/>
      <w:r>
        <w:rPr>
          <w:rFonts w:hint="eastAsia" w:ascii="方正黑体_GBK" w:hAnsi="方正黑体_GBK" w:eastAsia="方正黑体_GBK" w:cs="方正黑体_GBK"/>
          <w:b w:val="0"/>
          <w:bCs w:val="0"/>
          <w:sz w:val="33"/>
          <w:szCs w:val="33"/>
        </w:rPr>
        <w:t>一、部门概况</w:t>
      </w:r>
      <w:bookmarkEnd w:id="202"/>
    </w:p>
    <w:p>
      <w:pPr>
        <w:pStyle w:val="3"/>
        <w:pageBreakBefore w:val="0"/>
        <w:kinsoku/>
        <w:wordWrap/>
        <w:overflowPunct/>
        <w:topLinePunct w:val="0"/>
        <w:autoSpaceDE/>
        <w:autoSpaceDN/>
        <w:bidi w:val="0"/>
        <w:spacing w:line="576" w:lineRule="exact"/>
        <w:ind w:firstLine="663" w:firstLineChars="200"/>
        <w:textAlignment w:val="auto"/>
        <w:rPr>
          <w:rFonts w:hint="eastAsia" w:ascii="方正楷体_GBK" w:hAnsi="方正楷体_GBK" w:eastAsia="方正楷体_GBK" w:cs="方正楷体_GBK"/>
          <w:kern w:val="0"/>
          <w:sz w:val="33"/>
          <w:szCs w:val="33"/>
          <w:shd w:val="clear" w:color="auto" w:fill="FFFFFF"/>
          <w:lang w:val="zh-CN"/>
        </w:rPr>
      </w:pPr>
      <w:bookmarkStart w:id="203" w:name="_Toc29866"/>
      <w:r>
        <w:rPr>
          <w:rFonts w:hint="eastAsia" w:ascii="方正楷体_GBK" w:hAnsi="方正楷体_GBK" w:eastAsia="方正楷体_GBK" w:cs="方正楷体_GBK"/>
          <w:kern w:val="0"/>
          <w:sz w:val="33"/>
          <w:szCs w:val="33"/>
          <w:shd w:val="clear" w:color="auto" w:fill="FFFFFF"/>
          <w:lang w:val="zh-CN"/>
        </w:rPr>
        <w:t>（一）机构组成</w:t>
      </w:r>
      <w:bookmarkEnd w:id="203"/>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红果彝族乡人民政府现有11个内设机构，分别是农业服务中心、党政办、民政办、宣文中心、社会事务办、综治办、武装部、计生办、社会事务办、经济发展办</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04" w:name="_Toc12158"/>
      <w:r>
        <w:rPr>
          <w:rFonts w:hint="default" w:ascii="方正楷体_GBK" w:hAnsi="方正楷体_GBK" w:eastAsia="方正楷体_GBK" w:cs="方正楷体_GBK"/>
          <w:kern w:val="0"/>
          <w:sz w:val="33"/>
          <w:szCs w:val="33"/>
          <w:shd w:val="clear" w:color="auto" w:fill="FFFFFF"/>
          <w:lang w:val="zh-CN"/>
        </w:rPr>
        <w:t>（二）机构职能</w:t>
      </w:r>
      <w:bookmarkEnd w:id="204"/>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1.贯彻执行党的路线、方针、政策和上级党组织及党员代表大会的决议、决定。</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2.研究决定全镇经济建设和社会发展中带有全局性的重大问题。</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3.负责抓好所属党组织的思想建设、组织建设、作风建设。负责全面从严治党、党风廉政建设和反腐败工作。</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4.按照干部管理权限，负责对干部的教育、培养、选拔任免和监督工作，向上级党组织推荐干部。</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5.领导工会、共青团、妇联、科协等群团组织，协调党政之间的关系。</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6.负责本行政区域的政治思想、宣传、统战、政法、保密、武装、精神文明建设和民主法制建设等工作。</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7.制定并执行本行政区域内经济和社会发展规划、计划。</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8.负责乡村振兴、新农村建设和推进城乡一体化的组织和实施。</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9.负责辖区经济、文化、教育、科学、卫生健康、民政、社会保障、民族宗教、村镇建设、司法、退役军人、扶贫、信访、安全、统计等行政管理和服务工作。</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10.负责农业产业结构调整和“三农”服务工作。</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11.建立健全社会治理防控体系，开展爱国卫生、环境卫生监督检查，承担环境、资源保护等工作，促进人与自然和谐发展。</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12.负责应急管理、安全生产、抢险救灾等工作，保护人民群众生命财产安全。</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13.完成上级党委、政府交办的其他工作。</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05" w:name="_Toc10397"/>
      <w:r>
        <w:rPr>
          <w:rFonts w:hint="default" w:ascii="方正楷体_GBK" w:hAnsi="方正楷体_GBK" w:eastAsia="方正楷体_GBK" w:cs="方正楷体_GBK"/>
          <w:kern w:val="0"/>
          <w:sz w:val="33"/>
          <w:szCs w:val="33"/>
          <w:shd w:val="clear" w:color="auto" w:fill="FFFFFF"/>
          <w:lang w:val="zh-CN"/>
        </w:rPr>
        <w:t>（</w:t>
      </w:r>
      <w:r>
        <w:rPr>
          <w:rFonts w:hint="eastAsia" w:ascii="方正楷体_GBK" w:hAnsi="方正楷体_GBK" w:eastAsia="方正楷体_GBK" w:cs="方正楷体_GBK"/>
          <w:kern w:val="0"/>
          <w:sz w:val="33"/>
          <w:szCs w:val="33"/>
          <w:shd w:val="clear" w:color="auto" w:fill="FFFFFF"/>
          <w:lang w:val="zh-CN"/>
        </w:rPr>
        <w:t>三</w:t>
      </w:r>
      <w:r>
        <w:rPr>
          <w:rFonts w:hint="default" w:ascii="方正楷体_GBK" w:hAnsi="方正楷体_GBK" w:eastAsia="方正楷体_GBK" w:cs="方正楷体_GBK"/>
          <w:kern w:val="0"/>
          <w:sz w:val="33"/>
          <w:szCs w:val="33"/>
          <w:shd w:val="clear" w:color="auto" w:fill="FFFFFF"/>
          <w:lang w:val="zh-CN"/>
        </w:rPr>
        <w:t>）人员概况</w:t>
      </w:r>
      <w:bookmarkEnd w:id="205"/>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红果乡人民政府现有编制数40人，其中：行政编制22人，工勤人员2人，事业编制16人，2019年年末在职人员39人，其中行政编制21人，工勤编制2人，事业编制16人。</w:t>
      </w:r>
    </w:p>
    <w:p>
      <w:pPr>
        <w:pStyle w:val="3"/>
        <w:pageBreakBefore w:val="0"/>
        <w:kinsoku/>
        <w:wordWrap/>
        <w:overflowPunct/>
        <w:topLinePunct w:val="0"/>
        <w:autoSpaceDE/>
        <w:autoSpaceDN/>
        <w:bidi w:val="0"/>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206" w:name="_Toc10394"/>
      <w:r>
        <w:rPr>
          <w:rFonts w:hint="default" w:ascii="方正黑体_GBK" w:hAnsi="方正黑体_GBK" w:eastAsia="方正黑体_GBK" w:cs="方正黑体_GBK"/>
          <w:b w:val="0"/>
          <w:bCs w:val="0"/>
          <w:sz w:val="33"/>
          <w:szCs w:val="33"/>
        </w:rPr>
        <w:t>二、部门资金基本情况</w:t>
      </w:r>
      <w:bookmarkEnd w:id="206"/>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07" w:name="_Toc28163"/>
      <w:r>
        <w:rPr>
          <w:rFonts w:hint="default" w:ascii="方正楷体_GBK" w:hAnsi="方正楷体_GBK" w:eastAsia="方正楷体_GBK" w:cs="方正楷体_GBK"/>
          <w:kern w:val="0"/>
          <w:sz w:val="33"/>
          <w:szCs w:val="33"/>
          <w:shd w:val="clear" w:color="auto" w:fill="FFFFFF"/>
          <w:lang w:val="zh-CN"/>
        </w:rPr>
        <w:t>（一）年初部门预算安排及支出情况</w:t>
      </w:r>
      <w:bookmarkEnd w:id="207"/>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2019年部门预算收入安排资金1079万元，较上年减少132万元，减少1%，增长原因人员经费增加，项目资金增加；支出1417.37万元，较上年增加214.42万元，增长17%，增长原因人员经费支出增加，项目增多。</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1.基本支出安排及使用情况</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基本支出878.68万元，主要用于基本工资、津贴补贴、办公费、差旅费、水电邮电费、车辆运行维护费等日常公用经费。其中：一般公共服务支出547.97万元，文化旅游体育与传媒支出16.67万元，社会保障和就业支出100.06万元，卫生健康支出6.26万元，农林水支出151.54万元，住房保障支出56.16万元。</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2.部门预算项目安排及支出情况</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项目支出538.69万元，主要用于一般公共服务支出41.21万元，社会保障和就业支出63.01万元，卫生健康支出13.1万元，城乡社区支出42.04万元，农林水支出325.26万元，交通运输支出22.57万元，住房保障支出11.16万元，灾害防治及应急管理支出20.33万元。</w:t>
      </w:r>
    </w:p>
    <w:p>
      <w:pPr>
        <w:pStyle w:val="5"/>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3.专项资金安排及支出情况</w:t>
      </w:r>
    </w:p>
    <w:p>
      <w:pPr>
        <w:pageBreakBefore w:val="0"/>
        <w:widowControl/>
        <w:kinsoku/>
        <w:wordWrap/>
        <w:overflowPunct/>
        <w:topLinePunct w:val="0"/>
        <w:autoSpaceDE/>
        <w:autoSpaceDN/>
        <w:bidi w:val="0"/>
        <w:adjustRightInd w:val="0"/>
        <w:snapToGrid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专项资金支出538.69万元，按项目分类：人大代表会议费3.25万元；临时工劳务费0.27万元；支付临时工工资7万元；乡村治理2.51万元；经财网维护费1.59万元；社区工资社保住房公积金51.98万元；五保户生活费丧葬费御寒费28.15万元；计生员补助13.1万元；清运垃圾费用劳务费4.05万元；垃圾车采购45万元；村官报酬和社保0.56万元；脱贫攻坚专项工作经费3.75万元；一事一议补助15..88万元；农村公共运行57万元；村社干部补助及办公费183.8万元；红果乡水毁道路工程款16.63万元；红果乡水毁道路项目款32.92万元；中央自然灾害补助0.37万元。</w:t>
      </w:r>
    </w:p>
    <w:p>
      <w:pPr>
        <w:pStyle w:val="3"/>
        <w:pageBreakBefore w:val="0"/>
        <w:kinsoku/>
        <w:wordWrap/>
        <w:overflowPunct/>
        <w:topLinePunct w:val="0"/>
        <w:autoSpaceDE/>
        <w:autoSpaceDN/>
        <w:bidi w:val="0"/>
        <w:spacing w:line="576" w:lineRule="exact"/>
        <w:ind w:firstLine="660" w:firstLineChars="200"/>
        <w:textAlignment w:val="auto"/>
        <w:rPr>
          <w:rFonts w:hint="eastAsia" w:ascii="方正黑体_GBK" w:hAnsi="方正黑体_GBK" w:eastAsia="方正黑体_GBK" w:cs="方正黑体_GBK"/>
          <w:b w:val="0"/>
          <w:bCs w:val="0"/>
          <w:kern w:val="2"/>
          <w:sz w:val="33"/>
          <w:szCs w:val="33"/>
        </w:rPr>
      </w:pPr>
      <w:bookmarkStart w:id="208" w:name="_Toc30556"/>
      <w:r>
        <w:rPr>
          <w:rFonts w:hint="eastAsia" w:ascii="方正黑体_GBK" w:hAnsi="方正黑体_GBK" w:eastAsia="方正黑体_GBK" w:cs="方正黑体_GBK"/>
          <w:b w:val="0"/>
          <w:bCs w:val="0"/>
          <w:sz w:val="33"/>
          <w:szCs w:val="33"/>
        </w:rPr>
        <w:t>三、绩效目标完成情况分析</w:t>
      </w:r>
      <w:bookmarkEnd w:id="208"/>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09" w:name="_Toc4485"/>
      <w:r>
        <w:rPr>
          <w:rFonts w:hint="default" w:ascii="方正楷体_GBK" w:hAnsi="方正楷体_GBK" w:eastAsia="方正楷体_GBK" w:cs="方正楷体_GBK"/>
          <w:kern w:val="0"/>
          <w:sz w:val="33"/>
          <w:szCs w:val="33"/>
          <w:shd w:val="clear" w:color="auto" w:fill="FFFFFF"/>
          <w:lang w:val="zh-CN"/>
        </w:rPr>
        <w:t>（一）县级财政资金绩效目标完成情况</w:t>
      </w:r>
      <w:bookmarkEnd w:id="209"/>
    </w:p>
    <w:p>
      <w:pPr>
        <w:pStyle w:val="5"/>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1.年初部门预算绩效目标完成情况</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（1）产出指标完成情况分析</w:t>
      </w:r>
    </w:p>
    <w:p>
      <w:pPr>
        <w:pStyle w:val="9"/>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（2）效益指标完成情况分析</w:t>
      </w:r>
    </w:p>
    <w:p>
      <w:pPr>
        <w:pageBreakBefore w:val="0"/>
        <w:kinsoku/>
        <w:wordWrap/>
        <w:overflowPunct/>
        <w:topLinePunct w:val="0"/>
        <w:autoSpaceDE/>
        <w:autoSpaceDN/>
        <w:bidi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我乡主要安排用于一般公共服务支出、社会保障和就业支出、卫生健康支出、节能环保支出、城乡社区支出、农林水支出、自然资源海洋气象等支出、灾害防治及应急管理支出等。</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（3）满意度指标完成情况分析</w:t>
      </w:r>
    </w:p>
    <w:p>
      <w:pPr>
        <w:pStyle w:val="9"/>
        <w:pageBreakBefore w:val="0"/>
        <w:widowControl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通过财政绩效目标管理，基本达到满意。</w:t>
      </w:r>
    </w:p>
    <w:p>
      <w:pPr>
        <w:pStyle w:val="5"/>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2.专项（项目）资金绩效目标完成情况</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（1）产出指标完成情况分析</w:t>
      </w:r>
    </w:p>
    <w:p>
      <w:pPr>
        <w:pageBreakBefore w:val="0"/>
        <w:kinsoku/>
        <w:wordWrap/>
        <w:overflowPunct/>
        <w:topLinePunct w:val="0"/>
        <w:autoSpaceDE/>
        <w:autoSpaceDN/>
        <w:bidi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pageBreakBefore w:val="0"/>
        <w:kinsoku/>
        <w:wordWrap/>
        <w:overflowPunct/>
        <w:topLinePunct w:val="0"/>
        <w:autoSpaceDE/>
        <w:autoSpaceDN/>
        <w:bidi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（2）效益指标完成情况分析</w:t>
      </w:r>
    </w:p>
    <w:p>
      <w:pPr>
        <w:pStyle w:val="9"/>
        <w:pageBreakBefore w:val="0"/>
        <w:widowControl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我乡项目资金主要安排用于一般公共服务支出、社会保障和就业支出、卫生健康支出、节能环保支出、城乡社区支出、农林水支出、自然资源海洋气象等支出、灾害防治及应急管理支出等。</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（3）满意度指标完成情况分析</w:t>
      </w:r>
    </w:p>
    <w:p>
      <w:pPr>
        <w:pStyle w:val="9"/>
        <w:pageBreakBefore w:val="0"/>
        <w:widowControl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通过财政绩效目标管理，基本达到满意。</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0" w:name="_Toc6046"/>
      <w:r>
        <w:rPr>
          <w:rFonts w:hint="default" w:ascii="方正楷体_GBK" w:hAnsi="方正楷体_GBK" w:eastAsia="方正楷体_GBK" w:cs="方正楷体_GBK"/>
          <w:kern w:val="0"/>
          <w:sz w:val="33"/>
          <w:szCs w:val="33"/>
          <w:shd w:val="clear" w:color="auto" w:fill="FFFFFF"/>
          <w:lang w:val="zh-CN"/>
        </w:rPr>
        <w:t>（二）上级专项（项目）资金绩效目标完成情况</w:t>
      </w:r>
      <w:bookmarkEnd w:id="210"/>
    </w:p>
    <w:p>
      <w:pPr>
        <w:pStyle w:val="5"/>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1.产出指标完成情况分析</w:t>
      </w:r>
    </w:p>
    <w:p>
      <w:pPr>
        <w:pageBreakBefore w:val="0"/>
        <w:kinsoku/>
        <w:wordWrap/>
        <w:overflowPunct/>
        <w:topLinePunct w:val="0"/>
        <w:autoSpaceDE/>
        <w:autoSpaceDN/>
        <w:bidi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人大代表会议费3.25万元；临时工劳务费0.27万元；支付临时工工资7万元；乡村治理2.51万元；经财网维护费1.59万元；社区工资社保住房公积金51.98万元；五保户生活费丧葬费御寒费28.15万元；计生员补助13.1万元；清运垃圾费用劳务费4.05万元；垃圾车采购45万元；村官报酬和社保0.56万元；脱贫攻坚专项工作经费3.75万元；一事一议补助15..88万元；农村公共运行57万元；村社干部补助及办公费183.8万元；红果乡水毁道路工程款16.63万元；红果乡水毁道路项目款32.92万元；中央自然灾害补助0.37万元。</w:t>
      </w:r>
    </w:p>
    <w:p>
      <w:pPr>
        <w:pStyle w:val="5"/>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2.效益指标完成情况分析</w:t>
      </w:r>
    </w:p>
    <w:p>
      <w:pPr>
        <w:pStyle w:val="9"/>
        <w:pageBreakBefore w:val="0"/>
        <w:widowControl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我乡项目资金主要安排用于一般公共服务支出、社会保障和就业支出、卫生健康支出、节能环保支出、城乡社区支出、农林水支出、自然资源海洋气象等支出、灾害防治及应急管理支出等。</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（3）满意度指标完成情况分析</w:t>
      </w:r>
    </w:p>
    <w:p>
      <w:pPr>
        <w:pStyle w:val="9"/>
        <w:pageBreakBefore w:val="0"/>
        <w:widowControl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通过财政绩效目标管理，基本达到满意。</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1" w:name="_Toc25096"/>
      <w:r>
        <w:rPr>
          <w:rFonts w:hint="default" w:ascii="方正楷体_GBK" w:hAnsi="方正楷体_GBK" w:eastAsia="方正楷体_GBK" w:cs="方正楷体_GBK"/>
          <w:kern w:val="0"/>
          <w:sz w:val="33"/>
          <w:szCs w:val="33"/>
          <w:shd w:val="clear" w:color="auto" w:fill="FFFFFF"/>
          <w:lang w:val="zh-CN"/>
        </w:rPr>
        <w:t>（三）其他需要说明的情况</w:t>
      </w:r>
      <w:bookmarkEnd w:id="211"/>
    </w:p>
    <w:p>
      <w:pPr>
        <w:pStyle w:val="9"/>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bCs/>
          <w:kern w:val="2"/>
          <w:sz w:val="33"/>
          <w:szCs w:val="33"/>
        </w:rPr>
      </w:pPr>
      <w:r>
        <w:rPr>
          <w:rFonts w:hint="default" w:ascii="Times New Roman" w:hAnsi="Times New Roman" w:eastAsia="方正仿宋_GBK" w:cs="Times New Roman"/>
          <w:bCs/>
          <w:kern w:val="2"/>
          <w:sz w:val="33"/>
          <w:szCs w:val="33"/>
        </w:rPr>
        <w:t>无</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2" w:name="_Toc7517"/>
      <w:r>
        <w:rPr>
          <w:rFonts w:hint="default" w:ascii="方正楷体_GBK" w:hAnsi="方正楷体_GBK" w:eastAsia="方正楷体_GBK" w:cs="方正楷体_GBK"/>
          <w:kern w:val="0"/>
          <w:sz w:val="33"/>
          <w:szCs w:val="33"/>
          <w:shd w:val="clear" w:color="auto" w:fill="FFFFFF"/>
          <w:lang w:val="zh-CN"/>
        </w:rPr>
        <w:t>（四）自评结论</w:t>
      </w:r>
      <w:bookmarkEnd w:id="212"/>
    </w:p>
    <w:p>
      <w:pPr>
        <w:pStyle w:val="9"/>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default" w:ascii="Times New Roman" w:hAnsi="Times New Roman" w:eastAsia="方正仿宋_GBK" w:cs="Times New Roman"/>
          <w:kern w:val="2"/>
          <w:sz w:val="33"/>
          <w:szCs w:val="33"/>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3" w:name="_Toc18836"/>
      <w:r>
        <w:rPr>
          <w:rFonts w:hint="default" w:ascii="方正楷体_GBK" w:hAnsi="方正楷体_GBK" w:eastAsia="方正楷体_GBK" w:cs="方正楷体_GBK"/>
          <w:kern w:val="0"/>
          <w:sz w:val="33"/>
          <w:szCs w:val="33"/>
          <w:shd w:val="clear" w:color="auto" w:fill="FFFFFF"/>
          <w:lang w:val="zh-CN"/>
        </w:rPr>
        <w:t>（五）偏离绩效目标的原因和下一步改进措施</w:t>
      </w:r>
      <w:bookmarkEnd w:id="213"/>
    </w:p>
    <w:p>
      <w:pPr>
        <w:pStyle w:val="9"/>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eastAsia" w:ascii="Times New Roman" w:hAnsi="Times New Roman" w:eastAsia="方正仿宋_GBK" w:cs="Times New Roman"/>
          <w:kern w:val="2"/>
          <w:sz w:val="33"/>
          <w:szCs w:val="33"/>
          <w:lang w:val="en-US" w:eastAsia="zh-CN"/>
        </w:rPr>
        <w:t>1.</w:t>
      </w:r>
      <w:r>
        <w:rPr>
          <w:rFonts w:hint="default" w:ascii="Times New Roman" w:hAnsi="Times New Roman" w:eastAsia="方正仿宋_GBK" w:cs="Times New Roman"/>
          <w:kern w:val="2"/>
          <w:sz w:val="33"/>
          <w:szCs w:val="33"/>
        </w:rPr>
        <w:t>预算编制和预算管理还需进一步细化和加强，严禁超预算和无预算安排支出，严格开支范围和标准，严格审核各项经费的支出，提高资金使用效率。</w:t>
      </w:r>
    </w:p>
    <w:p>
      <w:pPr>
        <w:pStyle w:val="9"/>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kern w:val="2"/>
          <w:sz w:val="33"/>
          <w:szCs w:val="33"/>
        </w:rPr>
      </w:pPr>
      <w:r>
        <w:rPr>
          <w:rFonts w:hint="eastAsia" w:ascii="Times New Roman" w:hAnsi="Times New Roman" w:eastAsia="方正仿宋_GBK" w:cs="Times New Roman"/>
          <w:kern w:val="2"/>
          <w:sz w:val="33"/>
          <w:szCs w:val="33"/>
          <w:lang w:val="en-US" w:eastAsia="zh-CN"/>
        </w:rPr>
        <w:t>2.</w:t>
      </w:r>
      <w:r>
        <w:rPr>
          <w:rFonts w:hint="default" w:ascii="Times New Roman" w:hAnsi="Times New Roman" w:eastAsia="方正仿宋_GBK" w:cs="Times New Roman"/>
          <w:kern w:val="2"/>
          <w:sz w:val="33"/>
          <w:szCs w:val="33"/>
        </w:rPr>
        <w:t>严格控制“三公”经费，认真贯彻落实中央八项规定和省、市十项规定，严格“三公”经费支出的审核和审批，合理压缩“三公”经费支出。合理、节俭、高效地利用资金，保证机关各项工作顺利有序开展。</w:t>
      </w:r>
    </w:p>
    <w:p>
      <w:pPr>
        <w:pStyle w:val="3"/>
        <w:pageBreakBefore w:val="0"/>
        <w:kinsoku/>
        <w:wordWrap/>
        <w:overflowPunct/>
        <w:topLinePunct w:val="0"/>
        <w:autoSpaceDE/>
        <w:autoSpaceDN/>
        <w:bidi w:val="0"/>
        <w:spacing w:line="576" w:lineRule="exact"/>
        <w:ind w:firstLine="660" w:firstLineChars="200"/>
        <w:textAlignment w:val="auto"/>
        <w:rPr>
          <w:rFonts w:hint="default" w:ascii="方正黑体_GBK" w:hAnsi="方正黑体_GBK" w:eastAsia="方正黑体_GBK" w:cs="方正黑体_GBK"/>
          <w:b w:val="0"/>
          <w:bCs w:val="0"/>
          <w:sz w:val="33"/>
          <w:szCs w:val="33"/>
        </w:rPr>
      </w:pPr>
      <w:bookmarkStart w:id="214" w:name="_Toc24696"/>
      <w:r>
        <w:rPr>
          <w:rFonts w:hint="default" w:ascii="方正黑体_GBK" w:hAnsi="方正黑体_GBK" w:eastAsia="方正黑体_GBK" w:cs="方正黑体_GBK"/>
          <w:b w:val="0"/>
          <w:bCs w:val="0"/>
          <w:sz w:val="33"/>
          <w:szCs w:val="33"/>
        </w:rPr>
        <w:t>四、绩效自评结果拟应用和公开公示情况</w:t>
      </w:r>
      <w:bookmarkEnd w:id="214"/>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5" w:name="_Toc26273"/>
      <w:r>
        <w:rPr>
          <w:rFonts w:hint="default" w:ascii="方正楷体_GBK" w:hAnsi="方正楷体_GBK" w:eastAsia="方正楷体_GBK" w:cs="方正楷体_GBK"/>
          <w:kern w:val="0"/>
          <w:sz w:val="33"/>
          <w:szCs w:val="33"/>
          <w:shd w:val="clear" w:color="auto" w:fill="FFFFFF"/>
          <w:lang w:val="zh-CN"/>
        </w:rPr>
        <w:t>（一）绩效自评结果拟应用</w:t>
      </w:r>
      <w:bookmarkEnd w:id="215"/>
    </w:p>
    <w:p>
      <w:pPr>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bCs/>
          <w:sz w:val="33"/>
          <w:szCs w:val="33"/>
        </w:rPr>
      </w:pPr>
      <w:r>
        <w:rPr>
          <w:rStyle w:val="35"/>
          <w:rFonts w:hint="default" w:ascii="Times New Roman" w:hAnsi="Times New Roman" w:eastAsia="方正仿宋_GBK" w:cs="Times New Roman"/>
          <w:sz w:val="33"/>
          <w:szCs w:val="33"/>
        </w:rPr>
        <w:t>1.深化绩效评价工作，不断提高部门预算整体绩效目标管理水平</w:t>
      </w:r>
    </w:p>
    <w:p>
      <w:pPr>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 xml:space="preserve">按照《预算法》按时完成预决算编制。在执行过程中有计划进行资金申报、使用，完善资金管理及内部控制制度，确保资金安全，做到账款、账账、账实相符。 </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2.通过绩效自评建立机关厉行节约制度、节能降耗</w:t>
      </w:r>
    </w:p>
    <w:p>
      <w:pPr>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我</w:t>
      </w:r>
      <w:r>
        <w:rPr>
          <w:rFonts w:hint="eastAsia" w:eastAsia="方正仿宋_GBK" w:cs="Times New Roman"/>
          <w:sz w:val="33"/>
          <w:szCs w:val="33"/>
          <w:lang w:eastAsia="zh-CN"/>
        </w:rPr>
        <w:t>乡</w:t>
      </w:r>
      <w:r>
        <w:rPr>
          <w:rFonts w:hint="default" w:ascii="Times New Roman" w:hAnsi="Times New Roman" w:eastAsia="方正仿宋_GBK" w:cs="Times New Roman"/>
          <w:sz w:val="33"/>
          <w:szCs w:val="33"/>
        </w:rPr>
        <w:t>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pStyle w:val="6"/>
        <w:pageBreakBefore w:val="0"/>
        <w:kinsoku/>
        <w:wordWrap/>
        <w:overflowPunct/>
        <w:topLinePunct w:val="0"/>
        <w:autoSpaceDE/>
        <w:autoSpaceDN/>
        <w:bidi w:val="0"/>
        <w:spacing w:line="576" w:lineRule="exact"/>
        <w:ind w:firstLine="663"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3.强化单位财务管理工作，提高资金使用效率</w:t>
      </w:r>
    </w:p>
    <w:p>
      <w:pPr>
        <w:pageBreakBefore w:val="0"/>
        <w:kinsoku/>
        <w:wordWrap/>
        <w:overflowPunct/>
        <w:topLinePunct w:val="0"/>
        <w:autoSpaceDE/>
        <w:autoSpaceDN/>
        <w:bidi w:val="0"/>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pStyle w:val="3"/>
        <w:pageBreakBefore w:val="0"/>
        <w:kinsoku/>
        <w:wordWrap/>
        <w:overflowPunct/>
        <w:topLinePunct w:val="0"/>
        <w:autoSpaceDE/>
        <w:autoSpaceDN/>
        <w:bidi w:val="0"/>
        <w:spacing w:line="576" w:lineRule="exact"/>
        <w:ind w:firstLine="663" w:firstLineChars="200"/>
        <w:textAlignment w:val="auto"/>
        <w:rPr>
          <w:rFonts w:hint="default" w:ascii="方正楷体_GBK" w:hAnsi="方正楷体_GBK" w:eastAsia="方正楷体_GBK" w:cs="方正楷体_GBK"/>
          <w:kern w:val="0"/>
          <w:sz w:val="33"/>
          <w:szCs w:val="33"/>
          <w:shd w:val="clear" w:color="auto" w:fill="FFFFFF"/>
          <w:lang w:val="zh-CN"/>
        </w:rPr>
      </w:pPr>
      <w:bookmarkStart w:id="216" w:name="_Toc23381"/>
      <w:r>
        <w:rPr>
          <w:rFonts w:hint="default" w:ascii="方正楷体_GBK" w:hAnsi="方正楷体_GBK" w:eastAsia="方正楷体_GBK" w:cs="方正楷体_GBK"/>
          <w:kern w:val="0"/>
          <w:sz w:val="33"/>
          <w:szCs w:val="33"/>
          <w:shd w:val="clear" w:color="auto" w:fill="FFFFFF"/>
          <w:lang w:val="zh-CN"/>
        </w:rPr>
        <w:t>（二）公开公示情况</w:t>
      </w:r>
      <w:bookmarkEnd w:id="216"/>
    </w:p>
    <w:p>
      <w:pPr>
        <w:pageBreakBefore w:val="0"/>
        <w:kinsoku/>
        <w:wordWrap/>
        <w:overflowPunct/>
        <w:topLinePunct w:val="0"/>
        <w:autoSpaceDE/>
        <w:autoSpaceDN/>
        <w:bidi w:val="0"/>
        <w:spacing w:line="576"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人民政府2019年部门预算整体绩效自评表》和《盐边县红果彝族乡人民政府2019年度部门预算情况公开编制说明》在“盐边县公众信息网”财政信息板块下的“财政绩效评价信息专栏”进行公开公示。</w:t>
      </w:r>
    </w:p>
    <w:p>
      <w:pPr>
        <w:spacing w:line="580" w:lineRule="exact"/>
        <w:rPr>
          <w:rFonts w:hint="default" w:ascii="Times New Roman" w:hAnsi="Times New Roman" w:eastAsia="方正仿宋_GBK" w:cs="Times New Roman"/>
          <w:sz w:val="33"/>
          <w:szCs w:val="33"/>
        </w:rPr>
      </w:pPr>
    </w:p>
    <w:p>
      <w:pPr>
        <w:spacing w:line="580" w:lineRule="exact"/>
        <w:rPr>
          <w:rFonts w:hint="default" w:ascii="Times New Roman" w:hAnsi="Times New Roman" w:eastAsia="方正仿宋_GBK" w:cs="Times New Roman"/>
          <w:sz w:val="33"/>
          <w:szCs w:val="33"/>
        </w:rPr>
      </w:pPr>
    </w:p>
    <w:p>
      <w:pPr>
        <w:spacing w:line="580" w:lineRule="exact"/>
        <w:rPr>
          <w:rFonts w:hint="default" w:ascii="Times New Roman" w:hAnsi="Times New Roman" w:eastAsia="方正仿宋_GBK" w:cs="Times New Roman"/>
          <w:sz w:val="33"/>
          <w:szCs w:val="33"/>
        </w:rPr>
      </w:pPr>
    </w:p>
    <w:p>
      <w:pPr>
        <w:spacing w:line="580" w:lineRule="exact"/>
        <w:rPr>
          <w:rFonts w:hint="default" w:ascii="Times New Roman" w:hAnsi="Times New Roman" w:eastAsia="方正仿宋_GBK" w:cs="Times New Roman"/>
          <w:sz w:val="33"/>
          <w:szCs w:val="33"/>
        </w:rPr>
      </w:pPr>
    </w:p>
    <w:p>
      <w:pPr>
        <w:spacing w:line="580" w:lineRule="exact"/>
        <w:jc w:val="left"/>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附件2</w:t>
      </w:r>
    </w:p>
    <w:p>
      <w:pPr>
        <w:spacing w:line="580" w:lineRule="exact"/>
        <w:ind w:firstLine="640" w:firstLineChars="200"/>
        <w:rPr>
          <w:rFonts w:ascii="仿宋_GB2312" w:hAnsi="仿宋_GB2312" w:eastAsia="仿宋_GB2312" w:cs="仿宋_GB2312"/>
          <w:sz w:val="32"/>
          <w:szCs w:val="32"/>
        </w:rPr>
      </w:pPr>
    </w:p>
    <w:p>
      <w:pPr>
        <w:pStyle w:val="2"/>
        <w:jc w:val="center"/>
        <w:rPr>
          <w:kern w:val="0"/>
          <w:lang w:val="zh-CN"/>
        </w:rPr>
      </w:pPr>
      <w:bookmarkStart w:id="217" w:name="_Toc28833"/>
      <w:r>
        <w:rPr>
          <w:rFonts w:hint="default" w:ascii="Times New Roman" w:hAnsi="Times New Roman" w:eastAsia="方正小标宋_GBK" w:cs="Times New Roman"/>
          <w:kern w:val="0"/>
          <w:sz w:val="38"/>
          <w:szCs w:val="38"/>
        </w:rPr>
        <w:t>购买垃圾车</w:t>
      </w:r>
      <w:r>
        <w:rPr>
          <w:rFonts w:hint="default" w:ascii="Times New Roman" w:hAnsi="Times New Roman" w:eastAsia="方正小标宋_GBK" w:cs="Times New Roman"/>
          <w:kern w:val="0"/>
          <w:sz w:val="38"/>
          <w:szCs w:val="38"/>
          <w:lang w:val="zh-CN"/>
        </w:rPr>
        <w:t>项目</w:t>
      </w:r>
      <w:r>
        <w:rPr>
          <w:rFonts w:hint="default" w:ascii="Times New Roman" w:hAnsi="Times New Roman" w:eastAsia="方正小标宋_GBK" w:cs="Times New Roman"/>
          <w:kern w:val="0"/>
          <w:sz w:val="38"/>
          <w:szCs w:val="38"/>
        </w:rPr>
        <w:t>2019年</w:t>
      </w:r>
      <w:r>
        <w:rPr>
          <w:rFonts w:hint="default" w:ascii="Times New Roman" w:hAnsi="Times New Roman" w:eastAsia="方正小标宋_GBK" w:cs="Times New Roman"/>
          <w:kern w:val="0"/>
          <w:sz w:val="38"/>
          <w:szCs w:val="38"/>
          <w:lang w:val="zh-CN"/>
        </w:rPr>
        <w:t>绩效评价报告</w:t>
      </w:r>
      <w:bookmarkEnd w:id="217"/>
    </w:p>
    <w:p>
      <w:pPr>
        <w:spacing w:line="600" w:lineRule="exact"/>
        <w:rPr>
          <w:rFonts w:ascii="黑体" w:hAnsi="黑体" w:eastAsia="黑体" w:cs="仿宋_GB2312"/>
          <w:sz w:val="32"/>
          <w:szCs w:val="32"/>
        </w:rPr>
      </w:pPr>
      <w:r>
        <w:rPr>
          <w:rFonts w:hint="eastAsia" w:ascii="黑体" w:hAnsi="黑体" w:eastAsia="黑体" w:cs="仿宋_GB2312"/>
          <w:sz w:val="32"/>
          <w:szCs w:val="32"/>
        </w:rPr>
        <w:t xml:space="preserve">  </w:t>
      </w:r>
    </w:p>
    <w:p>
      <w:pPr>
        <w:pStyle w:val="3"/>
        <w:pageBreakBefore w:val="0"/>
        <w:kinsoku/>
        <w:wordWrap/>
        <w:overflowPunct/>
        <w:topLinePunct w:val="0"/>
        <w:autoSpaceDE/>
        <w:autoSpaceDN/>
        <w:bidi w:val="0"/>
        <w:adjustRightInd/>
        <w:snapToGrid/>
        <w:spacing w:line="576" w:lineRule="exact"/>
        <w:ind w:firstLine="663" w:firstLineChars="200"/>
        <w:textAlignment w:val="auto"/>
        <w:rPr>
          <w:rFonts w:hint="eastAsia" w:ascii="方正黑体_GBK" w:hAnsi="方正黑体_GBK" w:eastAsia="方正黑体_GBK" w:cs="方正黑体_GBK"/>
          <w:sz w:val="33"/>
          <w:szCs w:val="33"/>
        </w:rPr>
      </w:pPr>
      <w:bookmarkStart w:id="218" w:name="_Toc31669"/>
      <w:r>
        <w:rPr>
          <w:rFonts w:hint="eastAsia" w:ascii="方正黑体_GBK" w:hAnsi="方正黑体_GBK" w:eastAsia="方正黑体_GBK" w:cs="方正黑体_GBK"/>
          <w:sz w:val="33"/>
          <w:szCs w:val="33"/>
        </w:rPr>
        <w:t>一、项目基本情况</w:t>
      </w:r>
      <w:bookmarkEnd w:id="218"/>
    </w:p>
    <w:p>
      <w:pPr>
        <w:pStyle w:val="4"/>
        <w:pageBreakBefore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219" w:name="_Toc18940"/>
      <w:r>
        <w:rPr>
          <w:rFonts w:hint="default" w:ascii="方正楷体_GBK" w:hAnsi="方正楷体_GBK" w:eastAsia="方正楷体_GBK" w:cs="方正楷体_GBK"/>
          <w:sz w:val="33"/>
          <w:szCs w:val="33"/>
        </w:rPr>
        <w:t>（一）理想背景</w:t>
      </w:r>
      <w:bookmarkEnd w:id="219"/>
    </w:p>
    <w:p>
      <w:pPr>
        <w:pageBreakBefore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红果乡集镇化建设和环境卫生的要求，需要将红果乡的垃圾集中转运到专业垃圾处理场进行集中处理，需要购置垃圾车一辆。</w:t>
      </w:r>
    </w:p>
    <w:p>
      <w:pPr>
        <w:pStyle w:val="4"/>
        <w:pageBreakBefore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220" w:name="_Toc24396"/>
      <w:r>
        <w:rPr>
          <w:rFonts w:hint="default" w:ascii="方正楷体_GBK" w:hAnsi="方正楷体_GBK" w:eastAsia="方正楷体_GBK" w:cs="方正楷体_GBK"/>
          <w:sz w:val="33"/>
          <w:szCs w:val="33"/>
        </w:rPr>
        <w:t>（二）立项目的</w:t>
      </w:r>
      <w:bookmarkEnd w:id="220"/>
    </w:p>
    <w:p>
      <w:pPr>
        <w:pageBreakBefore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为满足红果乡的垃圾转运的要求。</w:t>
      </w:r>
    </w:p>
    <w:p>
      <w:pPr>
        <w:pStyle w:val="3"/>
        <w:pageBreakBefore w:val="0"/>
        <w:kinsoku/>
        <w:wordWrap/>
        <w:overflowPunct/>
        <w:topLinePunct w:val="0"/>
        <w:autoSpaceDE/>
        <w:autoSpaceDN/>
        <w:bidi w:val="0"/>
        <w:adjustRightInd/>
        <w:snapToGrid/>
        <w:spacing w:line="576" w:lineRule="exact"/>
        <w:ind w:firstLine="663" w:firstLineChars="200"/>
        <w:textAlignment w:val="auto"/>
        <w:rPr>
          <w:rFonts w:hint="default" w:ascii="方正黑体_GBK" w:hAnsi="方正黑体_GBK" w:eastAsia="方正黑体_GBK" w:cs="方正黑体_GBK"/>
          <w:sz w:val="33"/>
          <w:szCs w:val="33"/>
        </w:rPr>
      </w:pPr>
      <w:bookmarkStart w:id="221" w:name="_Toc29409"/>
      <w:r>
        <w:rPr>
          <w:rFonts w:hint="default" w:ascii="方正黑体_GBK" w:hAnsi="方正黑体_GBK" w:eastAsia="方正黑体_GBK" w:cs="方正黑体_GBK"/>
          <w:sz w:val="33"/>
          <w:szCs w:val="33"/>
        </w:rPr>
        <w:t>二、资金使用情况</w:t>
      </w:r>
      <w:bookmarkEnd w:id="221"/>
    </w:p>
    <w:p>
      <w:pPr>
        <w:pageBreakBefore w:val="0"/>
        <w:kinsoku/>
        <w:wordWrap/>
        <w:overflowPunct/>
        <w:topLinePunct w:val="0"/>
        <w:autoSpaceDE/>
        <w:autoSpaceDN/>
        <w:bidi w:val="0"/>
        <w:adjustRightInd/>
        <w:snapToGrid/>
        <w:spacing w:line="576" w:lineRule="exact"/>
        <w:ind w:firstLine="660" w:firstLineChars="2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该项目为县住建局盘活资金，合计下达45万，实际开支37.9万。</w:t>
      </w:r>
    </w:p>
    <w:p>
      <w:pPr>
        <w:pStyle w:val="3"/>
        <w:pageBreakBefore w:val="0"/>
        <w:kinsoku/>
        <w:wordWrap/>
        <w:overflowPunct/>
        <w:topLinePunct w:val="0"/>
        <w:autoSpaceDE/>
        <w:autoSpaceDN/>
        <w:bidi w:val="0"/>
        <w:adjustRightInd/>
        <w:snapToGrid/>
        <w:spacing w:line="576" w:lineRule="exact"/>
        <w:ind w:firstLine="663" w:firstLineChars="200"/>
        <w:textAlignment w:val="auto"/>
        <w:rPr>
          <w:rFonts w:hint="default" w:ascii="方正黑体_GBK" w:hAnsi="方正黑体_GBK" w:eastAsia="方正黑体_GBK" w:cs="方正黑体_GBK"/>
          <w:sz w:val="33"/>
          <w:szCs w:val="33"/>
        </w:rPr>
      </w:pPr>
      <w:bookmarkStart w:id="222" w:name="_Toc457"/>
      <w:r>
        <w:rPr>
          <w:rFonts w:hint="default" w:ascii="方正黑体_GBK" w:hAnsi="方正黑体_GBK" w:eastAsia="方正黑体_GBK" w:cs="方正黑体_GBK"/>
          <w:sz w:val="33"/>
          <w:szCs w:val="33"/>
        </w:rPr>
        <w:t>三、项目绩效目标</w:t>
      </w:r>
      <w:bookmarkEnd w:id="222"/>
    </w:p>
    <w:p>
      <w:pPr>
        <w:pStyle w:val="4"/>
        <w:pageBreakBefore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223" w:name="_Toc27534"/>
      <w:r>
        <w:rPr>
          <w:rFonts w:hint="default" w:ascii="方正楷体_GBK" w:hAnsi="方正楷体_GBK" w:eastAsia="方正楷体_GBK" w:cs="方正楷体_GBK"/>
          <w:sz w:val="33"/>
          <w:szCs w:val="33"/>
        </w:rPr>
        <w:t>（一）项目绩效总体目标</w:t>
      </w:r>
      <w:bookmarkEnd w:id="223"/>
    </w:p>
    <w:p>
      <w:pPr>
        <w:pageBreakBefore w:val="0"/>
        <w:kinsoku/>
        <w:wordWrap/>
        <w:overflowPunct/>
        <w:topLinePunct w:val="0"/>
        <w:autoSpaceDE/>
        <w:autoSpaceDN/>
        <w:bidi w:val="0"/>
        <w:adjustRightInd/>
        <w:snapToGrid/>
        <w:spacing w:line="576" w:lineRule="exact"/>
        <w:ind w:firstLine="330" w:firstLineChars="1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为了满足环保要求，加快红果乡集镇化建设，提高红果乡卫生水平，为此县财政专门拨款45万，实际支出 。2019年完成采购任务，成功将垃圾车采购到位。保证环境卫生工作的正常开展。</w:t>
      </w:r>
    </w:p>
    <w:p>
      <w:pPr>
        <w:pStyle w:val="4"/>
        <w:pageBreakBefore w:val="0"/>
        <w:kinsoku/>
        <w:wordWrap/>
        <w:overflowPunct/>
        <w:topLinePunct w:val="0"/>
        <w:autoSpaceDE/>
        <w:autoSpaceDN/>
        <w:bidi w:val="0"/>
        <w:adjustRightInd/>
        <w:snapToGrid/>
        <w:spacing w:line="576" w:lineRule="exact"/>
        <w:ind w:firstLine="663" w:firstLineChars="200"/>
        <w:textAlignment w:val="auto"/>
        <w:rPr>
          <w:rFonts w:hint="default" w:ascii="方正楷体_GBK" w:hAnsi="方正楷体_GBK" w:eastAsia="方正楷体_GBK" w:cs="方正楷体_GBK"/>
          <w:sz w:val="33"/>
          <w:szCs w:val="33"/>
        </w:rPr>
      </w:pPr>
      <w:bookmarkStart w:id="224" w:name="_Toc20598"/>
      <w:r>
        <w:rPr>
          <w:rFonts w:hint="default" w:ascii="方正楷体_GBK" w:hAnsi="方正楷体_GBK" w:eastAsia="方正楷体_GBK" w:cs="方正楷体_GBK"/>
          <w:sz w:val="33"/>
          <w:szCs w:val="33"/>
        </w:rPr>
        <w:t>（二）项目年度绩效目标</w:t>
      </w:r>
      <w:bookmarkEnd w:id="224"/>
    </w:p>
    <w:p>
      <w:pPr>
        <w:pageBreakBefore w:val="0"/>
        <w:kinsoku/>
        <w:wordWrap/>
        <w:overflowPunct/>
        <w:topLinePunct w:val="0"/>
        <w:autoSpaceDE/>
        <w:autoSpaceDN/>
        <w:bidi w:val="0"/>
        <w:adjustRightInd/>
        <w:snapToGrid/>
        <w:spacing w:line="576" w:lineRule="exact"/>
        <w:ind w:firstLine="330" w:firstLineChars="100"/>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完成红果乡的垃圾集中清运，保证红果乡的环境卫生工作的开展。</w:t>
      </w:r>
    </w:p>
    <w:p>
      <w:pPr>
        <w:pStyle w:val="4"/>
        <w:pageBreakBefore w:val="0"/>
        <w:kinsoku/>
        <w:wordWrap/>
        <w:overflowPunct/>
        <w:topLinePunct w:val="0"/>
        <w:autoSpaceDE/>
        <w:autoSpaceDN/>
        <w:bidi w:val="0"/>
        <w:adjustRightInd/>
        <w:snapToGrid/>
        <w:spacing w:line="576" w:lineRule="exact"/>
        <w:ind w:firstLine="663" w:firstLineChars="200"/>
        <w:textAlignment w:val="auto"/>
        <w:rPr>
          <w:rFonts w:hint="eastAsia" w:ascii="方正楷体_GBK" w:hAnsi="方正楷体_GBK" w:eastAsia="方正楷体_GBK" w:cs="方正楷体_GBK"/>
          <w:sz w:val="33"/>
          <w:szCs w:val="33"/>
        </w:rPr>
      </w:pPr>
      <w:bookmarkStart w:id="225" w:name="_Toc18951"/>
      <w:r>
        <w:rPr>
          <w:rFonts w:hint="eastAsia" w:ascii="方正楷体_GBK" w:hAnsi="方正楷体_GBK" w:eastAsia="方正楷体_GBK" w:cs="方正楷体_GBK"/>
          <w:sz w:val="33"/>
          <w:szCs w:val="33"/>
        </w:rPr>
        <w:t>（三）项目资金管理情况</w:t>
      </w:r>
      <w:bookmarkEnd w:id="225"/>
    </w:p>
    <w:p>
      <w:pPr>
        <w:pageBreakBefore w:val="0"/>
        <w:kinsoku/>
        <w:wordWrap/>
        <w:overflowPunct/>
        <w:topLinePunct w:val="0"/>
        <w:autoSpaceDE/>
        <w:autoSpaceDN/>
        <w:bidi w:val="0"/>
        <w:adjustRightInd/>
        <w:snapToGrid/>
        <w:spacing w:line="576" w:lineRule="exact"/>
        <w:ind w:left="479" w:leftChars="228"/>
        <w:textAlignment w:val="auto"/>
        <w:outlineLvl w:val="1"/>
        <w:rPr>
          <w:rFonts w:hint="default" w:ascii="Times New Roman" w:hAnsi="Times New Roman" w:eastAsia="方正仿宋_GBK" w:cs="Times New Roman"/>
          <w:sz w:val="33"/>
          <w:szCs w:val="33"/>
        </w:rPr>
      </w:pPr>
      <w:bookmarkStart w:id="226" w:name="_Toc30627"/>
      <w:r>
        <w:rPr>
          <w:rFonts w:hint="default" w:ascii="Times New Roman" w:hAnsi="Times New Roman" w:eastAsia="方正仿宋_GBK" w:cs="Times New Roman"/>
          <w:sz w:val="33"/>
          <w:szCs w:val="33"/>
        </w:rPr>
        <w:t>在项目资金管理上，红果乡项目资金均严格按照国家法律法规执行，转款专用。按照具体财政要求，财务均由财政所统一进行核算。</w:t>
      </w:r>
      <w:bookmarkEnd w:id="226"/>
    </w:p>
    <w:p>
      <w:pPr>
        <w:pageBreakBefore w:val="0"/>
        <w:widowControl/>
        <w:kinsoku/>
        <w:wordWrap/>
        <w:overflowPunct/>
        <w:topLinePunct w:val="0"/>
        <w:autoSpaceDE/>
        <w:autoSpaceDN/>
        <w:bidi w:val="0"/>
        <w:adjustRightInd/>
        <w:snapToGrid/>
        <w:spacing w:line="576" w:lineRule="exact"/>
        <w:jc w:val="left"/>
        <w:textAlignment w:val="auto"/>
        <w:rPr>
          <w:rStyle w:val="29"/>
          <w:rFonts w:hint="default" w:ascii="Times New Roman" w:hAnsi="Times New Roman" w:eastAsia="方正仿宋_GBK" w:cs="Times New Roman"/>
          <w:b w:val="0"/>
          <w:sz w:val="33"/>
          <w:szCs w:val="33"/>
        </w:rPr>
      </w:pPr>
    </w:p>
    <w:p>
      <w:pPr>
        <w:pageBreakBefore w:val="0"/>
        <w:kinsoku/>
        <w:wordWrap/>
        <w:overflowPunct/>
        <w:topLinePunct w:val="0"/>
        <w:autoSpaceDE/>
        <w:autoSpaceDN/>
        <w:bidi w:val="0"/>
        <w:adjustRightInd/>
        <w:snapToGrid/>
        <w:spacing w:line="576" w:lineRule="exact"/>
        <w:jc w:val="center"/>
        <w:textAlignment w:val="auto"/>
        <w:outlineLvl w:val="9"/>
        <w:rPr>
          <w:rStyle w:val="29"/>
          <w:rFonts w:hint="default" w:ascii="Times New Roman" w:hAnsi="Times New Roman" w:eastAsia="方正仿宋_GBK" w:cs="Times New Roman"/>
          <w:b w:val="0"/>
          <w:sz w:val="33"/>
          <w:szCs w:val="33"/>
        </w:rPr>
      </w:pPr>
    </w:p>
    <w:p>
      <w:pPr>
        <w:spacing w:line="600" w:lineRule="exact"/>
        <w:jc w:val="center"/>
        <w:outlineLvl w:val="9"/>
        <w:rPr>
          <w:rFonts w:hint="default" w:ascii="Times New Roman" w:hAnsi="Times New Roman" w:eastAsia="方正仿宋_GBK" w:cs="Times New Roman"/>
          <w:color w:val="000000"/>
          <w:sz w:val="33"/>
          <w:szCs w:val="33"/>
        </w:rPr>
      </w:pPr>
      <w:bookmarkStart w:id="227" w:name="_Toc15396618"/>
      <w:bookmarkStart w:id="228" w:name="_Toc52180099"/>
    </w:p>
    <w:p>
      <w:pPr>
        <w:spacing w:line="600" w:lineRule="exact"/>
        <w:jc w:val="center"/>
        <w:outlineLvl w:val="9"/>
        <w:rPr>
          <w:rFonts w:hint="default" w:ascii="Times New Roman" w:hAnsi="Times New Roman" w:eastAsia="方正仿宋_GBK" w:cs="Times New Roman"/>
          <w:color w:val="000000"/>
          <w:sz w:val="33"/>
          <w:szCs w:val="33"/>
        </w:rPr>
      </w:pPr>
    </w:p>
    <w:p>
      <w:pPr>
        <w:spacing w:line="600" w:lineRule="exact"/>
        <w:jc w:val="center"/>
        <w:outlineLvl w:val="9"/>
        <w:rPr>
          <w:rFonts w:hint="default" w:ascii="Times New Roman" w:hAnsi="Times New Roman" w:eastAsia="方正仿宋_GBK" w:cs="Times New Roman"/>
          <w:color w:val="000000"/>
          <w:sz w:val="33"/>
          <w:szCs w:val="33"/>
        </w:rPr>
      </w:pPr>
    </w:p>
    <w:p>
      <w:pPr>
        <w:spacing w:line="600" w:lineRule="exact"/>
        <w:outlineLvl w:val="9"/>
        <w:rPr>
          <w:rFonts w:hint="default" w:ascii="Times New Roman" w:hAnsi="Times New Roman" w:eastAsia="方正仿宋_GBK" w:cs="Times New Roman"/>
          <w:color w:val="000000"/>
          <w:sz w:val="33"/>
          <w:szCs w:val="33"/>
        </w:rPr>
      </w:pPr>
    </w:p>
    <w:p>
      <w:pPr>
        <w:pStyle w:val="2"/>
        <w:jc w:val="center"/>
        <w:rPr>
          <w:rFonts w:hint="eastAsia" w:ascii="方正小标宋_GBK" w:hAnsi="方正小标宋_GBK" w:eastAsia="方正小标宋_GBK" w:cs="方正小标宋_GBK"/>
        </w:rPr>
      </w:pPr>
      <w:bookmarkStart w:id="229" w:name="_Toc9812"/>
      <w:r>
        <w:rPr>
          <w:rFonts w:hint="eastAsia" w:ascii="方正小标宋_GBK" w:hAnsi="方正小标宋_GBK" w:eastAsia="方正小标宋_GBK" w:cs="方正小标宋_GBK"/>
          <w:color w:val="000000"/>
        </w:rPr>
        <w:t>第</w:t>
      </w:r>
      <w:r>
        <w:rPr>
          <w:rFonts w:hint="eastAsia" w:ascii="方正小标宋_GBK" w:hAnsi="方正小标宋_GBK" w:eastAsia="方正小标宋_GBK" w:cs="方正小标宋_GBK"/>
        </w:rPr>
        <w:t>五部分 附表</w:t>
      </w:r>
      <w:bookmarkEnd w:id="198"/>
      <w:bookmarkEnd w:id="227"/>
      <w:bookmarkEnd w:id="228"/>
      <w:bookmarkEnd w:id="229"/>
    </w:p>
    <w:p>
      <w:pPr>
        <w:pStyle w:val="3"/>
        <w:rPr>
          <w:rFonts w:hint="default" w:ascii="Times New Roman" w:hAnsi="Times New Roman" w:eastAsia="方正仿宋_GBK" w:cs="Times New Roman"/>
          <w:sz w:val="33"/>
          <w:szCs w:val="33"/>
        </w:rPr>
      </w:pPr>
      <w:bookmarkStart w:id="230" w:name="_Toc52180100"/>
      <w:bookmarkStart w:id="231" w:name="_Toc15396619"/>
      <w:bookmarkStart w:id="232" w:name="_Toc8294"/>
      <w:r>
        <w:rPr>
          <w:rFonts w:hint="default" w:ascii="Times New Roman" w:hAnsi="Times New Roman" w:eastAsia="方正仿宋_GBK" w:cs="Times New Roman"/>
          <w:sz w:val="33"/>
          <w:szCs w:val="33"/>
        </w:rPr>
        <w:t>一、收入支出决算总表</w:t>
      </w:r>
      <w:bookmarkEnd w:id="230"/>
      <w:bookmarkEnd w:id="231"/>
      <w:bookmarkEnd w:id="232"/>
    </w:p>
    <w:p>
      <w:pPr>
        <w:pStyle w:val="3"/>
        <w:rPr>
          <w:rFonts w:hint="default" w:ascii="Times New Roman" w:hAnsi="Times New Roman" w:eastAsia="方正仿宋_GBK" w:cs="Times New Roman"/>
          <w:sz w:val="33"/>
          <w:szCs w:val="33"/>
        </w:rPr>
      </w:pPr>
      <w:bookmarkStart w:id="233" w:name="_Toc52180101"/>
      <w:bookmarkStart w:id="234" w:name="_Toc15396620"/>
      <w:bookmarkStart w:id="235" w:name="_Toc22960"/>
      <w:r>
        <w:rPr>
          <w:rFonts w:hint="default" w:ascii="Times New Roman" w:hAnsi="Times New Roman" w:eastAsia="方正仿宋_GBK" w:cs="Times New Roman"/>
          <w:sz w:val="33"/>
          <w:szCs w:val="33"/>
        </w:rPr>
        <w:t>二、收入决算表</w:t>
      </w:r>
      <w:bookmarkEnd w:id="233"/>
      <w:bookmarkEnd w:id="234"/>
      <w:bookmarkEnd w:id="235"/>
    </w:p>
    <w:p>
      <w:pPr>
        <w:pStyle w:val="3"/>
        <w:rPr>
          <w:rFonts w:hint="default" w:ascii="Times New Roman" w:hAnsi="Times New Roman" w:eastAsia="方正仿宋_GBK" w:cs="Times New Roman"/>
          <w:sz w:val="33"/>
          <w:szCs w:val="33"/>
        </w:rPr>
      </w:pPr>
      <w:bookmarkStart w:id="236" w:name="_Toc15396621"/>
      <w:bookmarkStart w:id="237" w:name="_Toc52180102"/>
      <w:bookmarkStart w:id="238" w:name="_Toc18820"/>
      <w:r>
        <w:rPr>
          <w:rFonts w:hint="default" w:ascii="Times New Roman" w:hAnsi="Times New Roman" w:eastAsia="方正仿宋_GBK" w:cs="Times New Roman"/>
          <w:sz w:val="33"/>
          <w:szCs w:val="33"/>
        </w:rPr>
        <w:t>三、支出决算表</w:t>
      </w:r>
      <w:bookmarkEnd w:id="236"/>
      <w:bookmarkEnd w:id="237"/>
      <w:bookmarkEnd w:id="238"/>
    </w:p>
    <w:p>
      <w:pPr>
        <w:pStyle w:val="3"/>
        <w:rPr>
          <w:rFonts w:hint="default" w:ascii="Times New Roman" w:hAnsi="Times New Roman" w:eastAsia="方正仿宋_GBK" w:cs="Times New Roman"/>
          <w:sz w:val="33"/>
          <w:szCs w:val="33"/>
        </w:rPr>
      </w:pPr>
      <w:bookmarkStart w:id="239" w:name="_Toc52180103"/>
      <w:bookmarkStart w:id="240" w:name="_Toc15396622"/>
      <w:bookmarkStart w:id="241" w:name="_Toc12383"/>
      <w:r>
        <w:rPr>
          <w:rFonts w:hint="default" w:ascii="Times New Roman" w:hAnsi="Times New Roman" w:eastAsia="方正仿宋_GBK" w:cs="Times New Roman"/>
          <w:sz w:val="33"/>
          <w:szCs w:val="33"/>
        </w:rPr>
        <w:t>四、财政拨款收入支出决算总表</w:t>
      </w:r>
      <w:bookmarkEnd w:id="239"/>
      <w:bookmarkEnd w:id="240"/>
      <w:bookmarkEnd w:id="241"/>
    </w:p>
    <w:p>
      <w:pPr>
        <w:pStyle w:val="3"/>
        <w:rPr>
          <w:rFonts w:hint="default" w:ascii="Times New Roman" w:hAnsi="Times New Roman" w:eastAsia="方正仿宋_GBK" w:cs="Times New Roman"/>
          <w:sz w:val="33"/>
          <w:szCs w:val="33"/>
        </w:rPr>
      </w:pPr>
      <w:bookmarkStart w:id="242" w:name="_Toc15396623"/>
      <w:bookmarkStart w:id="243" w:name="_Toc52180104"/>
      <w:bookmarkStart w:id="244" w:name="_Toc31870"/>
      <w:r>
        <w:rPr>
          <w:rFonts w:hint="default" w:ascii="Times New Roman" w:hAnsi="Times New Roman" w:eastAsia="方正仿宋_GBK" w:cs="Times New Roman"/>
          <w:sz w:val="33"/>
          <w:szCs w:val="33"/>
        </w:rPr>
        <w:t>五、财政拨款支出决算明细表</w:t>
      </w:r>
      <w:bookmarkEnd w:id="242"/>
      <w:bookmarkEnd w:id="243"/>
      <w:bookmarkEnd w:id="244"/>
      <w:bookmarkStart w:id="245" w:name="_Toc15396624"/>
    </w:p>
    <w:p>
      <w:pPr>
        <w:pStyle w:val="3"/>
        <w:rPr>
          <w:rFonts w:hint="default" w:ascii="Times New Roman" w:hAnsi="Times New Roman" w:eastAsia="方正仿宋_GBK" w:cs="Times New Roman"/>
          <w:sz w:val="33"/>
          <w:szCs w:val="33"/>
        </w:rPr>
      </w:pPr>
      <w:bookmarkStart w:id="246" w:name="_Toc52180105"/>
      <w:bookmarkStart w:id="247" w:name="_Toc27391"/>
      <w:r>
        <w:rPr>
          <w:rFonts w:hint="default" w:ascii="Times New Roman" w:hAnsi="Times New Roman" w:eastAsia="方正仿宋_GBK" w:cs="Times New Roman"/>
          <w:sz w:val="33"/>
          <w:szCs w:val="33"/>
        </w:rPr>
        <w:t>六、一般公共预算财政拨款支出决算表</w:t>
      </w:r>
      <w:bookmarkEnd w:id="245"/>
      <w:bookmarkEnd w:id="246"/>
      <w:bookmarkEnd w:id="247"/>
    </w:p>
    <w:p>
      <w:pPr>
        <w:pStyle w:val="3"/>
        <w:rPr>
          <w:rFonts w:hint="default" w:ascii="Times New Roman" w:hAnsi="Times New Roman" w:eastAsia="方正仿宋_GBK" w:cs="Times New Roman"/>
          <w:sz w:val="33"/>
          <w:szCs w:val="33"/>
        </w:rPr>
      </w:pPr>
      <w:bookmarkStart w:id="248" w:name="_Toc15396625"/>
      <w:bookmarkStart w:id="249" w:name="_Toc52180106"/>
      <w:bookmarkStart w:id="250" w:name="_Toc26640"/>
      <w:r>
        <w:rPr>
          <w:rFonts w:hint="default" w:ascii="Times New Roman" w:hAnsi="Times New Roman" w:eastAsia="方正仿宋_GBK" w:cs="Times New Roman"/>
          <w:sz w:val="33"/>
          <w:szCs w:val="33"/>
        </w:rPr>
        <w:t>七、一般公共预算财政拨款支出决算明细表</w:t>
      </w:r>
      <w:bookmarkEnd w:id="248"/>
      <w:bookmarkEnd w:id="249"/>
      <w:bookmarkEnd w:id="250"/>
    </w:p>
    <w:p>
      <w:pPr>
        <w:pStyle w:val="3"/>
        <w:rPr>
          <w:rFonts w:hint="default" w:ascii="Times New Roman" w:hAnsi="Times New Roman" w:eastAsia="方正仿宋_GBK" w:cs="Times New Roman"/>
          <w:sz w:val="33"/>
          <w:szCs w:val="33"/>
        </w:rPr>
      </w:pPr>
      <w:bookmarkStart w:id="251" w:name="_Toc15396626"/>
      <w:bookmarkStart w:id="252" w:name="_Toc52180107"/>
      <w:bookmarkStart w:id="253" w:name="_Toc5007"/>
      <w:r>
        <w:rPr>
          <w:rFonts w:hint="default" w:ascii="Times New Roman" w:hAnsi="Times New Roman" w:eastAsia="方正仿宋_GBK" w:cs="Times New Roman"/>
          <w:sz w:val="33"/>
          <w:szCs w:val="33"/>
        </w:rPr>
        <w:t>八、一般公共预算财政拨款基本支出决算表</w:t>
      </w:r>
      <w:bookmarkEnd w:id="251"/>
      <w:bookmarkEnd w:id="252"/>
      <w:bookmarkEnd w:id="253"/>
    </w:p>
    <w:p>
      <w:pPr>
        <w:pStyle w:val="3"/>
        <w:rPr>
          <w:rFonts w:hint="default" w:ascii="Times New Roman" w:hAnsi="Times New Roman" w:eastAsia="方正仿宋_GBK" w:cs="Times New Roman"/>
          <w:sz w:val="33"/>
          <w:szCs w:val="33"/>
        </w:rPr>
      </w:pPr>
      <w:bookmarkStart w:id="254" w:name="_Toc15396627"/>
      <w:bookmarkStart w:id="255" w:name="_Toc52180108"/>
      <w:bookmarkStart w:id="256" w:name="_Toc29610"/>
      <w:r>
        <w:rPr>
          <w:rFonts w:hint="default" w:ascii="Times New Roman" w:hAnsi="Times New Roman" w:eastAsia="方正仿宋_GBK" w:cs="Times New Roman"/>
          <w:sz w:val="33"/>
          <w:szCs w:val="33"/>
        </w:rPr>
        <w:t>九、一般公共预算财政拨款项目支出决算表</w:t>
      </w:r>
      <w:bookmarkEnd w:id="254"/>
      <w:bookmarkEnd w:id="255"/>
      <w:bookmarkEnd w:id="256"/>
    </w:p>
    <w:p>
      <w:pPr>
        <w:pStyle w:val="3"/>
        <w:rPr>
          <w:rFonts w:hint="default" w:ascii="Times New Roman" w:hAnsi="Times New Roman" w:eastAsia="方正仿宋_GBK" w:cs="Times New Roman"/>
          <w:sz w:val="33"/>
          <w:szCs w:val="33"/>
        </w:rPr>
      </w:pPr>
      <w:bookmarkStart w:id="257" w:name="_Toc15396628"/>
      <w:bookmarkStart w:id="258" w:name="_Toc52180109"/>
      <w:bookmarkStart w:id="259" w:name="_Toc2948"/>
      <w:r>
        <w:rPr>
          <w:rFonts w:hint="default" w:ascii="Times New Roman" w:hAnsi="Times New Roman" w:eastAsia="方正仿宋_GBK" w:cs="Times New Roman"/>
          <w:sz w:val="33"/>
          <w:szCs w:val="33"/>
        </w:rPr>
        <w:t>十、一般公共预算财政拨款“三公”经费支出决算表</w:t>
      </w:r>
      <w:bookmarkEnd w:id="257"/>
      <w:bookmarkEnd w:id="258"/>
      <w:bookmarkEnd w:id="259"/>
    </w:p>
    <w:p>
      <w:pPr>
        <w:pStyle w:val="3"/>
        <w:rPr>
          <w:rFonts w:hint="default" w:ascii="Times New Roman" w:hAnsi="Times New Roman" w:eastAsia="方正仿宋_GBK" w:cs="Times New Roman"/>
          <w:sz w:val="33"/>
          <w:szCs w:val="33"/>
        </w:rPr>
      </w:pPr>
      <w:bookmarkStart w:id="260" w:name="_Toc15396629"/>
      <w:bookmarkStart w:id="261" w:name="_Toc52180110"/>
      <w:bookmarkStart w:id="262" w:name="_Toc15270"/>
      <w:r>
        <w:rPr>
          <w:rFonts w:hint="default" w:ascii="Times New Roman" w:hAnsi="Times New Roman" w:eastAsia="方正仿宋_GBK" w:cs="Times New Roman"/>
          <w:sz w:val="33"/>
          <w:szCs w:val="33"/>
        </w:rPr>
        <w:t>十一、政府性基金预算财政拨款收入支出决算表</w:t>
      </w:r>
      <w:bookmarkEnd w:id="260"/>
      <w:bookmarkEnd w:id="261"/>
      <w:bookmarkEnd w:id="262"/>
    </w:p>
    <w:p>
      <w:pPr>
        <w:pStyle w:val="3"/>
        <w:rPr>
          <w:rFonts w:hint="default" w:ascii="Times New Roman" w:hAnsi="Times New Roman" w:eastAsia="方正仿宋_GBK" w:cs="Times New Roman"/>
          <w:sz w:val="33"/>
          <w:szCs w:val="33"/>
        </w:rPr>
      </w:pPr>
      <w:bookmarkStart w:id="263" w:name="_Toc15396630"/>
      <w:bookmarkStart w:id="264" w:name="_Toc52180111"/>
      <w:bookmarkStart w:id="265" w:name="_Toc9119"/>
      <w:r>
        <w:rPr>
          <w:rFonts w:hint="default" w:ascii="Times New Roman" w:hAnsi="Times New Roman" w:eastAsia="方正仿宋_GBK" w:cs="Times New Roman"/>
          <w:sz w:val="33"/>
          <w:szCs w:val="33"/>
        </w:rPr>
        <w:t>十二、政府性基金预算财政拨款“三公”经费支出决算表</w:t>
      </w:r>
      <w:bookmarkEnd w:id="263"/>
      <w:bookmarkEnd w:id="264"/>
      <w:bookmarkEnd w:id="265"/>
    </w:p>
    <w:p>
      <w:pPr>
        <w:pStyle w:val="3"/>
        <w:rPr>
          <w:rFonts w:hint="default" w:ascii="Times New Roman" w:hAnsi="Times New Roman" w:eastAsia="方正仿宋_GBK" w:cs="Times New Roman"/>
          <w:sz w:val="33"/>
          <w:szCs w:val="33"/>
        </w:rPr>
      </w:pPr>
      <w:bookmarkStart w:id="266" w:name="_Toc15396631"/>
      <w:bookmarkStart w:id="267" w:name="_Toc52180112"/>
      <w:bookmarkStart w:id="268" w:name="_Toc9294"/>
      <w:r>
        <w:rPr>
          <w:rFonts w:hint="default" w:ascii="Times New Roman" w:hAnsi="Times New Roman" w:eastAsia="方正仿宋_GBK" w:cs="Times New Roman"/>
          <w:sz w:val="33"/>
          <w:szCs w:val="33"/>
        </w:rPr>
        <w:t>十三、国有资本经营预算支出决算表</w:t>
      </w:r>
      <w:bookmarkEnd w:id="266"/>
      <w:bookmarkEnd w:id="267"/>
      <w:bookmarkEnd w:id="268"/>
    </w:p>
    <w:sectPr>
      <w:footerReference r:id="rId9" w:type="first"/>
      <w:footerReference r:id="rId8"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8" o:spid="_x0000_s4098"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100" o:spid="_x0000_s4100"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9" o:spid="_x0000_s4099"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102" o:spid="_x0000_s410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101" o:spid="_x0000_s4101"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weight="1.2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3FB9"/>
    <w:rsid w:val="00016998"/>
    <w:rsid w:val="00092AD3"/>
    <w:rsid w:val="00115965"/>
    <w:rsid w:val="00140A5C"/>
    <w:rsid w:val="0015541E"/>
    <w:rsid w:val="001D40B0"/>
    <w:rsid w:val="0025662B"/>
    <w:rsid w:val="00265C0B"/>
    <w:rsid w:val="00271FEF"/>
    <w:rsid w:val="002A6F42"/>
    <w:rsid w:val="00330A22"/>
    <w:rsid w:val="00384BF8"/>
    <w:rsid w:val="00402033"/>
    <w:rsid w:val="0045479F"/>
    <w:rsid w:val="00483FB9"/>
    <w:rsid w:val="004B0C67"/>
    <w:rsid w:val="00536B0E"/>
    <w:rsid w:val="005406E3"/>
    <w:rsid w:val="00652B6C"/>
    <w:rsid w:val="006A2567"/>
    <w:rsid w:val="006C28F0"/>
    <w:rsid w:val="00725122"/>
    <w:rsid w:val="0074712F"/>
    <w:rsid w:val="00766664"/>
    <w:rsid w:val="00797124"/>
    <w:rsid w:val="008F1163"/>
    <w:rsid w:val="008F1499"/>
    <w:rsid w:val="00A02F26"/>
    <w:rsid w:val="00B85F0E"/>
    <w:rsid w:val="00BB6F41"/>
    <w:rsid w:val="00BF62D6"/>
    <w:rsid w:val="00BF6D48"/>
    <w:rsid w:val="00CB0E1C"/>
    <w:rsid w:val="00CD4450"/>
    <w:rsid w:val="00D12648"/>
    <w:rsid w:val="00E16422"/>
    <w:rsid w:val="00E2654A"/>
    <w:rsid w:val="00E36B48"/>
    <w:rsid w:val="00E449EB"/>
    <w:rsid w:val="00ED75F1"/>
    <w:rsid w:val="00EE7BC8"/>
    <w:rsid w:val="00F04A56"/>
    <w:rsid w:val="00F43F1E"/>
    <w:rsid w:val="00F83922"/>
    <w:rsid w:val="083F7EBE"/>
    <w:rsid w:val="16A74C55"/>
    <w:rsid w:val="25A235F8"/>
    <w:rsid w:val="274F72C1"/>
    <w:rsid w:val="47AC6551"/>
    <w:rsid w:val="47D26E7B"/>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4"/>
    <w:unhideWhenUsed/>
    <w:qFormat/>
    <w:uiPriority w:val="9"/>
    <w:pPr>
      <w:keepNext/>
      <w:keepLines/>
      <w:spacing w:before="280" w:after="290" w:line="376" w:lineRule="auto"/>
      <w:outlineLvl w:val="3"/>
    </w:pPr>
    <w:rPr>
      <w:rFonts w:ascii="Cambria" w:hAnsi="Cambria"/>
      <w:b/>
      <w:bCs/>
      <w:sz w:val="28"/>
      <w:szCs w:val="28"/>
    </w:rPr>
  </w:style>
  <w:style w:type="paragraph" w:styleId="6">
    <w:name w:val="heading 5"/>
    <w:basedOn w:val="1"/>
    <w:next w:val="1"/>
    <w:link w:val="35"/>
    <w:unhideWhenUsed/>
    <w:qFormat/>
    <w:uiPriority w:val="9"/>
    <w:pPr>
      <w:keepNext/>
      <w:keepLines/>
      <w:spacing w:before="280" w:after="290" w:line="376" w:lineRule="auto"/>
      <w:outlineLvl w:val="4"/>
    </w:pPr>
    <w:rPr>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7">
    <w:name w:val="Body Text"/>
    <w:basedOn w:val="1"/>
    <w:link w:val="28"/>
    <w:qFormat/>
    <w:uiPriority w:val="99"/>
    <w:pPr>
      <w:spacing w:beforeLines="30"/>
    </w:pPr>
    <w:rPr>
      <w:rFonts w:ascii="仿宋_GB2312" w:eastAsia="仿宋_GB2312"/>
      <w:kern w:val="0"/>
      <w:sz w:val="24"/>
      <w:szCs w:val="20"/>
    </w:rPr>
  </w:style>
  <w:style w:type="paragraph" w:styleId="8">
    <w:name w:val="toc 3"/>
    <w:basedOn w:val="1"/>
    <w:next w:val="1"/>
    <w:unhideWhenUsed/>
    <w:qFormat/>
    <w:uiPriority w:val="39"/>
    <w:pPr>
      <w:tabs>
        <w:tab w:val="right" w:leader="dot" w:pos="8296"/>
      </w:tabs>
      <w:ind w:left="840" w:leftChars="400"/>
    </w:pPr>
  </w:style>
  <w:style w:type="paragraph" w:styleId="9">
    <w:name w:val="Plain Text"/>
    <w:semiHidden/>
    <w:unhideWhenUsed/>
    <w:qFormat/>
    <w:uiPriority w:val="0"/>
    <w:rPr>
      <w:rFonts w:ascii="宋体" w:hAnsi="Courier New" w:eastAsia="宋体" w:cs="Calibri"/>
      <w:lang w:val="en-US" w:eastAsia="zh-CN" w:bidi="ar-SA"/>
    </w:rPr>
  </w:style>
  <w:style w:type="paragraph" w:styleId="10">
    <w:name w:val="Balloon Text"/>
    <w:basedOn w:val="1"/>
    <w:link w:val="31"/>
    <w:semiHidden/>
    <w:unhideWhenUsed/>
    <w:qFormat/>
    <w:uiPriority w:val="99"/>
    <w:rPr>
      <w:sz w:val="18"/>
      <w:szCs w:val="18"/>
    </w:rPr>
  </w:style>
  <w:style w:type="paragraph" w:styleId="11">
    <w:name w:val="footer"/>
    <w:basedOn w:val="1"/>
    <w:link w:val="26"/>
    <w:qFormat/>
    <w:uiPriority w:val="99"/>
    <w:pPr>
      <w:tabs>
        <w:tab w:val="center" w:pos="4153"/>
        <w:tab w:val="right" w:pos="8306"/>
      </w:tabs>
      <w:snapToGrid w:val="0"/>
      <w:jc w:val="left"/>
    </w:pPr>
    <w:rPr>
      <w:rFonts w:ascii="Calibri" w:hAnsi="Calibri"/>
      <w:kern w:val="0"/>
      <w:sz w:val="18"/>
      <w:szCs w:val="20"/>
    </w:rPr>
  </w:style>
  <w:style w:type="paragraph" w:styleId="12">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u w:val="single"/>
    </w:rPr>
  </w:style>
  <w:style w:type="paragraph" w:customStyle="1" w:styleId="19">
    <w:name w:val="Defaul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0">
    <w:name w:val="列出段落1"/>
    <w:basedOn w:val="1"/>
    <w:qFormat/>
    <w:uiPriority w:val="34"/>
    <w:pPr>
      <w:ind w:firstLine="420" w:firstLineChars="200"/>
    </w:pPr>
  </w:style>
  <w:style w:type="paragraph" w:customStyle="1" w:styleId="21">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2">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3">
    <w:name w:val="Header Char"/>
    <w:basedOn w:val="16"/>
    <w:semiHidden/>
    <w:qFormat/>
    <w:uiPriority w:val="99"/>
    <w:rPr>
      <w:rFonts w:ascii="Times New Roman" w:hAnsi="Times New Roman"/>
      <w:sz w:val="18"/>
      <w:szCs w:val="18"/>
    </w:rPr>
  </w:style>
  <w:style w:type="character" w:customStyle="1" w:styleId="24">
    <w:name w:val="页眉 Char"/>
    <w:link w:val="12"/>
    <w:semiHidden/>
    <w:qFormat/>
    <w:locked/>
    <w:uiPriority w:val="99"/>
    <w:rPr>
      <w:sz w:val="18"/>
    </w:rPr>
  </w:style>
  <w:style w:type="character" w:customStyle="1" w:styleId="25">
    <w:name w:val="Footer Char"/>
    <w:basedOn w:val="16"/>
    <w:semiHidden/>
    <w:qFormat/>
    <w:uiPriority w:val="99"/>
    <w:rPr>
      <w:rFonts w:ascii="Times New Roman" w:hAnsi="Times New Roman"/>
      <w:sz w:val="18"/>
      <w:szCs w:val="18"/>
    </w:rPr>
  </w:style>
  <w:style w:type="character" w:customStyle="1" w:styleId="26">
    <w:name w:val="页脚 Char"/>
    <w:link w:val="11"/>
    <w:qFormat/>
    <w:locked/>
    <w:uiPriority w:val="99"/>
    <w:rPr>
      <w:sz w:val="18"/>
    </w:rPr>
  </w:style>
  <w:style w:type="character" w:customStyle="1" w:styleId="27">
    <w:name w:val="Body Text Char"/>
    <w:basedOn w:val="16"/>
    <w:semiHidden/>
    <w:qFormat/>
    <w:uiPriority w:val="99"/>
    <w:rPr>
      <w:rFonts w:ascii="Times New Roman" w:hAnsi="Times New Roman"/>
      <w:szCs w:val="24"/>
    </w:rPr>
  </w:style>
  <w:style w:type="character" w:customStyle="1" w:styleId="28">
    <w:name w:val="正文文本 Char"/>
    <w:link w:val="7"/>
    <w:qFormat/>
    <w:locked/>
    <w:uiPriority w:val="99"/>
    <w:rPr>
      <w:rFonts w:ascii="仿宋_GB2312" w:hAnsi="Times New Roman" w:eastAsia="仿宋_GB2312"/>
      <w:sz w:val="24"/>
    </w:rPr>
  </w:style>
  <w:style w:type="character" w:customStyle="1" w:styleId="29">
    <w:name w:val="标题 1 Char"/>
    <w:basedOn w:val="16"/>
    <w:link w:val="2"/>
    <w:qFormat/>
    <w:uiPriority w:val="9"/>
    <w:rPr>
      <w:rFonts w:ascii="Times New Roman" w:hAnsi="Times New Roman"/>
      <w:b/>
      <w:bCs/>
      <w:kern w:val="44"/>
      <w:sz w:val="44"/>
      <w:szCs w:val="44"/>
    </w:rPr>
  </w:style>
  <w:style w:type="character" w:customStyle="1" w:styleId="30">
    <w:name w:val="标题 2 Char"/>
    <w:basedOn w:val="16"/>
    <w:link w:val="3"/>
    <w:qFormat/>
    <w:uiPriority w:val="9"/>
    <w:rPr>
      <w:rFonts w:ascii="Cambria" w:hAnsi="Cambria" w:eastAsia="宋体" w:cs="黑体"/>
      <w:b/>
      <w:bCs/>
      <w:kern w:val="2"/>
      <w:sz w:val="32"/>
      <w:szCs w:val="32"/>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character" w:customStyle="1" w:styleId="33">
    <w:name w:val="NormalCharacter"/>
    <w:qFormat/>
    <w:uiPriority w:val="99"/>
    <w:rPr>
      <w:rFonts w:ascii="Times New Roman" w:hAnsi="Times New Roman" w:eastAsia="宋体"/>
    </w:rPr>
  </w:style>
  <w:style w:type="character" w:customStyle="1" w:styleId="34">
    <w:name w:val="标题 4 Char"/>
    <w:basedOn w:val="16"/>
    <w:link w:val="5"/>
    <w:qFormat/>
    <w:uiPriority w:val="9"/>
    <w:rPr>
      <w:rFonts w:ascii="Cambria" w:hAnsi="Cambria" w:eastAsia="宋体" w:cs="Times New Roman"/>
      <w:b/>
      <w:bCs/>
      <w:kern w:val="2"/>
      <w:sz w:val="28"/>
      <w:szCs w:val="28"/>
    </w:rPr>
  </w:style>
  <w:style w:type="character" w:customStyle="1" w:styleId="35">
    <w:name w:val="标题 5 Char"/>
    <w:basedOn w:val="16"/>
    <w:link w:val="6"/>
    <w:uiPriority w:val="9"/>
    <w:rPr>
      <w:rFonts w:ascii="Times New Roman" w:hAnsi="Times New Roman" w:cs="Times New Roman"/>
      <w:b/>
      <w:bCs/>
      <w:kern w:val="2"/>
      <w:sz w:val="28"/>
      <w:szCs w:val="28"/>
    </w:rPr>
  </w:style>
  <w:style w:type="paragraph" w:customStyle="1" w:styleId="36">
    <w:name w:val="WPSOffice手动目录 1"/>
    <w:uiPriority w:val="0"/>
    <w:pPr>
      <w:ind w:leftChars="0"/>
    </w:pPr>
    <w:rPr>
      <w:sz w:val="20"/>
      <w:szCs w:val="20"/>
    </w:rPr>
  </w:style>
  <w:style w:type="paragraph" w:customStyle="1" w:styleId="37">
    <w:name w:val="WPSOffice手动目录 2"/>
    <w:uiPriority w:val="0"/>
    <w:pPr>
      <w:ind w:leftChars="200"/>
    </w:pPr>
    <w:rPr>
      <w:sz w:val="20"/>
      <w:szCs w:val="20"/>
    </w:rPr>
  </w:style>
  <w:style w:type="paragraph" w:customStyle="1" w:styleId="38">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textRotate="1"/>
    <customShpInfo spid="_x0000_s4097" textRotate="1"/>
    <customShpInfo spid="_x0000_s4100" textRotate="1"/>
    <customShpInfo spid="_x0000_s4099" textRotate="1"/>
    <customShpInfo spid="_x0000_s4102" textRotate="1"/>
    <customShpInfo spid="_x0000_s4101"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639D57-D6D3-4EC9-8D56-EE33390D60A3}">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40</Pages>
  <Words>2639</Words>
  <Characters>15047</Characters>
  <Lines>125</Lines>
  <Paragraphs>35</Paragraphs>
  <TotalTime>4</TotalTime>
  <ScaleCrop>false</ScaleCrop>
  <LinksUpToDate>false</LinksUpToDate>
  <CharactersWithSpaces>17651</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一颗糖的糖罐</cp:lastModifiedBy>
  <cp:lastPrinted>2020-10-29T00:52:00Z</cp:lastPrinted>
  <dcterms:modified xsi:type="dcterms:W3CDTF">2020-10-29T07:20:01Z</dcterms:modified>
  <dc:title>四川省***</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