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乡十四届六次会议材料之八</w:t>
      </w:r>
    </w:p>
    <w:p>
      <w:pPr>
        <w:jc w:val="center"/>
        <w:rPr>
          <w:rFonts w:hint="eastAsia" w:ascii="方正小标宋_GBK" w:hAnsi="仿宋" w:eastAsia="方正小标宋_GBK" w:cs="仿宋"/>
          <w:bCs/>
          <w:sz w:val="36"/>
          <w:szCs w:val="36"/>
        </w:rPr>
      </w:pPr>
      <w:r>
        <w:rPr>
          <w:rFonts w:hint="eastAsia" w:ascii="方正小标宋_GBK" w:hAnsi="仿宋" w:eastAsia="方正小标宋_GBK" w:cs="仿宋"/>
          <w:bCs/>
          <w:sz w:val="36"/>
          <w:szCs w:val="36"/>
        </w:rPr>
        <w:t>新九乡人民政府关于</w:t>
      </w:r>
    </w:p>
    <w:p>
      <w:pPr>
        <w:jc w:val="center"/>
        <w:rPr>
          <w:rFonts w:hint="eastAsia" w:ascii="方正小标宋_GBK" w:hAnsi="仿宋" w:eastAsia="方正小标宋_GBK" w:cs="仿宋"/>
          <w:bCs/>
          <w:sz w:val="36"/>
          <w:szCs w:val="36"/>
        </w:rPr>
      </w:pPr>
      <w:r>
        <w:rPr>
          <w:rFonts w:hint="eastAsia" w:ascii="方正小标宋_GBK" w:hAnsi="仿宋" w:eastAsia="方正小标宋_GBK" w:cs="仿宋"/>
          <w:bCs/>
          <w:sz w:val="36"/>
          <w:szCs w:val="36"/>
        </w:rPr>
        <w:t>2018年财政决算的报告</w:t>
      </w:r>
    </w:p>
    <w:p>
      <w:pPr>
        <w:jc w:val="center"/>
        <w:rPr>
          <w:rFonts w:hint="eastAsia" w:ascii="方正楷体_GBK" w:hAnsi="仿宋" w:eastAsia="方正楷体_GBK" w:cs="仿宋"/>
          <w:b/>
          <w:sz w:val="32"/>
          <w:szCs w:val="32"/>
        </w:rPr>
      </w:pPr>
      <w:r>
        <w:rPr>
          <w:rFonts w:hint="eastAsia" w:ascii="方正楷体_GBK" w:hAnsi="仿宋" w:eastAsia="方正楷体_GBK" w:cs="仿宋"/>
          <w:b/>
          <w:sz w:val="32"/>
          <w:szCs w:val="32"/>
        </w:rPr>
        <w:t>张天华</w:t>
      </w:r>
    </w:p>
    <w:p>
      <w:pPr>
        <w:rPr>
          <w:rFonts w:hint="eastAsia" w:ascii="方正仿宋_GBK" w:hAnsi="仿宋" w:eastAsia="方正仿宋_GBK" w:cs="仿宋"/>
          <w:sz w:val="32"/>
          <w:szCs w:val="32"/>
        </w:rPr>
      </w:pPr>
    </w:p>
    <w:p>
      <w:pPr>
        <w:rPr>
          <w:rFonts w:hint="eastAsia" w:ascii="方正仿宋_GBK" w:hAnsi="仿宋" w:eastAsia="方正仿宋_GBK" w:cs="仿宋"/>
          <w:sz w:val="32"/>
          <w:szCs w:val="32"/>
        </w:rPr>
      </w:pPr>
      <w:r>
        <w:rPr>
          <w:rFonts w:hint="eastAsia" w:ascii="方正仿宋_GBK" w:hAnsi="仿宋" w:eastAsia="方正仿宋_GBK" w:cs="仿宋"/>
          <w:sz w:val="32"/>
          <w:szCs w:val="32"/>
        </w:rPr>
        <w:t>各位代表：</w:t>
      </w:r>
    </w:p>
    <w:p>
      <w:pPr>
        <w:pStyle w:val="4"/>
        <w:widowControl/>
        <w:topLinePunct/>
        <w:spacing w:line="560" w:lineRule="atLeast"/>
        <w:ind w:firstLine="560" w:firstLineChars="200"/>
        <w:jc w:val="both"/>
        <w:rPr>
          <w:rFonts w:hint="eastAsia" w:ascii="方正仿宋_GBK" w:hAnsi="仿宋" w:eastAsia="方正仿宋_GBK" w:cs="仿宋"/>
          <w:color w:val="333333"/>
          <w:spacing w:val="-20"/>
          <w:sz w:val="32"/>
          <w:szCs w:val="32"/>
        </w:rPr>
      </w:pPr>
      <w:r>
        <w:rPr>
          <w:rFonts w:hint="eastAsia" w:ascii="方正仿宋_GBK" w:hAnsi="仿宋" w:eastAsia="方正仿宋_GBK" w:cs="仿宋"/>
          <w:color w:val="333333"/>
          <w:spacing w:val="-20"/>
          <w:sz w:val="32"/>
          <w:szCs w:val="32"/>
        </w:rPr>
        <w:t>我受乡人民政府委托，向本次人代会报告全乡2018年财政决算情况，请予审议。</w:t>
      </w:r>
    </w:p>
    <w:p>
      <w:pPr>
        <w:pStyle w:val="4"/>
        <w:widowControl/>
        <w:topLinePunct/>
        <w:spacing w:line="560" w:lineRule="atLeast"/>
        <w:ind w:left="569"/>
        <w:jc w:val="both"/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</w:pPr>
      <w:r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  <w:t>一、一般公共预算收入</w:t>
      </w:r>
    </w:p>
    <w:p>
      <w:pPr>
        <w:spacing w:line="600" w:lineRule="exact"/>
        <w:ind w:firstLine="640" w:firstLineChars="200"/>
        <w:outlineLvl w:val="1"/>
        <w:rPr>
          <w:rFonts w:hint="eastAsia" w:ascii="方正仿宋_GBK" w:hAnsi="楷体" w:eastAsia="方正仿宋_GBK" w:cs="楷体"/>
          <w:b/>
          <w:color w:val="333333"/>
          <w:spacing w:val="-20"/>
          <w:sz w:val="32"/>
          <w:szCs w:val="32"/>
        </w:rPr>
      </w:pPr>
      <w:r>
        <w:rPr>
          <w:rFonts w:hint="eastAsia" w:ascii="方正仿宋_GBK" w:hAnsi="仿宋" w:eastAsia="方正仿宋_GBK"/>
          <w:color w:val="000000"/>
          <w:sz w:val="32"/>
          <w:szCs w:val="32"/>
        </w:rPr>
        <w:t>2018年新九乡</w:t>
      </w:r>
      <w:r>
        <w:rPr>
          <w:rFonts w:hint="eastAsia" w:ascii="方正仿宋_GBK" w:hAnsi="仿宋" w:eastAsia="方正仿宋_GBK" w:cs="仿宋"/>
          <w:color w:val="333333"/>
          <w:spacing w:val="-20"/>
          <w:sz w:val="32"/>
          <w:szCs w:val="32"/>
        </w:rPr>
        <w:t>一般公共预算收入</w:t>
      </w:r>
      <w:r>
        <w:rPr>
          <w:rFonts w:hint="eastAsia" w:ascii="方正仿宋_GBK" w:hAnsi="仿宋" w:eastAsia="方正仿宋_GBK"/>
          <w:color w:val="000000"/>
          <w:sz w:val="32"/>
          <w:szCs w:val="32"/>
        </w:rPr>
        <w:t>968.47万元，</w:t>
      </w:r>
      <w:r>
        <w:rPr>
          <w:rFonts w:hint="eastAsia" w:ascii="方正仿宋_GBK" w:hAnsi="仿宋" w:eastAsia="方正仿宋_GBK" w:cs="仿宋"/>
          <w:i/>
          <w:iCs/>
          <w:color w:val="333333"/>
          <w:spacing w:val="-20"/>
          <w:sz w:val="32"/>
          <w:szCs w:val="32"/>
        </w:rPr>
        <w:t>均为上级补助收入，完成预算的100%。</w:t>
      </w:r>
      <w:r>
        <w:rPr>
          <w:rFonts w:hint="eastAsia" w:ascii="方正仿宋_GBK" w:hAnsi="仿宋" w:eastAsia="方正仿宋_GBK"/>
          <w:color w:val="000000"/>
          <w:sz w:val="32"/>
          <w:szCs w:val="32"/>
        </w:rPr>
        <w:t>其中：一般公共预算财政拨款收入968.47万元，占100%；政府性基金预算财政拨款收入0万元，占0%；国有资本经营预算财政拨款收入0万元，占0%；事业收入0万元，占0%；经营收入0万元，占0%；附属单位上缴收入0万元，占0%；其他收入0万元，占0%.</w:t>
      </w:r>
    </w:p>
    <w:p>
      <w:pPr>
        <w:pStyle w:val="4"/>
        <w:widowControl/>
        <w:topLinePunct/>
        <w:spacing w:line="560" w:lineRule="atLeast"/>
        <w:ind w:left="569"/>
        <w:jc w:val="both"/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</w:pPr>
      <w:r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  <w:t>二、一般公共预算支出</w:t>
      </w:r>
    </w:p>
    <w:p>
      <w:pPr>
        <w:spacing w:line="600" w:lineRule="exact"/>
        <w:ind w:firstLine="643" w:firstLineChars="200"/>
        <w:rPr>
          <w:rFonts w:hint="eastAsia" w:ascii="方正仿宋_GBK" w:hAnsi="仿宋" w:eastAsia="方正仿宋_GBK"/>
          <w:b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1.一般公共服务（类）：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人大事务（款）行政运行（项）: 支出决算为14.88万元，完成预算100%；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政府办公厅（室）及相关机构事务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（款）行政运行（项）: 支出决算为260.36万元，完成预算100%；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一般行政管理事务（项）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支出决算为14.99万元，完成预算100%；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财政事务（款）一般行政管理事务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（项）: 支出决算为4.71万元，完成预算100%；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事业运行（项）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: 支出决算为12.1万元，完成预算100%；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民族事务（款）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其他民族事务支出（项）: 支出决算为0.4万元，完成预算100%；群众团体事务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（款）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行政运行（项）支出决算1.69万元；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党委办公厅（室）及相关机构事务（款）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行政运行（项）: 支出决算为12.81万元，完成预算100%；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一般行政管理事务（项）: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 xml:space="preserve"> 支出决算为0.57万元，完成预算100%；</w:t>
      </w:r>
    </w:p>
    <w:p>
      <w:pPr>
        <w:spacing w:line="600" w:lineRule="exact"/>
        <w:ind w:firstLine="643" w:firstLineChars="200"/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2.教育（类）所有（款）所有（项）: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 xml:space="preserve"> 支出决算为0万元，完成预算100%，我单位无此类支出。</w:t>
      </w:r>
    </w:p>
    <w:p>
      <w:pPr>
        <w:spacing w:line="600" w:lineRule="exact"/>
        <w:ind w:firstLine="643" w:firstLineChars="200"/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 xml:space="preserve">3.科学技术（类）所有（款）所有（项）: 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支出决算为0万元，完成预算100%，我单位无此类支出。</w:t>
      </w:r>
    </w:p>
    <w:p>
      <w:pPr>
        <w:spacing w:line="600" w:lineRule="exact"/>
        <w:ind w:firstLine="643" w:firstLineChars="200"/>
        <w:rPr>
          <w:rFonts w:hint="eastAsia" w:ascii="方正仿宋_GBK" w:hAnsi="仿宋" w:eastAsia="方正仿宋_GBK"/>
          <w:b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 xml:space="preserve">4.文化体育与传媒（类）文化（款）群众文化（项）: 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支出决算为18.39万元，完成预算100%；</w:t>
      </w:r>
    </w:p>
    <w:p>
      <w:pPr>
        <w:spacing w:line="600" w:lineRule="exact"/>
        <w:ind w:firstLine="643" w:firstLineChars="200"/>
        <w:rPr>
          <w:rFonts w:hint="eastAsia" w:ascii="方正仿宋_GBK" w:hAnsi="仿宋" w:eastAsia="方正仿宋_GBK"/>
          <w:b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 xml:space="preserve">5.社会保障和就业（类）人力资源和社会保障管理事务（款）社会保险经办机构（项）: 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支出决算为8.72万元，完成预算100%；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行政事业单位离退休（款）未归口管理的行政单位离退休（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项）: 支出决算为8.72万元，完成预算100%；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机关事业单位基本养老保险缴费支出（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项）: 支出决算为49.1万元，完成预算100%；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抚恤（款） 死亡抚恤（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项）: 支出决算为23.57万元，完成预算100%；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自然灾害生活救助（款）中央自然灾害生活补助（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项）: 支出决算为12万元，完成预算100%；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特困人员救助供养（款）农村特困人员救助供养支出（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项）: 支出决算为36.84万元，完成预算100%；</w:t>
      </w:r>
    </w:p>
    <w:p>
      <w:pPr>
        <w:spacing w:line="600" w:lineRule="exact"/>
        <w:ind w:firstLine="640"/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6.医疗卫生与计划生育（类）计划生育事务（款）其他计划生育事务支出（项）: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支出决算为20.4万元，完成预算100%；</w:t>
      </w:r>
    </w:p>
    <w:p>
      <w:pPr>
        <w:spacing w:line="600" w:lineRule="exact"/>
        <w:ind w:firstLine="640"/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7.节能环保支出（类）污染防治（款）水体（项）: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支出决算为0万元，我单位无此类支出；</w:t>
      </w:r>
    </w:p>
    <w:p>
      <w:pPr>
        <w:spacing w:line="600" w:lineRule="exact"/>
        <w:ind w:firstLine="640"/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8.城乡社区支出（类）城乡社区环境卫生（款）城乡社区环境卫生（项）: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支出决算为0万元，我单位无此类支出；</w:t>
      </w:r>
    </w:p>
    <w:p>
      <w:pPr>
        <w:spacing w:line="600" w:lineRule="exact"/>
        <w:ind w:firstLine="640"/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9.农林水支出（类）农业（款）事业运行（项）: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支出决算为99.44万元，完成预算100%；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病虫害控制（项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）:支出决算为4.65万元，完成预算100%；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防灾救灾（项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）:支出决算为6.07万元，完成预算100%；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林业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（款） 林业事业机构（项）:支出决算为12.09万元，完成预算100%；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农村综合改革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（款）对村级一事一议的补助（项）:支出决算为13.36万元，完成预算100%；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对村民委员会和村党支部的补助（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 xml:space="preserve">项）:支出决算为162.12万元，完成预算100%； </w:t>
      </w:r>
      <w:r>
        <w:rPr>
          <w:rStyle w:val="6"/>
          <w:rFonts w:hint="eastAsia" w:ascii="方正仿宋_GBK" w:hAnsi="仿宋" w:eastAsia="方正仿宋_GBK"/>
          <w:b/>
          <w:color w:val="000000"/>
          <w:sz w:val="32"/>
          <w:szCs w:val="32"/>
        </w:rPr>
        <w:t>对村集体经济组织的补助（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项）:支出决算为100万元，完成预算100%；</w:t>
      </w:r>
    </w:p>
    <w:p>
      <w:pPr>
        <w:spacing w:line="600" w:lineRule="exact"/>
        <w:ind w:firstLine="640"/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10.资源勘探信息等支出（类）安全生产监管（款）  安全监管监察专项（项）: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支出决算为1.86万元，完成预算100%；</w:t>
      </w:r>
    </w:p>
    <w:p>
      <w:pPr>
        <w:spacing w:line="600" w:lineRule="exact"/>
        <w:ind w:firstLine="640"/>
        <w:rPr>
          <w:rFonts w:hint="eastAsia" w:ascii="方正仿宋_GBK" w:hAnsi="仿宋" w:eastAsia="方正仿宋_GBK"/>
          <w:color w:val="000000" w:themeColor="text1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color w:val="000000"/>
          <w:sz w:val="32"/>
          <w:szCs w:val="32"/>
        </w:rPr>
        <w:t>11.住房保障支出（类）住房改革支出（款）住房公积金（项）:</w:t>
      </w:r>
      <w:r>
        <w:rPr>
          <w:rStyle w:val="6"/>
          <w:rFonts w:hint="eastAsia" w:ascii="方正仿宋_GBK" w:hAnsi="仿宋" w:eastAsia="方正仿宋_GBK"/>
          <w:bCs/>
          <w:color w:val="000000"/>
          <w:sz w:val="32"/>
          <w:szCs w:val="32"/>
        </w:rPr>
        <w:t>支出决算为50.92万元，完成预算100%。</w:t>
      </w:r>
    </w:p>
    <w:p>
      <w:pPr>
        <w:pStyle w:val="4"/>
        <w:widowControl/>
        <w:topLinePunct/>
        <w:spacing w:line="560" w:lineRule="atLeast"/>
        <w:ind w:left="569"/>
        <w:jc w:val="both"/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</w:pPr>
      <w:r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  <w:t>三、一般公共预算财政拨款基本支出决算情况</w:t>
      </w:r>
    </w:p>
    <w:p>
      <w:pPr>
        <w:spacing w:line="600" w:lineRule="exact"/>
        <w:ind w:firstLine="645"/>
        <w:rPr>
          <w:rFonts w:hint="eastAsia" w:ascii="方正仿宋_GBK" w:hAnsi="仿宋" w:eastAsia="方正仿宋_GBK"/>
          <w:color w:val="000000"/>
          <w:sz w:val="32"/>
          <w:szCs w:val="32"/>
        </w:rPr>
      </w:pPr>
      <w:r>
        <w:rPr>
          <w:rFonts w:hint="eastAsia" w:ascii="方正仿宋_GBK" w:hAnsi="仿宋" w:eastAsia="方正仿宋_GBK"/>
          <w:color w:val="000000"/>
          <w:sz w:val="32"/>
          <w:szCs w:val="32"/>
        </w:rPr>
        <w:t>2018年一般公共预算财政拨款基本支出585.01万元，其中：</w:t>
      </w:r>
    </w:p>
    <w:p>
      <w:pPr>
        <w:spacing w:line="600" w:lineRule="exact"/>
        <w:ind w:firstLine="645"/>
        <w:rPr>
          <w:rFonts w:hint="eastAsia" w:ascii="方正仿宋_GBK" w:eastAsia="方正仿宋_GBK"/>
          <w:color w:val="000000"/>
          <w:sz w:val="32"/>
          <w:szCs w:val="32"/>
        </w:rPr>
      </w:pPr>
      <w:r>
        <w:rPr>
          <w:rFonts w:hint="eastAsia" w:ascii="方正仿宋_GBK" w:hAnsi="仿宋" w:eastAsia="方正仿宋_GBK"/>
          <w:color w:val="000000"/>
          <w:sz w:val="32"/>
          <w:szCs w:val="32"/>
        </w:rPr>
        <w:t>人员经费501.36万元，主要包括：基本工资139.26万元、津贴补贴157.06万元、奖金9.91万元、绩效工资27.52万元、机关事业单位基本养老保险缴费49.1万元、职工基本医疗保险缴费21.73万元、公务员医疗补助缴费3.08万元，其他社会保障缴费2.26万元、抚恤金23.57万元，医疗费补助1.04万元、其他工资福利支出4.58万元、退休费0.08万元、生活补助11.18万元、住房公积金50.92万元。</w:t>
      </w:r>
      <w:r>
        <w:rPr>
          <w:rFonts w:hint="eastAsia" w:ascii="方正仿宋_GBK" w:hAnsi="仿宋" w:eastAsia="方正仿宋_GBK"/>
          <w:color w:val="000000"/>
          <w:sz w:val="32"/>
          <w:szCs w:val="32"/>
        </w:rPr>
        <w:br w:type="textWrapping"/>
      </w:r>
      <w:r>
        <w:rPr>
          <w:rFonts w:hint="eastAsia" w:ascii="方正仿宋_GBK" w:hAnsi="仿宋" w:eastAsia="方正仿宋_GBK"/>
          <w:color w:val="000000"/>
          <w:sz w:val="32"/>
          <w:szCs w:val="32"/>
        </w:rPr>
        <w:t>　　公用经费83.65万元，主要包括：办公费18.02万元、电费4.1万元、邮电费5.48万元、差旅费9.38万元、会议费2.63万元、培训费2.45万元、公务接待费0.06万元、委托业务费2万元、工会经费5.86万元、福利费3.89万元、公务用车运行维护费12.02万元、其他交通费17.76万元。</w:t>
      </w:r>
      <w:r>
        <w:rPr>
          <w:rFonts w:hint="eastAsia" w:ascii="方正仿宋_GBK" w:eastAsia="方正仿宋_GBK"/>
          <w:color w:val="000000"/>
          <w:sz w:val="32"/>
          <w:szCs w:val="32"/>
        </w:rPr>
        <w:t>。</w:t>
      </w:r>
    </w:p>
    <w:p>
      <w:pPr>
        <w:pStyle w:val="4"/>
        <w:widowControl/>
        <w:topLinePunct/>
        <w:spacing w:line="560" w:lineRule="atLeast"/>
        <w:ind w:left="569"/>
        <w:jc w:val="both"/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</w:pPr>
      <w:r>
        <w:rPr>
          <w:rFonts w:hint="eastAsia" w:ascii="方正黑体_GBK" w:hAnsi="楷体" w:eastAsia="方正黑体_GBK" w:cs="楷体"/>
          <w:color w:val="333333"/>
          <w:spacing w:val="-20"/>
          <w:sz w:val="32"/>
          <w:szCs w:val="32"/>
        </w:rPr>
        <w:t>四、“三公”经费财政拨款支出决算情况</w:t>
      </w:r>
    </w:p>
    <w:p>
      <w:pPr>
        <w:spacing w:line="600" w:lineRule="exact"/>
        <w:ind w:firstLine="640"/>
        <w:rPr>
          <w:rStyle w:val="6"/>
          <w:rFonts w:ascii="方正楷体_GBK" w:hAnsi="仿宋" w:eastAsia="方正楷体_GBK"/>
          <w:b/>
          <w:bCs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sz w:val="32"/>
          <w:szCs w:val="32"/>
        </w:rPr>
        <w:t>（一）“三公”经费财政拨款支出决算总体情况说明</w:t>
      </w:r>
    </w:p>
    <w:p>
      <w:pPr>
        <w:spacing w:line="600" w:lineRule="exact"/>
        <w:ind w:firstLine="640"/>
        <w:rPr>
          <w:rFonts w:hint="eastAsia" w:ascii="方正仿宋_GBK" w:eastAsia="方正仿宋_GBK"/>
          <w:color w:val="000000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32"/>
          <w:szCs w:val="32"/>
        </w:rPr>
        <w:t>2018年度“三公”经费财政拨款支出决算为12.08万元，完成预算100%。</w:t>
      </w:r>
    </w:p>
    <w:p>
      <w:pPr>
        <w:spacing w:line="600" w:lineRule="exact"/>
        <w:ind w:firstLine="640"/>
        <w:rPr>
          <w:rStyle w:val="6"/>
          <w:rFonts w:ascii="方正楷体_GBK" w:hAnsi="仿宋" w:eastAsia="方正楷体_GBK"/>
          <w:b/>
          <w:bCs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sz w:val="32"/>
          <w:szCs w:val="32"/>
        </w:rPr>
        <w:t>（二）“三公”经费财政拨款支出决算具体情况说明</w:t>
      </w:r>
    </w:p>
    <w:p>
      <w:pPr>
        <w:spacing w:line="600" w:lineRule="exact"/>
        <w:ind w:firstLine="640"/>
        <w:rPr>
          <w:rFonts w:hint="eastAsia" w:ascii="方正仿宋_GBK" w:eastAsia="方正仿宋_GBK"/>
          <w:color w:val="000000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32"/>
          <w:szCs w:val="32"/>
        </w:rPr>
        <w:t>2018年度“三公”经费财政拨款支出决算中，因公出国（境）费支出决算0万元，占0%；公务用车购置及运行维护费支出决算12.02万元，公务接待费支出决算0.06万元，。</w:t>
      </w:r>
    </w:p>
    <w:p>
      <w:pPr>
        <w:spacing w:line="600" w:lineRule="exact"/>
        <w:ind w:firstLine="640"/>
        <w:rPr>
          <w:rStyle w:val="6"/>
          <w:rFonts w:ascii="方正楷体_GBK" w:hAnsi="仿宋" w:eastAsia="方正楷体_GBK"/>
          <w:b/>
          <w:bCs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sz w:val="32"/>
          <w:szCs w:val="32"/>
        </w:rPr>
        <w:t>1.因公出国（境）经费支出</w:t>
      </w:r>
    </w:p>
    <w:p>
      <w:pPr>
        <w:spacing w:line="600" w:lineRule="exact"/>
        <w:ind w:firstLine="640"/>
        <w:rPr>
          <w:rFonts w:hint="eastAsia" w:ascii="方正仿宋_GBK" w:eastAsia="方正仿宋_GBK"/>
          <w:b/>
          <w:color w:val="000000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32"/>
          <w:szCs w:val="32"/>
        </w:rPr>
        <w:t>2018年无因公出国（境）。</w:t>
      </w:r>
    </w:p>
    <w:p>
      <w:pPr>
        <w:spacing w:line="600" w:lineRule="exact"/>
        <w:ind w:firstLine="643" w:firstLineChars="200"/>
        <w:rPr>
          <w:rFonts w:hint="eastAsia" w:ascii="方正仿宋_GBK" w:eastAsia="方正仿宋_GBK"/>
          <w:b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sz w:val="32"/>
          <w:szCs w:val="32"/>
        </w:rPr>
        <w:t>2.公务用车购置及运行维护费支出</w:t>
      </w:r>
      <w:r>
        <w:rPr>
          <w:rFonts w:hint="eastAsia" w:ascii="方正仿宋_GBK" w:eastAsia="方正仿宋_GBK"/>
          <w:color w:val="000000"/>
          <w:sz w:val="32"/>
          <w:szCs w:val="32"/>
        </w:rPr>
        <w:t>12.02万元。其中：2018年无新购置公务用车。截至2018年12月底，单位共有公务用车2辆，其中：轿车1辆、皮卡车1辆、载客汽车0辆。</w:t>
      </w:r>
      <w:r>
        <w:rPr>
          <w:rFonts w:hint="eastAsia" w:ascii="方正仿宋_GBK" w:eastAsia="方正仿宋_GBK"/>
          <w:b/>
          <w:color w:val="000000"/>
          <w:sz w:val="32"/>
          <w:szCs w:val="32"/>
        </w:rPr>
        <w:t>公务用车运行维护费支出</w:t>
      </w:r>
      <w:r>
        <w:rPr>
          <w:rFonts w:hint="eastAsia" w:ascii="方正仿宋_GBK" w:eastAsia="方正仿宋_GBK"/>
          <w:color w:val="000000"/>
          <w:sz w:val="32"/>
          <w:szCs w:val="32"/>
        </w:rPr>
        <w:t>12.02万元。主要用于防火、防汛、下村工作等所需的公务用车燃料费、维修费、过路过桥费、保险费等支出。</w:t>
      </w:r>
    </w:p>
    <w:p>
      <w:pPr>
        <w:spacing w:line="600" w:lineRule="exact"/>
        <w:ind w:firstLine="643" w:firstLineChars="200"/>
        <w:rPr>
          <w:rFonts w:hint="eastAsia" w:ascii="方正仿宋_GBK" w:eastAsia="方正仿宋_GBK"/>
          <w:color w:val="000000"/>
          <w:sz w:val="32"/>
          <w:szCs w:val="32"/>
        </w:rPr>
      </w:pPr>
      <w:r>
        <w:rPr>
          <w:rStyle w:val="6"/>
          <w:rFonts w:hint="eastAsia" w:ascii="方正楷体_GBK" w:hAnsi="仿宋" w:eastAsia="方正楷体_GBK"/>
          <w:b/>
          <w:bCs/>
          <w:sz w:val="32"/>
          <w:szCs w:val="32"/>
        </w:rPr>
        <w:t>3.公务接待费支出</w:t>
      </w:r>
      <w:r>
        <w:rPr>
          <w:rFonts w:hint="eastAsia" w:ascii="方正仿宋_GBK" w:eastAsia="方正仿宋_GBK"/>
          <w:color w:val="000000"/>
          <w:sz w:val="32"/>
          <w:szCs w:val="32"/>
        </w:rPr>
        <w:t>0.06万元。</w:t>
      </w:r>
    </w:p>
    <w:p>
      <w:pPr>
        <w:ind w:firstLine="640" w:firstLineChars="200"/>
        <w:rPr>
          <w:rFonts w:hint="eastAsia" w:ascii="方正仿宋_GBK" w:eastAsia="方正仿宋_GBK"/>
          <w:color w:val="000000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32"/>
          <w:szCs w:val="32"/>
        </w:rPr>
        <w:t>各位代表！2018年，我乡财政运行情况基本正常。但仍存在不少困难和问题：</w:t>
      </w:r>
      <w:r>
        <w:rPr>
          <w:rFonts w:hint="eastAsia" w:ascii="方正仿宋_GBK" w:eastAsia="方正仿宋_GBK"/>
          <w:sz w:val="32"/>
          <w:szCs w:val="32"/>
        </w:rPr>
        <w:t>一是财力弱，不能完全满足农村各项建设事业的资金需要。二是财务管理有待进一步加强，支出审核审批及支付程序需进一步规范，资金支付管理及监督力度需进一步加大。三是工作的主动性、计划性有待进一步增强，财政职能作用需进一步发挥。</w:t>
      </w:r>
      <w:r>
        <w:rPr>
          <w:rFonts w:hint="eastAsia" w:ascii="方正仿宋_GBK" w:eastAsia="方正仿宋_GBK"/>
          <w:color w:val="000000"/>
          <w:sz w:val="32"/>
          <w:szCs w:val="32"/>
        </w:rPr>
        <w:t>针对这些困难和问题，今后将采取有效措施，努力加以解决。</w:t>
      </w:r>
    </w:p>
    <w:p>
      <w:pPr>
        <w:ind w:firstLine="640" w:firstLineChars="200"/>
        <w:rPr>
          <w:rFonts w:hint="eastAsia" w:ascii="方正仿宋_GBK" w:hAnsi="仿宋" w:eastAsia="方正仿宋_GBK" w:cs="仿宋"/>
          <w:sz w:val="32"/>
          <w:szCs w:val="32"/>
        </w:rPr>
      </w:pPr>
      <w:r>
        <w:rPr>
          <w:rFonts w:hint="eastAsia" w:ascii="方正仿宋_GBK" w:hAnsi="仿宋" w:eastAsia="方正仿宋_GBK" w:cs="仿宋"/>
          <w:sz w:val="32"/>
          <w:szCs w:val="32"/>
        </w:rPr>
        <w:t>请各位代表予以审议！</w:t>
      </w:r>
    </w:p>
    <w:p>
      <w:pPr>
        <w:rPr>
          <w:rFonts w:hint="eastAsia" w:ascii="方正仿宋_GBK" w:hAnsi="仿宋" w:eastAsia="方正仿宋_GBK" w:cs="仿宋"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仿宋" w:eastAsia="方正仿宋_GBK" w:cs="仿宋"/>
          <w:sz w:val="32"/>
          <w:szCs w:val="32"/>
        </w:rPr>
        <w:t xml:space="preserve">  </w:t>
      </w:r>
    </w:p>
    <w:p>
      <w:pPr>
        <w:ind w:firstLine="5120" w:firstLineChars="1600"/>
        <w:rPr>
          <w:rFonts w:hint="eastAsia" w:ascii="方正仿宋_GBK" w:hAnsi="仿宋" w:eastAsia="方正仿宋_GBK" w:cs="仿宋"/>
          <w:sz w:val="32"/>
          <w:szCs w:val="32"/>
        </w:rPr>
      </w:pPr>
      <w:r>
        <w:rPr>
          <w:rFonts w:hint="eastAsia" w:ascii="方正仿宋_GBK" w:hAnsi="仿宋" w:eastAsia="方正仿宋_GBK" w:cs="仿宋"/>
          <w:sz w:val="32"/>
          <w:szCs w:val="32"/>
        </w:rPr>
        <w:t>2019年12月</w:t>
      </w:r>
      <w:r>
        <w:rPr>
          <w:rFonts w:hint="eastAsia" w:ascii="方正仿宋_GBK" w:hAnsi="仿宋" w:eastAsia="方正仿宋_GBK" w:cs="仿宋"/>
          <w:sz w:val="32"/>
          <w:szCs w:val="32"/>
          <w:lang w:val="en-US" w:eastAsia="zh-CN"/>
        </w:rPr>
        <w:t>27</w:t>
      </w:r>
      <w:r>
        <w:rPr>
          <w:rFonts w:hint="eastAsia" w:ascii="方正仿宋_GBK" w:hAnsi="仿宋" w:eastAsia="方正仿宋_GBK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onospac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4666"/>
    <w:rsid w:val="00011F5E"/>
    <w:rsid w:val="00053CB1"/>
    <w:rsid w:val="000A442C"/>
    <w:rsid w:val="000F1CD3"/>
    <w:rsid w:val="00121333"/>
    <w:rsid w:val="001A41FC"/>
    <w:rsid w:val="002266CD"/>
    <w:rsid w:val="00262239"/>
    <w:rsid w:val="0029216D"/>
    <w:rsid w:val="00305CB9"/>
    <w:rsid w:val="0034705B"/>
    <w:rsid w:val="00356113"/>
    <w:rsid w:val="003D6796"/>
    <w:rsid w:val="00411B12"/>
    <w:rsid w:val="00447BCB"/>
    <w:rsid w:val="004F4F3C"/>
    <w:rsid w:val="00581777"/>
    <w:rsid w:val="005B7323"/>
    <w:rsid w:val="00631C7D"/>
    <w:rsid w:val="00675484"/>
    <w:rsid w:val="006A1B4A"/>
    <w:rsid w:val="00794E23"/>
    <w:rsid w:val="008C5CF1"/>
    <w:rsid w:val="009A563B"/>
    <w:rsid w:val="00A855AB"/>
    <w:rsid w:val="00AC412B"/>
    <w:rsid w:val="00B765A5"/>
    <w:rsid w:val="00B85A7C"/>
    <w:rsid w:val="00B9048E"/>
    <w:rsid w:val="00C10B93"/>
    <w:rsid w:val="00CA2C01"/>
    <w:rsid w:val="00D21602"/>
    <w:rsid w:val="00DA5C2C"/>
    <w:rsid w:val="00DD1A94"/>
    <w:rsid w:val="00EF04A3"/>
    <w:rsid w:val="00F37238"/>
    <w:rsid w:val="00F57D74"/>
    <w:rsid w:val="00F84666"/>
    <w:rsid w:val="00FE5DC1"/>
    <w:rsid w:val="013927F5"/>
    <w:rsid w:val="09BA33D3"/>
    <w:rsid w:val="16121960"/>
    <w:rsid w:val="20253835"/>
    <w:rsid w:val="289B6659"/>
    <w:rsid w:val="3C3F0C8C"/>
    <w:rsid w:val="4A0150E1"/>
    <w:rsid w:val="6ADC40D3"/>
    <w:rsid w:val="702A78F9"/>
    <w:rsid w:val="79F958B3"/>
    <w:rsid w:val="7BF469C7"/>
    <w:rsid w:val="7F42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iPriority="99" w:semiHidden="0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qFormat="1" w:unhideWhenUsed="0" w:uiPriority="99" w:semiHidden="0" w:name="HTML Acronym"/>
    <w:lsdException w:uiPriority="99" w:name="HTML Address" w:locked="1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6">
    <w:name w:val="Strong"/>
    <w:basedOn w:val="5"/>
    <w:qFormat/>
    <w:uiPriority w:val="99"/>
    <w:rPr>
      <w:rFonts w:cs="Times New Roman"/>
    </w:rPr>
  </w:style>
  <w:style w:type="character" w:styleId="7">
    <w:name w:val="FollowedHyperlink"/>
    <w:basedOn w:val="5"/>
    <w:qFormat/>
    <w:uiPriority w:val="99"/>
    <w:rPr>
      <w:rFonts w:cs="Times New Roman"/>
      <w:color w:val="800080"/>
      <w:u w:val="none"/>
    </w:rPr>
  </w:style>
  <w:style w:type="character" w:styleId="8">
    <w:name w:val="Emphasis"/>
    <w:basedOn w:val="5"/>
    <w:qFormat/>
    <w:uiPriority w:val="99"/>
    <w:rPr>
      <w:rFonts w:cs="Times New Roman"/>
    </w:rPr>
  </w:style>
  <w:style w:type="character" w:styleId="9">
    <w:name w:val="HTML Definition"/>
    <w:basedOn w:val="5"/>
    <w:qFormat/>
    <w:uiPriority w:val="99"/>
    <w:rPr>
      <w:rFonts w:cs="Times New Roman"/>
    </w:rPr>
  </w:style>
  <w:style w:type="character" w:styleId="10">
    <w:name w:val="HTML Typewriter"/>
    <w:basedOn w:val="5"/>
    <w:qFormat/>
    <w:uiPriority w:val="99"/>
    <w:rPr>
      <w:rFonts w:ascii="monospace" w:hAnsi="monospace" w:cs="monospace"/>
      <w:sz w:val="20"/>
    </w:rPr>
  </w:style>
  <w:style w:type="character" w:styleId="11">
    <w:name w:val="HTML Acronym"/>
    <w:basedOn w:val="5"/>
    <w:qFormat/>
    <w:uiPriority w:val="99"/>
    <w:rPr>
      <w:rFonts w:cs="Times New Roman"/>
    </w:rPr>
  </w:style>
  <w:style w:type="character" w:styleId="12">
    <w:name w:val="HTML Variable"/>
    <w:basedOn w:val="5"/>
    <w:qFormat/>
    <w:uiPriority w:val="99"/>
    <w:rPr>
      <w:rFonts w:cs="Times New Roman"/>
    </w:rPr>
  </w:style>
  <w:style w:type="character" w:styleId="13">
    <w:name w:val="Hyperlink"/>
    <w:basedOn w:val="5"/>
    <w:qFormat/>
    <w:uiPriority w:val="99"/>
    <w:rPr>
      <w:rFonts w:cs="Times New Roman"/>
      <w:color w:val="0000FF"/>
      <w:u w:val="none"/>
    </w:rPr>
  </w:style>
  <w:style w:type="character" w:styleId="14">
    <w:name w:val="HTML Code"/>
    <w:basedOn w:val="5"/>
    <w:qFormat/>
    <w:uiPriority w:val="99"/>
    <w:rPr>
      <w:rFonts w:ascii="monospace" w:hAnsi="monospace" w:cs="monospace"/>
      <w:sz w:val="20"/>
    </w:rPr>
  </w:style>
  <w:style w:type="character" w:styleId="15">
    <w:name w:val="HTML Cite"/>
    <w:basedOn w:val="5"/>
    <w:qFormat/>
    <w:uiPriority w:val="99"/>
    <w:rPr>
      <w:rFonts w:cs="Times New Roman"/>
    </w:rPr>
  </w:style>
  <w:style w:type="character" w:styleId="16">
    <w:name w:val="HTML Keyboard"/>
    <w:basedOn w:val="5"/>
    <w:qFormat/>
    <w:uiPriority w:val="99"/>
    <w:rPr>
      <w:rFonts w:ascii="monospace" w:hAnsi="monospace" w:cs="monospace"/>
      <w:sz w:val="20"/>
    </w:rPr>
  </w:style>
  <w:style w:type="character" w:styleId="17">
    <w:name w:val="HTML Sample"/>
    <w:basedOn w:val="5"/>
    <w:qFormat/>
    <w:uiPriority w:val="99"/>
    <w:rPr>
      <w:rFonts w:ascii="monospace" w:hAnsi="monospace" w:cs="monospace"/>
    </w:rPr>
  </w:style>
  <w:style w:type="character" w:customStyle="1" w:styleId="19">
    <w:name w:val="页眉 Char"/>
    <w:basedOn w:val="5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20">
    <w:name w:val="页脚 Char"/>
    <w:basedOn w:val="5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394</Words>
  <Characters>2249</Characters>
  <Lines>18</Lines>
  <Paragraphs>5</Paragraphs>
  <TotalTime>5</TotalTime>
  <ScaleCrop>false</ScaleCrop>
  <LinksUpToDate>false</LinksUpToDate>
  <CharactersWithSpaces>2638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2019-12-26T02:07:00Z</dcterms:created>
  <dc:creator>Administrator</dc:creator>
  <cp:lastModifiedBy>马马马马韵蕾</cp:lastModifiedBy>
  <cp:lastPrinted>2019-12-23T01:16:00Z</cp:lastPrinted>
  <dcterms:modified xsi:type="dcterms:W3CDTF">2019-12-30T08:41:01Z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