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新九乡人民政府关于</w:t>
      </w:r>
      <w:r>
        <w:rPr>
          <w:rFonts w:ascii="仿宋" w:hAnsi="仿宋" w:eastAsia="仿宋" w:cs="仿宋"/>
          <w:b/>
          <w:bCs/>
          <w:sz w:val="32"/>
          <w:szCs w:val="32"/>
        </w:rPr>
        <w:t>2017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年财政决算的报告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（草案）</w:t>
      </w:r>
    </w:p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                 张天华</w:t>
      </w:r>
    </w:p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各位代表</w:t>
      </w:r>
      <w:r>
        <w:rPr>
          <w:rFonts w:hint="eastAsia" w:ascii="仿宋" w:hAnsi="仿宋" w:eastAsia="仿宋" w:cs="仿宋"/>
          <w:sz w:val="32"/>
          <w:szCs w:val="32"/>
        </w:rPr>
        <w:t>：</w:t>
      </w:r>
    </w:p>
    <w:p>
      <w:pPr>
        <w:pStyle w:val="4"/>
        <w:widowControl/>
        <w:topLinePunct/>
        <w:spacing w:line="560" w:lineRule="atLeast"/>
        <w:ind w:firstLine="560" w:firstLineChars="200"/>
        <w:jc w:val="both"/>
        <w:rPr>
          <w:rFonts w:ascii="仿宋" w:hAnsi="仿宋" w:eastAsia="仿宋" w:cs="仿宋"/>
          <w:color w:val="333333"/>
          <w:spacing w:val="-20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spacing w:val="-20"/>
          <w:sz w:val="32"/>
          <w:szCs w:val="32"/>
        </w:rPr>
        <w:t>我受乡</w:t>
      </w:r>
      <w:r>
        <w:rPr>
          <w:rFonts w:hint="eastAsia" w:ascii="仿宋" w:hAnsi="仿宋" w:eastAsia="仿宋" w:cs="仿宋"/>
          <w:color w:val="333333"/>
          <w:spacing w:val="-20"/>
          <w:sz w:val="32"/>
          <w:szCs w:val="32"/>
          <w:lang w:eastAsia="zh-CN"/>
        </w:rPr>
        <w:t>人民</w:t>
      </w:r>
      <w:r>
        <w:rPr>
          <w:rFonts w:hint="eastAsia" w:ascii="仿宋" w:hAnsi="仿宋" w:eastAsia="仿宋" w:cs="仿宋"/>
          <w:color w:val="333333"/>
          <w:spacing w:val="-20"/>
          <w:sz w:val="32"/>
          <w:szCs w:val="32"/>
        </w:rPr>
        <w:t>政府委托，向本次人代会报告全乡</w:t>
      </w:r>
      <w:r>
        <w:rPr>
          <w:rFonts w:ascii="仿宋" w:hAnsi="仿宋" w:eastAsia="仿宋" w:cs="仿宋"/>
          <w:color w:val="333333"/>
          <w:spacing w:val="-20"/>
          <w:sz w:val="32"/>
          <w:szCs w:val="32"/>
        </w:rPr>
        <w:t>2017</w:t>
      </w:r>
      <w:r>
        <w:rPr>
          <w:rFonts w:hint="eastAsia" w:ascii="仿宋" w:hAnsi="仿宋" w:eastAsia="仿宋" w:cs="仿宋"/>
          <w:color w:val="333333"/>
          <w:spacing w:val="-20"/>
          <w:sz w:val="32"/>
          <w:szCs w:val="32"/>
        </w:rPr>
        <w:t>年财政决算情况，请予审议。</w:t>
      </w:r>
    </w:p>
    <w:p>
      <w:pPr>
        <w:pStyle w:val="4"/>
        <w:widowControl/>
        <w:topLinePunct/>
        <w:spacing w:line="560" w:lineRule="atLeast"/>
        <w:ind w:left="569"/>
        <w:jc w:val="both"/>
        <w:rPr>
          <w:rFonts w:ascii="楷体" w:hAnsi="楷体" w:eastAsia="楷体" w:cs="楷体"/>
          <w:b/>
          <w:color w:val="333333"/>
          <w:spacing w:val="-20"/>
          <w:sz w:val="32"/>
          <w:szCs w:val="32"/>
        </w:rPr>
      </w:pPr>
      <w:r>
        <w:rPr>
          <w:rFonts w:hint="eastAsia" w:ascii="楷体" w:hAnsi="楷体" w:eastAsia="楷体" w:cs="楷体"/>
          <w:b/>
          <w:color w:val="333333"/>
          <w:spacing w:val="-20"/>
          <w:sz w:val="32"/>
          <w:szCs w:val="32"/>
        </w:rPr>
        <w:t>一、一般公共预算收入</w:t>
      </w:r>
    </w:p>
    <w:p>
      <w:pPr>
        <w:pStyle w:val="4"/>
        <w:widowControl/>
        <w:topLinePunct/>
        <w:spacing w:line="560" w:lineRule="atLeast"/>
        <w:ind w:firstLine="567"/>
        <w:jc w:val="both"/>
        <w:rPr>
          <w:rFonts w:ascii="楷体" w:hAnsi="楷体" w:eastAsia="楷体" w:cs="楷体"/>
          <w:b/>
          <w:color w:val="333333"/>
          <w:spacing w:val="-20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spacing w:val="-20"/>
          <w:sz w:val="32"/>
          <w:szCs w:val="32"/>
        </w:rPr>
        <w:t>全乡一般公共预算收入968万元，均为上级补助收入，完成预算的</w:t>
      </w:r>
      <w:r>
        <w:rPr>
          <w:rFonts w:ascii="仿宋" w:hAnsi="仿宋" w:eastAsia="仿宋" w:cs="仿宋"/>
          <w:color w:val="333333"/>
          <w:spacing w:val="-20"/>
          <w:sz w:val="32"/>
          <w:szCs w:val="32"/>
        </w:rPr>
        <w:t>100%</w:t>
      </w:r>
      <w:r>
        <w:rPr>
          <w:rFonts w:hint="eastAsia" w:ascii="仿宋" w:hAnsi="仿宋" w:eastAsia="仿宋" w:cs="仿宋"/>
          <w:color w:val="333333"/>
          <w:spacing w:val="-20"/>
          <w:sz w:val="32"/>
          <w:szCs w:val="32"/>
        </w:rPr>
        <w:t>。主要包括：</w:t>
      </w:r>
      <w:r>
        <w:rPr>
          <w:rFonts w:ascii="仿宋" w:hAnsi="仿宋" w:eastAsia="仿宋" w:cs="仿宋"/>
          <w:color w:val="333333"/>
          <w:spacing w:val="-20"/>
          <w:sz w:val="32"/>
          <w:szCs w:val="32"/>
        </w:rPr>
        <w:t>1</w:t>
      </w:r>
      <w:r>
        <w:rPr>
          <w:rFonts w:hint="eastAsia" w:ascii="仿宋" w:hAnsi="仿宋" w:eastAsia="仿宋" w:cs="仿宋"/>
          <w:color w:val="333333"/>
          <w:spacing w:val="-20"/>
          <w:sz w:val="32"/>
          <w:szCs w:val="32"/>
        </w:rPr>
        <w:t>、一般公共服务379万元，文化体育与传媒</w:t>
      </w:r>
      <w:r>
        <w:rPr>
          <w:rFonts w:ascii="仿宋" w:hAnsi="仿宋" w:eastAsia="仿宋" w:cs="仿宋"/>
          <w:color w:val="333333"/>
          <w:spacing w:val="-20"/>
          <w:sz w:val="32"/>
          <w:szCs w:val="32"/>
        </w:rPr>
        <w:t>2</w:t>
      </w:r>
      <w:r>
        <w:rPr>
          <w:rFonts w:hint="eastAsia" w:ascii="仿宋" w:hAnsi="仿宋" w:eastAsia="仿宋" w:cs="仿宋"/>
          <w:color w:val="333333"/>
          <w:spacing w:val="-20"/>
          <w:sz w:val="32"/>
          <w:szCs w:val="32"/>
        </w:rPr>
        <w:t>1万元，社会保障和就业124万元，医疗卫生与计划生育20万元，节能环保20万元，农林水356万元，住房保障</w:t>
      </w:r>
      <w:r>
        <w:rPr>
          <w:rFonts w:ascii="仿宋" w:hAnsi="仿宋" w:eastAsia="仿宋" w:cs="仿宋"/>
          <w:color w:val="333333"/>
          <w:spacing w:val="-20"/>
          <w:sz w:val="32"/>
          <w:szCs w:val="32"/>
        </w:rPr>
        <w:t>48</w:t>
      </w:r>
      <w:r>
        <w:rPr>
          <w:rFonts w:hint="eastAsia" w:ascii="仿宋" w:hAnsi="仿宋" w:eastAsia="仿宋" w:cs="仿宋"/>
          <w:color w:val="333333"/>
          <w:spacing w:val="-20"/>
          <w:sz w:val="32"/>
          <w:szCs w:val="32"/>
        </w:rPr>
        <w:t>万元。年初结转和结余为111万元。</w:t>
      </w:r>
    </w:p>
    <w:p>
      <w:pPr>
        <w:ind w:firstLine="643" w:firstLineChars="200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二、一般公共预算支出</w:t>
      </w:r>
    </w:p>
    <w:p>
      <w:pPr>
        <w:spacing w:line="600" w:lineRule="exact"/>
        <w:ind w:firstLine="64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2017年一般公共预算财政拨款支出969万元，主要用于以下方面:一般公共服务支出379万元，占39.11%；文化体育与传媒支出21万元，占2.17%；社会保障和就业支出125万元，占12.90%；医疗卫生支出20万元，占2.64%；节能环保支出20万元，占2.64%；农林水支出356万元，占36.74%；住房保障支出48万元，占4.95%。</w:t>
      </w:r>
      <w:r>
        <w:rPr>
          <w:rFonts w:hint="eastAsia" w:ascii="仿宋" w:hAnsi="仿宋" w:eastAsia="仿宋" w:cs="仿宋"/>
          <w:sz w:val="32"/>
          <w:szCs w:val="32"/>
        </w:rPr>
        <w:t>年末结转110万元。</w:t>
      </w:r>
    </w:p>
    <w:p>
      <w:pPr>
        <w:ind w:firstLine="643" w:firstLineChars="200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三、一般公共预算财政拨款基本支出决算情况</w:t>
      </w:r>
    </w:p>
    <w:p>
      <w:pPr>
        <w:spacing w:line="600" w:lineRule="exact"/>
        <w:ind w:firstLine="645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2017年度一般公共预算财政拨款基本支出756万元，其中：</w:t>
      </w:r>
    </w:p>
    <w:p>
      <w:pPr>
        <w:spacing w:line="600" w:lineRule="exact"/>
        <w:ind w:firstLine="645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人员经费630万元，主要包括：基本工资、津贴补贴、奖金、伙食补助费、绩效工资、机关事业单位基本养老保险缴费、职业年金缴费、其他社会保障缴费、其他工资福利支出、离休费、退休费、抚恤金、生活补助、医疗费、奖励金、住房公积金、提租补贴、购房补贴、其他对个人和家庭的补助支出等。</w:t>
      </w:r>
      <w:r>
        <w:rPr>
          <w:rFonts w:hint="eastAsia" w:ascii="仿宋_GB2312" w:eastAsia="仿宋_GB2312"/>
          <w:color w:val="000000"/>
          <w:sz w:val="32"/>
          <w:szCs w:val="32"/>
        </w:rPr>
        <w:br w:type="textWrapping"/>
      </w:r>
      <w:r>
        <w:rPr>
          <w:rFonts w:hint="eastAsia" w:ascii="仿宋_GB2312" w:eastAsia="仿宋_GB2312"/>
          <w:color w:val="000000"/>
          <w:sz w:val="32"/>
          <w:szCs w:val="32"/>
        </w:rPr>
        <w:t>　　公用经费126万元，主要包括：办公费、印刷费、咨询费、手续费、水费、电费、邮电费、取暖费、物业管理费、差旅费、因公出国（境）费用、维修（护）费、租赁费、会议费、培训费、公务接待费、劳务费、委托业务费、工会经费、福利费、公务用车运行维护费、其他交通费、税金及附加费用、其他商品和服务支出、办公设备购置、专用设备购置、信息网络及软件购置更新、其他资本性支出等。</w:t>
      </w:r>
    </w:p>
    <w:p>
      <w:pPr>
        <w:spacing w:line="600" w:lineRule="exact"/>
        <w:ind w:firstLine="640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四、“三公”经费财政拨款支出决算情况</w:t>
      </w:r>
    </w:p>
    <w:p>
      <w:pPr>
        <w:spacing w:line="600" w:lineRule="exact"/>
        <w:ind w:firstLine="640"/>
        <w:rPr>
          <w:rFonts w:ascii="仿宋_GB2312" w:eastAsia="仿宋_GB2312"/>
          <w:b/>
          <w:color w:val="000000"/>
          <w:sz w:val="32"/>
          <w:szCs w:val="32"/>
        </w:rPr>
      </w:pPr>
      <w:r>
        <w:rPr>
          <w:rFonts w:hint="eastAsia" w:ascii="仿宋_GB2312" w:eastAsia="仿宋_GB2312"/>
          <w:b/>
          <w:color w:val="000000"/>
          <w:sz w:val="32"/>
          <w:szCs w:val="32"/>
        </w:rPr>
        <w:t>（一）“三公”经费财政拨款支出决算总体情况说明</w:t>
      </w:r>
    </w:p>
    <w:p>
      <w:pPr>
        <w:spacing w:line="600" w:lineRule="exact"/>
        <w:ind w:firstLine="64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2017年度“三公”经费财政拨款支出决算为6.28万元，完成预算100%。</w:t>
      </w:r>
    </w:p>
    <w:p>
      <w:pPr>
        <w:spacing w:line="600" w:lineRule="exact"/>
        <w:ind w:firstLine="640"/>
        <w:rPr>
          <w:rFonts w:ascii="仿宋_GB2312" w:eastAsia="仿宋_GB2312"/>
          <w:b/>
          <w:color w:val="000000"/>
          <w:sz w:val="32"/>
          <w:szCs w:val="32"/>
        </w:rPr>
      </w:pPr>
      <w:r>
        <w:rPr>
          <w:rFonts w:hint="eastAsia" w:ascii="仿宋_GB2312" w:eastAsia="仿宋_GB2312"/>
          <w:b/>
          <w:color w:val="000000"/>
          <w:sz w:val="32"/>
          <w:szCs w:val="32"/>
        </w:rPr>
        <w:t>（二）“三公”经费财政拨款支出决算具体情况说明</w:t>
      </w:r>
    </w:p>
    <w:p>
      <w:pPr>
        <w:spacing w:line="600" w:lineRule="exact"/>
        <w:ind w:firstLine="640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2017年度“三公”经费财政拨款支出决算中，因公出国（境）费支出决算0万元，占0%；公务用车购置及运行维护费支出决算6.02万元，占95.86%；公务接待费支出决算0.26万元，占4.14%。</w:t>
      </w:r>
    </w:p>
    <w:p>
      <w:pPr>
        <w:spacing w:line="600" w:lineRule="exact"/>
        <w:ind w:firstLine="640"/>
        <w:rPr>
          <w:rFonts w:ascii="仿宋_GB2312" w:eastAsia="仿宋_GB2312"/>
          <w:b/>
          <w:color w:val="000000"/>
          <w:sz w:val="32"/>
          <w:szCs w:val="32"/>
        </w:rPr>
      </w:pPr>
      <w:r>
        <w:rPr>
          <w:rFonts w:hint="eastAsia" w:ascii="仿宋_GB2312" w:eastAsia="仿宋_GB2312"/>
          <w:b/>
          <w:color w:val="000000"/>
          <w:sz w:val="32"/>
          <w:szCs w:val="32"/>
        </w:rPr>
        <w:t>1.因公出国（境）经费支出</w:t>
      </w:r>
    </w:p>
    <w:p>
      <w:pPr>
        <w:spacing w:line="600" w:lineRule="exact"/>
        <w:ind w:firstLine="640"/>
        <w:rPr>
          <w:rFonts w:ascii="仿宋_GB2312" w:eastAsia="仿宋_GB2312"/>
          <w:b/>
          <w:color w:val="000000"/>
          <w:sz w:val="32"/>
          <w:szCs w:val="32"/>
        </w:rPr>
      </w:pPr>
      <w:r>
        <w:rPr>
          <w:rFonts w:ascii="仿宋_GB2312" w:eastAsia="仿宋_GB2312"/>
          <w:color w:val="000000"/>
          <w:sz w:val="32"/>
          <w:szCs w:val="32"/>
        </w:rPr>
        <w:t>201</w:t>
      </w:r>
      <w:r>
        <w:rPr>
          <w:rFonts w:hint="eastAsia" w:ascii="仿宋_GB2312" w:eastAsia="仿宋_GB2312"/>
          <w:color w:val="000000"/>
          <w:sz w:val="32"/>
          <w:szCs w:val="32"/>
        </w:rPr>
        <w:t>7年无因公出国（境）。</w:t>
      </w:r>
    </w:p>
    <w:p>
      <w:pPr>
        <w:spacing w:line="600" w:lineRule="exact"/>
        <w:ind w:firstLine="643" w:firstLineChars="200"/>
        <w:rPr>
          <w:rFonts w:ascii="仿宋_GB2312" w:eastAsia="仿宋_GB2312"/>
          <w:b/>
          <w:color w:val="000000"/>
          <w:sz w:val="32"/>
          <w:szCs w:val="32"/>
        </w:rPr>
      </w:pPr>
      <w:r>
        <w:rPr>
          <w:rFonts w:hint="eastAsia" w:ascii="仿宋_GB2312" w:eastAsia="仿宋_GB2312"/>
          <w:b/>
          <w:color w:val="000000"/>
          <w:sz w:val="32"/>
          <w:szCs w:val="32"/>
        </w:rPr>
        <w:t>2.公务用车购置及运行维护费支出</w:t>
      </w:r>
      <w:r>
        <w:rPr>
          <w:rFonts w:hint="eastAsia" w:ascii="仿宋_GB2312" w:eastAsia="仿宋_GB2312"/>
          <w:color w:val="000000"/>
          <w:sz w:val="32"/>
          <w:szCs w:val="32"/>
        </w:rPr>
        <w:t>6.02万元。其中：2017年无新购置公务用车。截至2017年12月底，单位共有公务用车2辆，其中：轿车1辆、皮卡车1辆、载客汽车0辆。</w:t>
      </w:r>
      <w:r>
        <w:rPr>
          <w:rFonts w:hint="eastAsia" w:ascii="仿宋_GB2312" w:eastAsia="仿宋_GB2312"/>
          <w:b/>
          <w:color w:val="000000"/>
          <w:sz w:val="32"/>
          <w:szCs w:val="32"/>
        </w:rPr>
        <w:t>公务用车运行维护费支出</w:t>
      </w:r>
      <w:r>
        <w:rPr>
          <w:rFonts w:hint="eastAsia" w:ascii="仿宋_GB2312" w:eastAsia="仿宋_GB2312"/>
          <w:color w:val="000000"/>
          <w:sz w:val="32"/>
          <w:szCs w:val="32"/>
        </w:rPr>
        <w:t>6.02万元。主要用于防火、防汛、下村工作等所需的公务用车燃料费、维修费、过路过桥费、保险费等支出。</w:t>
      </w:r>
    </w:p>
    <w:p>
      <w:pPr>
        <w:spacing w:line="600" w:lineRule="exact"/>
        <w:ind w:firstLine="640"/>
        <w:rPr>
          <w:rFonts w:ascii="仿宋_GB2312" w:eastAsia="仿宋_GB2312"/>
          <w:b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公务用车购置及运行维护费支出决算比2016年增加0.84万元，上升16.22%。主要原因是维修费增加。</w:t>
      </w:r>
    </w:p>
    <w:p>
      <w:pPr>
        <w:spacing w:line="600" w:lineRule="exact"/>
        <w:ind w:firstLine="643" w:firstLineChars="200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b/>
          <w:color w:val="000000"/>
          <w:sz w:val="32"/>
          <w:szCs w:val="32"/>
        </w:rPr>
        <w:t>3.公务接待费支出</w:t>
      </w:r>
      <w:r>
        <w:rPr>
          <w:rFonts w:hint="eastAsia" w:ascii="仿宋_GB2312" w:eastAsia="仿宋_GB2312"/>
          <w:color w:val="000000"/>
          <w:sz w:val="32"/>
          <w:szCs w:val="32"/>
        </w:rPr>
        <w:t>0.26万元。主要用于执行公务、开展业务活动开支的交通费、住宿费、用餐费等。国内公务接待20批次，90人次（不包括陪同人员），共计支出0.26万元，</w:t>
      </w:r>
      <w:r>
        <w:rPr>
          <w:rFonts w:hint="eastAsia" w:ascii="仿宋_GB2312" w:eastAsia="仿宋_GB2312"/>
          <w:sz w:val="32"/>
          <w:szCs w:val="32"/>
        </w:rPr>
        <w:t>具体内容包括：接待县水务局、安监局、公安局等到新九乡检查工作，费用合计0.26万元.公</w:t>
      </w:r>
      <w:r>
        <w:rPr>
          <w:rFonts w:hint="eastAsia" w:ascii="仿宋_GB2312" w:eastAsia="仿宋_GB2312"/>
          <w:color w:val="000000"/>
          <w:sz w:val="32"/>
          <w:szCs w:val="32"/>
        </w:rPr>
        <w:t>务接待费支出决算比2016年减少0.3645万元，下降58.37%。主要原因是公务接待活动减少。</w:t>
      </w:r>
    </w:p>
    <w:p>
      <w:pPr>
        <w:ind w:firstLine="640" w:firstLineChars="200"/>
        <w:rPr>
          <w:rFonts w:eastAsia="仿宋_GB2312"/>
          <w:color w:val="000000"/>
          <w:sz w:val="32"/>
          <w:szCs w:val="32"/>
        </w:rPr>
      </w:pPr>
      <w:r>
        <w:rPr>
          <w:rFonts w:hint="eastAsia" w:eastAsia="仿宋_GB2312"/>
          <w:color w:val="000000"/>
          <w:sz w:val="32"/>
          <w:szCs w:val="32"/>
        </w:rPr>
        <w:t>各位代表！</w:t>
      </w:r>
      <w:r>
        <w:rPr>
          <w:rFonts w:eastAsia="仿宋_GB2312"/>
          <w:color w:val="000000"/>
          <w:sz w:val="32"/>
          <w:szCs w:val="32"/>
        </w:rPr>
        <w:t>2017</w:t>
      </w:r>
      <w:r>
        <w:rPr>
          <w:rFonts w:hint="eastAsia" w:eastAsia="仿宋_GB2312"/>
          <w:color w:val="000000"/>
          <w:sz w:val="32"/>
          <w:szCs w:val="32"/>
        </w:rPr>
        <w:t>年，我乡财政运行情况基本正常。但仍存在不少困难和问题：</w:t>
      </w:r>
      <w:r>
        <w:rPr>
          <w:rFonts w:hint="eastAsia" w:ascii="仿宋_GB2312" w:eastAsia="仿宋_GB2312"/>
          <w:sz w:val="32"/>
          <w:szCs w:val="32"/>
        </w:rPr>
        <w:t>一是财力弱，不能完全满足农村各项建设事业的资金需要。二是财务管理有待进一步加强，支出审核审批及支付程序需进一步规范，资金支付管理及监督力度需进一步加大。三是工作的主动性、计划性有待进一步增强，财政职能作用需进一步发挥。</w:t>
      </w:r>
      <w:r>
        <w:rPr>
          <w:rFonts w:hint="eastAsia" w:eastAsia="仿宋_GB2312"/>
          <w:color w:val="000000"/>
          <w:sz w:val="32"/>
          <w:szCs w:val="32"/>
        </w:rPr>
        <w:t>针对这些困难和问题，今后将采取有效措施，努力加以解决。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请各位代表予以审议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eastAsia="zh-CN"/>
        </w:rPr>
        <w:t>！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  <w:r>
        <w:t xml:space="preserve">                                        </w:t>
      </w:r>
      <w:r>
        <w:rPr>
          <w:rFonts w:ascii="仿宋" w:hAnsi="仿宋" w:eastAsia="仿宋" w:cs="仿宋"/>
          <w:sz w:val="32"/>
          <w:szCs w:val="32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 xml:space="preserve"> </w:t>
      </w:r>
    </w:p>
    <w:p>
      <w:pPr>
        <w:ind w:firstLine="5120" w:firstLineChars="160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2018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12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19</w:t>
      </w:r>
      <w:r>
        <w:rPr>
          <w:rFonts w:hint="eastAsia" w:ascii="仿宋" w:hAnsi="仿宋" w:eastAsia="仿宋" w:cs="仿宋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monospace">
    <w:altName w:val="Latha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楷体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NotTrackMoves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84666"/>
    <w:rsid w:val="00011F5E"/>
    <w:rsid w:val="00053CB1"/>
    <w:rsid w:val="000A442C"/>
    <w:rsid w:val="000F1CD3"/>
    <w:rsid w:val="00121333"/>
    <w:rsid w:val="001A41FC"/>
    <w:rsid w:val="002266CD"/>
    <w:rsid w:val="00262239"/>
    <w:rsid w:val="00305CB9"/>
    <w:rsid w:val="0034705B"/>
    <w:rsid w:val="00356113"/>
    <w:rsid w:val="00447BCB"/>
    <w:rsid w:val="00581777"/>
    <w:rsid w:val="006A1B4A"/>
    <w:rsid w:val="00794E23"/>
    <w:rsid w:val="009A563B"/>
    <w:rsid w:val="00A855AB"/>
    <w:rsid w:val="00B765A5"/>
    <w:rsid w:val="00B85A7C"/>
    <w:rsid w:val="00B9048E"/>
    <w:rsid w:val="00C10B93"/>
    <w:rsid w:val="00D21602"/>
    <w:rsid w:val="00DA5C2C"/>
    <w:rsid w:val="00DD1A94"/>
    <w:rsid w:val="00EF04A3"/>
    <w:rsid w:val="00F37238"/>
    <w:rsid w:val="00F57D74"/>
    <w:rsid w:val="00F84666"/>
    <w:rsid w:val="00FE5DC1"/>
    <w:rsid w:val="09BA33D3"/>
    <w:rsid w:val="20253835"/>
    <w:rsid w:val="4A0150E1"/>
    <w:rsid w:val="6ADC40D3"/>
    <w:rsid w:val="79F958B3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off"/>
    <m:dispDef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 w:locked="1"/>
    <w:lsdException w:qFormat="1" w:uiPriority="9" w:name="heading 2" w:locked="1"/>
    <w:lsdException w:qFormat="1" w:uiPriority="9" w:name="heading 3" w:locked="1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iPriority="99" w:name="Normal Indent" w:locked="1"/>
    <w:lsdException w:uiPriority="99" w:name="footnote text" w:locked="1"/>
    <w:lsdException w:uiPriority="99" w:name="annotation text" w:locked="1"/>
    <w:lsdException w:qFormat="1" w:uiPriority="99" w:semiHidden="0" w:name="header" w:locked="1"/>
    <w:lsdException w:qFormat="1" w:uiPriority="99" w:semiHidden="0" w:name="footer" w:locked="1"/>
    <w:lsdException w:uiPriority="99" w:name="index heading" w:locked="1"/>
    <w:lsdException w:qFormat="1" w:uiPriority="35" w:name="caption" w:locked="1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10" w:semiHidden="0" w:name="Title" w:locked="1"/>
    <w:lsdException w:uiPriority="99" w:name="Closing" w:locked="1"/>
    <w:lsdException w:uiPriority="99" w:name="Signature" w:locked="1"/>
    <w:lsdException w:uiPriority="1" w:semiHidden="0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11" w:semiHidden="0" w:name="Subtitle" w:locked="1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qFormat="1" w:unhideWhenUsed="0" w:uiPriority="99" w:semiHidden="0" w:name="Hyperlink"/>
    <w:lsdException w:qFormat="1" w:unhideWhenUsed="0" w:uiPriority="99" w:semiHidden="0" w:name="FollowedHyperlink"/>
    <w:lsdException w:qFormat="1" w:unhideWhenUsed="0" w:uiPriority="99" w:semiHidden="0" w:name="Strong"/>
    <w:lsdException w:qFormat="1" w:unhideWhenUsed="0" w:uiPriority="99" w:semiHidden="0" w:name="Emphasis"/>
    <w:lsdException w:uiPriority="99" w:name="Document Map" w:locked="1"/>
    <w:lsdException w:uiPriority="99" w:name="Plain Text" w:locked="1"/>
    <w:lsdException w:uiPriority="99" w:name="E-mail Signature" w:locked="1"/>
    <w:lsdException w:unhideWhenUsed="0" w:uiPriority="99" w:semiHidden="0" w:name="Normal (Web)"/>
    <w:lsdException w:qFormat="1" w:unhideWhenUsed="0" w:uiPriority="99" w:semiHidden="0" w:name="HTML Acronym"/>
    <w:lsdException w:uiPriority="99" w:name="HTML Address" w:locked="1"/>
    <w:lsdException w:qFormat="1" w:unhideWhenUsed="0" w:uiPriority="99" w:semiHidden="0" w:name="HTML Cite"/>
    <w:lsdException w:qFormat="1" w:unhideWhenUsed="0" w:uiPriority="99" w:semiHidden="0" w:name="HTML Code"/>
    <w:lsdException w:qFormat="1" w:unhideWhenUsed="0" w:uiPriority="99" w:semiHidden="0" w:name="HTML Definition"/>
    <w:lsdException w:qFormat="1" w:unhideWhenUsed="0" w:uiPriority="99" w:semiHidden="0" w:name="HTML Keyboard"/>
    <w:lsdException w:uiPriority="99" w:name="HTML Preformatted" w:locked="1"/>
    <w:lsdException w:unhideWhenUsed="0" w:uiPriority="99" w:semiHidden="0" w:name="HTML Sample"/>
    <w:lsdException w:qFormat="1" w:unhideWhenUsed="0" w:uiPriority="99" w:semiHidden="0" w:name="HTML Typewriter"/>
    <w:lsdException w:qFormat="1" w:unhideWhenUsed="0" w:uiPriority="99" w:semiHidden="0" w:name="HTML Variable"/>
    <w:lsdException w:qFormat="1" w:uiPriority="99" w:semiHidden="0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iPriority="99" w:name="Balloon Text" w:locked="1"/>
    <w:lsdException w:unhideWhenUsed="0" w:uiPriority="59" w:semiHidden="0" w:name="Table Grid" w:locked="1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18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20"/>
    <w:unhideWhenUsed/>
    <w:qFormat/>
    <w:lock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9"/>
    <w:unhideWhenUsed/>
    <w:qFormat/>
    <w:lock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iPriority w:val="99"/>
    <w:pPr>
      <w:jc w:val="left"/>
    </w:pPr>
    <w:rPr>
      <w:kern w:val="0"/>
      <w:sz w:val="24"/>
    </w:rPr>
  </w:style>
  <w:style w:type="character" w:styleId="6">
    <w:name w:val="Strong"/>
    <w:basedOn w:val="5"/>
    <w:qFormat/>
    <w:uiPriority w:val="99"/>
    <w:rPr>
      <w:rFonts w:cs="Times New Roman"/>
    </w:rPr>
  </w:style>
  <w:style w:type="character" w:styleId="7">
    <w:name w:val="FollowedHyperlink"/>
    <w:basedOn w:val="5"/>
    <w:qFormat/>
    <w:uiPriority w:val="99"/>
    <w:rPr>
      <w:rFonts w:cs="Times New Roman"/>
      <w:color w:val="800080"/>
      <w:u w:val="none"/>
    </w:rPr>
  </w:style>
  <w:style w:type="character" w:styleId="8">
    <w:name w:val="Emphasis"/>
    <w:basedOn w:val="5"/>
    <w:qFormat/>
    <w:uiPriority w:val="99"/>
    <w:rPr>
      <w:rFonts w:cs="Times New Roman"/>
    </w:rPr>
  </w:style>
  <w:style w:type="character" w:styleId="9">
    <w:name w:val="HTML Definition"/>
    <w:basedOn w:val="5"/>
    <w:qFormat/>
    <w:uiPriority w:val="99"/>
    <w:rPr>
      <w:rFonts w:cs="Times New Roman"/>
    </w:rPr>
  </w:style>
  <w:style w:type="character" w:styleId="10">
    <w:name w:val="HTML Typewriter"/>
    <w:basedOn w:val="5"/>
    <w:qFormat/>
    <w:uiPriority w:val="99"/>
    <w:rPr>
      <w:rFonts w:ascii="monospace" w:hAnsi="monospace" w:cs="monospace"/>
      <w:sz w:val="20"/>
    </w:rPr>
  </w:style>
  <w:style w:type="character" w:styleId="11">
    <w:name w:val="HTML Acronym"/>
    <w:basedOn w:val="5"/>
    <w:qFormat/>
    <w:uiPriority w:val="99"/>
    <w:rPr>
      <w:rFonts w:cs="Times New Roman"/>
    </w:rPr>
  </w:style>
  <w:style w:type="character" w:styleId="12">
    <w:name w:val="HTML Variable"/>
    <w:basedOn w:val="5"/>
    <w:qFormat/>
    <w:uiPriority w:val="99"/>
    <w:rPr>
      <w:rFonts w:cs="Times New Roman"/>
    </w:rPr>
  </w:style>
  <w:style w:type="character" w:styleId="13">
    <w:name w:val="Hyperlink"/>
    <w:basedOn w:val="5"/>
    <w:qFormat/>
    <w:uiPriority w:val="99"/>
    <w:rPr>
      <w:rFonts w:cs="Times New Roman"/>
      <w:color w:val="0000FF"/>
      <w:u w:val="none"/>
    </w:rPr>
  </w:style>
  <w:style w:type="character" w:styleId="14">
    <w:name w:val="HTML Code"/>
    <w:basedOn w:val="5"/>
    <w:qFormat/>
    <w:uiPriority w:val="99"/>
    <w:rPr>
      <w:rFonts w:ascii="monospace" w:hAnsi="monospace" w:cs="monospace"/>
      <w:sz w:val="20"/>
    </w:rPr>
  </w:style>
  <w:style w:type="character" w:styleId="15">
    <w:name w:val="HTML Cite"/>
    <w:basedOn w:val="5"/>
    <w:qFormat/>
    <w:uiPriority w:val="99"/>
    <w:rPr>
      <w:rFonts w:cs="Times New Roman"/>
    </w:rPr>
  </w:style>
  <w:style w:type="character" w:styleId="16">
    <w:name w:val="HTML Keyboard"/>
    <w:basedOn w:val="5"/>
    <w:qFormat/>
    <w:uiPriority w:val="99"/>
    <w:rPr>
      <w:rFonts w:ascii="monospace" w:hAnsi="monospace" w:cs="monospace"/>
      <w:sz w:val="20"/>
    </w:rPr>
  </w:style>
  <w:style w:type="character" w:styleId="17">
    <w:name w:val="HTML Sample"/>
    <w:basedOn w:val="5"/>
    <w:uiPriority w:val="99"/>
    <w:rPr>
      <w:rFonts w:ascii="monospace" w:hAnsi="monospace" w:cs="monospace"/>
    </w:rPr>
  </w:style>
  <w:style w:type="character" w:customStyle="1" w:styleId="19">
    <w:name w:val="页眉 Char"/>
    <w:basedOn w:val="5"/>
    <w:link w:val="3"/>
    <w:semiHidden/>
    <w:qFormat/>
    <w:uiPriority w:val="99"/>
    <w:rPr>
      <w:rFonts w:ascii="Calibri" w:hAnsi="Calibri"/>
      <w:sz w:val="18"/>
      <w:szCs w:val="18"/>
    </w:rPr>
  </w:style>
  <w:style w:type="character" w:customStyle="1" w:styleId="20">
    <w:name w:val="页脚 Char"/>
    <w:basedOn w:val="5"/>
    <w:link w:val="2"/>
    <w:semiHidden/>
    <w:uiPriority w:val="99"/>
    <w:rPr>
      <w:rFonts w:ascii="Calibri" w:hAnsi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1378</Words>
  <Characters>281</Characters>
  <Lines>2</Lines>
  <Paragraphs>3</Paragraphs>
  <ScaleCrop>false</ScaleCrop>
  <LinksUpToDate>false</LinksUpToDate>
  <CharactersWithSpaces>1656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2018-12-18T06:53:00Z</cp:lastPrinted>
  <dcterms:modified xsi:type="dcterms:W3CDTF">2018-12-18T07:04:04Z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